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44967616" w:displacedByCustomXml="next"/>
    <w:bookmarkStart w:id="1" w:name="_Toc144215416" w:displacedByCustomXml="next"/>
    <w:bookmarkStart w:id="2" w:name="_Toc144967620" w:displacedByCustomXml="next"/>
    <w:bookmarkStart w:id="3" w:name="_Toc144215419" w:displacedByCustomXml="next"/>
    <w:bookmarkStart w:id="4" w:name="_Toc144215429" w:displacedByCustomXml="next"/>
    <w:bookmarkStart w:id="5" w:name="_Toc144967629" w:displacedByCustomXml="next"/>
    <w:sdt>
      <w:sdtPr>
        <w:id w:val="1551807301"/>
        <w:docPartObj>
          <w:docPartGallery w:val="Cover Pages"/>
          <w:docPartUnique/>
        </w:docPartObj>
      </w:sdtPr>
      <w:sdtEndPr/>
      <w:sdtContent>
        <w:p w14:paraId="73EB3F3D" w14:textId="052B6AA7" w:rsidR="00A36F1E" w:rsidRDefault="00A36F1E" w:rsidP="00A36F1E">
          <w:pPr>
            <w:spacing w:after="1800"/>
            <w:rPr>
              <w:rFonts w:eastAsiaTheme="majorEastAsia" w:cstheme="majorBidi"/>
              <w:b/>
              <w:color w:val="54C1AF" w:themeColor="accent5"/>
              <w:spacing w:val="-10"/>
              <w:kern w:val="28"/>
              <w:sz w:val="48"/>
              <w:szCs w:val="48"/>
            </w:rPr>
          </w:pPr>
        </w:p>
        <w:p w14:paraId="311A3097" w14:textId="0A74152D" w:rsidR="00A36F1E" w:rsidRPr="009529F0" w:rsidRDefault="00A36F1E" w:rsidP="00A36F1E">
          <w:pPr>
            <w:spacing w:after="1800"/>
          </w:pPr>
        </w:p>
        <w:p w14:paraId="54C6F196" w14:textId="77777777" w:rsidR="00A36F1E" w:rsidRDefault="00A36F1E" w:rsidP="00A36F1E">
          <w:pPr>
            <w:pStyle w:val="CoverTitle"/>
          </w:pPr>
          <w:r>
            <w:t>National Hospital Cost Data Collection</w:t>
          </w:r>
        </w:p>
        <w:p w14:paraId="6F2EF46F" w14:textId="77777777" w:rsidR="00A36F1E" w:rsidRPr="00C672ED" w:rsidRDefault="00A36F1E" w:rsidP="00A36F1E">
          <w:pPr>
            <w:pStyle w:val="Coversubtitle"/>
          </w:pPr>
          <w:r>
            <w:t>Public Sector Report, 2022-23</w:t>
          </w:r>
        </w:p>
        <w:p w14:paraId="77644A92" w14:textId="33579882" w:rsidR="00A36F1E" w:rsidRPr="00D60A37" w:rsidRDefault="0072200D" w:rsidP="00A36F1E">
          <w:pPr>
            <w:sectPr w:rsidR="00A36F1E" w:rsidRPr="00D60A37" w:rsidSect="00A36F1E">
              <w:headerReference w:type="default" r:id="rId11"/>
              <w:footerReference w:type="default" r:id="rId12"/>
              <w:pgSz w:w="11906" w:h="16838" w:code="9"/>
              <w:pgMar w:top="1440" w:right="1080" w:bottom="1440" w:left="1080" w:header="708" w:footer="830" w:gutter="0"/>
              <w:cols w:space="720"/>
              <w:docGrid w:linePitch="360"/>
            </w:sectPr>
          </w:pPr>
        </w:p>
      </w:sdtContent>
    </w:sdt>
    <w:p w14:paraId="00973628" w14:textId="463753D6" w:rsidR="001F3FD7" w:rsidRPr="007372C2" w:rsidRDefault="001F3FD7" w:rsidP="001F3FD7">
      <w:pPr>
        <w:pStyle w:val="Copyrightheading"/>
      </w:pPr>
      <w:r w:rsidRPr="001F3FD7">
        <w:lastRenderedPageBreak/>
        <w:t xml:space="preserve">NHCDC Public Sector Report </w:t>
      </w:r>
      <w:r w:rsidR="00484EA0">
        <w:t>2022-23</w:t>
      </w:r>
      <w:r w:rsidRPr="001F3FD7">
        <w:t xml:space="preserve"> —</w:t>
      </w:r>
      <w:r w:rsidR="001A1D55">
        <w:t xml:space="preserve"> </w:t>
      </w:r>
      <w:r w:rsidR="00397F5B">
        <w:t>May</w:t>
      </w:r>
      <w:r w:rsidR="00862066">
        <w:t xml:space="preserve"> </w:t>
      </w:r>
      <w:r w:rsidR="003843FD">
        <w:t>2025</w:t>
      </w:r>
    </w:p>
    <w:p w14:paraId="44055C38" w14:textId="6B00E170" w:rsidR="001F3FD7" w:rsidRPr="007372C2" w:rsidRDefault="001F3FD7" w:rsidP="001F3FD7">
      <w:pPr>
        <w:pStyle w:val="Copyrightcopy"/>
      </w:pPr>
      <w:r w:rsidRPr="007372C2">
        <w:rPr>
          <w:rFonts w:hint="cs"/>
        </w:rPr>
        <w:t>©</w:t>
      </w:r>
      <w:r w:rsidRPr="007372C2">
        <w:t xml:space="preserve"> Independent Health and Aged Care Pricing Authority </w:t>
      </w:r>
      <w:r w:rsidR="003843FD">
        <w:t>2025</w:t>
      </w:r>
    </w:p>
    <w:p w14:paraId="751F99BE" w14:textId="77777777" w:rsidR="00A36F1E" w:rsidRDefault="00A36F1E" w:rsidP="001F3FD7">
      <w:pPr>
        <w:pStyle w:val="Copyrightcopy"/>
      </w:pPr>
      <w:r w:rsidRPr="007372C2">
        <w:t xml:space="preserve">This publication is available for your use under </w:t>
      </w:r>
      <w:r w:rsidRPr="00431B53">
        <w:t>a Creative Commons Attribution 4.0 International licence</w:t>
      </w:r>
      <w:r w:rsidRPr="007372C2">
        <w:t xml:space="preserve">, </w:t>
      </w:r>
      <w:proofErr w:type="gramStart"/>
      <w:r w:rsidRPr="007372C2">
        <w:t>with the exception of</w:t>
      </w:r>
      <w:proofErr w:type="gramEnd"/>
      <w:r w:rsidRPr="007372C2">
        <w:t xml:space="preserve"> the Independent Health and Aged Care Pricing Authority logo, photographs, images, signatures and where otherwise stated. The full licence terms are available from the Creative Commons website.</w:t>
      </w:r>
    </w:p>
    <w:p w14:paraId="1C655017" w14:textId="4512965F" w:rsidR="001F3FD7" w:rsidRPr="007372C2" w:rsidRDefault="001F3FD7" w:rsidP="001F3FD7">
      <w:pPr>
        <w:pStyle w:val="Copyrightcopy"/>
      </w:pPr>
      <w:r w:rsidRPr="007372C2">
        <w:rPr>
          <w:noProof/>
        </w:rPr>
        <w:drawing>
          <wp:inline distT="0" distB="0" distL="0" distR="0" wp14:anchorId="636FDC9C" wp14:editId="556F3E90">
            <wp:extent cx="1175004" cy="411480"/>
            <wp:effectExtent l="0" t="0" r="6350" b="7620"/>
            <wp:docPr id="14" name="Picture 1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3">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7372C2">
        <w:t xml:space="preserve"> </w:t>
      </w:r>
    </w:p>
    <w:p w14:paraId="1449300A" w14:textId="77777777" w:rsidR="00A36F1E" w:rsidRPr="007372C2" w:rsidRDefault="00A36F1E" w:rsidP="00A36F1E">
      <w:pPr>
        <w:pStyle w:val="Copyrightcopy"/>
      </w:pPr>
      <w:r w:rsidRPr="007372C2">
        <w:t xml:space="preserve">Use of Independent Health and Aged Care Pricing Authority material under </w:t>
      </w:r>
      <w:r w:rsidRPr="00431B53">
        <w:t>a Creative Commons Attribution 4.0 International licence</w:t>
      </w:r>
      <w:r>
        <w:t xml:space="preserve"> </w:t>
      </w:r>
      <w:r w:rsidRPr="007372C2">
        <w:t>requires you to attribute the work (but not in any way that suggests that the Independent Health and Aged Care Pricing Authority endorses you or your use of the</w:t>
      </w:r>
      <w:r w:rsidRPr="007372C2">
        <w:rPr>
          <w:rFonts w:hint="cs"/>
        </w:rPr>
        <w:t> </w:t>
      </w:r>
      <w:r w:rsidRPr="007372C2">
        <w:t>work).</w:t>
      </w:r>
    </w:p>
    <w:p w14:paraId="56C4AA86" w14:textId="77777777" w:rsidR="00A36F1E" w:rsidRPr="007372C2" w:rsidRDefault="00A36F1E" w:rsidP="00A36F1E">
      <w:pPr>
        <w:pStyle w:val="Copyrightcopy"/>
      </w:pPr>
      <w:r w:rsidRPr="007372C2">
        <w:t>Independent Health and Aged Care Pricing Authority material used 'as supplied'.</w:t>
      </w:r>
    </w:p>
    <w:p w14:paraId="51CECE0A" w14:textId="77777777" w:rsidR="00A36F1E" w:rsidRPr="007372C2" w:rsidRDefault="00A36F1E" w:rsidP="00A36F1E">
      <w:pPr>
        <w:pStyle w:val="Copyrightcopy"/>
      </w:pPr>
      <w:r w:rsidRPr="007372C2">
        <w:t xml:space="preserve">Provided you have not modified or transformed Independent Health and Aged Care Pricing Authority material in any way including, for example, by changing Independent Health and Aged Care Pricing Authority text </w:t>
      </w:r>
      <w:r w:rsidRPr="007372C2">
        <w:rPr>
          <w:rFonts w:hint="cs"/>
        </w:rPr>
        <w:t>–</w:t>
      </w:r>
      <w:r w:rsidRPr="007372C2">
        <w:t xml:space="preserve"> then the Independent Health and Aged Care Pricing Authority prefers the following attribution:</w:t>
      </w:r>
    </w:p>
    <w:p w14:paraId="05C33D0A" w14:textId="77777777" w:rsidR="00A36F1E" w:rsidRDefault="00A36F1E" w:rsidP="00A36F1E">
      <w:pPr>
        <w:pStyle w:val="Copyrightcopy"/>
        <w:sectPr w:rsidR="00A36F1E" w:rsidSect="00A36F1E">
          <w:headerReference w:type="default" r:id="rId14"/>
          <w:footerReference w:type="default" r:id="rId15"/>
          <w:pgSz w:w="11906" w:h="16838" w:code="9"/>
          <w:pgMar w:top="7371" w:right="1077" w:bottom="1440" w:left="1077" w:header="709" w:footer="709" w:gutter="0"/>
          <w:cols w:space="720"/>
          <w:docGrid w:linePitch="360"/>
        </w:sectPr>
      </w:pPr>
      <w:r w:rsidRPr="007372C2">
        <w:t>Source: The Independent Health and Aged Care Pricing</w:t>
      </w:r>
      <w:r w:rsidRPr="007372C2">
        <w:rPr>
          <w:rFonts w:hint="cs"/>
        </w:rPr>
        <w:t> </w:t>
      </w:r>
      <w:r w:rsidRPr="007372C2">
        <w:t>Authority</w:t>
      </w:r>
    </w:p>
    <w:bookmarkStart w:id="6" w:name="_Hlk177461879" w:displacedByCustomXml="next"/>
    <w:sdt>
      <w:sdtPr>
        <w:rPr>
          <w:rFonts w:cs="Arial"/>
          <w:b/>
          <w:iCs/>
          <w:color w:val="auto"/>
        </w:rPr>
        <w:id w:val="1643391383"/>
        <w:docPartObj>
          <w:docPartGallery w:val="Table of Contents"/>
          <w:docPartUnique/>
        </w:docPartObj>
      </w:sdtPr>
      <w:sdtEndPr>
        <w:rPr>
          <w:rFonts w:cstheme="minorBidi"/>
          <w:b w:val="0"/>
          <w:iCs w:val="0"/>
          <w:noProof/>
        </w:rPr>
      </w:sdtEndPr>
      <w:sdtContent>
        <w:p w14:paraId="01C0F7D5" w14:textId="7B8558BB" w:rsidR="001F3FD7" w:rsidRPr="00F935FF" w:rsidRDefault="001F3FD7" w:rsidP="001F3FD7">
          <w:pPr>
            <w:tabs>
              <w:tab w:val="left" w:pos="3630"/>
              <w:tab w:val="left" w:pos="4350"/>
              <w:tab w:val="left" w:pos="6750"/>
            </w:tabs>
            <w:rPr>
              <w:rFonts w:eastAsiaTheme="majorEastAsia" w:cstheme="majorBidi"/>
              <w:b/>
              <w:color w:val="104F99" w:themeColor="accent2"/>
              <w:sz w:val="36"/>
              <w:szCs w:val="26"/>
              <w:lang w:val="en-PH"/>
            </w:rPr>
          </w:pPr>
          <w:r w:rsidRPr="00F935FF">
            <w:rPr>
              <w:rFonts w:eastAsiaTheme="majorEastAsia" w:cstheme="majorBidi"/>
              <w:b/>
              <w:color w:val="104F99" w:themeColor="accent2"/>
              <w:sz w:val="36"/>
              <w:szCs w:val="26"/>
              <w:lang w:val="en-PH"/>
            </w:rPr>
            <w:t>Contents</w:t>
          </w:r>
        </w:p>
        <w:p w14:paraId="2EFBB5DB" w14:textId="54DBA71F" w:rsidR="005F11BC" w:rsidRDefault="001F3FD7" w:rsidP="00B45F10">
          <w:pPr>
            <w:pStyle w:val="TOC1"/>
            <w:rPr>
              <w:rFonts w:asciiTheme="minorHAnsi" w:eastAsiaTheme="minorEastAsia" w:hAnsiTheme="minorHAnsi"/>
              <w:noProof/>
              <w:color w:val="auto"/>
              <w:kern w:val="2"/>
              <w:sz w:val="22"/>
              <w:lang w:eastAsia="en-AU"/>
              <w14:ligatures w14:val="standardContextual"/>
            </w:rPr>
          </w:pPr>
          <w:r w:rsidRPr="00CE058E">
            <w:rPr>
              <w:rFonts w:cs="Arial"/>
              <w:color w:val="auto"/>
              <w:sz w:val="20"/>
              <w:szCs w:val="16"/>
            </w:rPr>
            <w:fldChar w:fldCharType="begin"/>
          </w:r>
          <w:r w:rsidRPr="00CE058E">
            <w:rPr>
              <w:rFonts w:cs="Arial"/>
              <w:color w:val="auto"/>
              <w:sz w:val="20"/>
              <w:szCs w:val="16"/>
            </w:rPr>
            <w:instrText xml:space="preserve"> TOC \o "1-3" \h \z \u </w:instrText>
          </w:r>
          <w:r w:rsidRPr="00CE058E">
            <w:rPr>
              <w:rFonts w:cs="Arial"/>
              <w:color w:val="auto"/>
              <w:sz w:val="20"/>
              <w:szCs w:val="16"/>
            </w:rPr>
            <w:fldChar w:fldCharType="separate"/>
          </w:r>
          <w:hyperlink w:anchor="_Toc158882588" w:history="1">
            <w:r w:rsidR="005F11BC" w:rsidRPr="00125432">
              <w:rPr>
                <w:rStyle w:val="Hyperlink"/>
                <w:rFonts w:cs="Arial"/>
                <w:noProof/>
              </w:rPr>
              <w:t>1.</w:t>
            </w:r>
            <w:r w:rsidR="005F11BC">
              <w:rPr>
                <w:rFonts w:asciiTheme="minorHAnsi" w:eastAsiaTheme="minorEastAsia" w:hAnsiTheme="minorHAnsi"/>
                <w:noProof/>
                <w:color w:val="auto"/>
                <w:kern w:val="2"/>
                <w:sz w:val="22"/>
                <w:lang w:eastAsia="en-AU"/>
                <w14:ligatures w14:val="standardContextual"/>
              </w:rPr>
              <w:tab/>
            </w:r>
            <w:r w:rsidR="005F11BC" w:rsidRPr="00125432">
              <w:rPr>
                <w:rStyle w:val="Hyperlink"/>
                <w:rFonts w:cs="Arial"/>
                <w:noProof/>
              </w:rPr>
              <w:t>Executive summary</w:t>
            </w:r>
            <w:r w:rsidR="005F11BC">
              <w:rPr>
                <w:noProof/>
                <w:webHidden/>
              </w:rPr>
              <w:tab/>
            </w:r>
            <w:r w:rsidR="005F11BC">
              <w:rPr>
                <w:noProof/>
                <w:webHidden/>
              </w:rPr>
              <w:fldChar w:fldCharType="begin"/>
            </w:r>
            <w:r w:rsidR="005F11BC">
              <w:rPr>
                <w:noProof/>
                <w:webHidden/>
              </w:rPr>
              <w:instrText xml:space="preserve"> PAGEREF _Toc158882588 \h </w:instrText>
            </w:r>
            <w:r w:rsidR="005F11BC">
              <w:rPr>
                <w:noProof/>
                <w:webHidden/>
              </w:rPr>
            </w:r>
            <w:r w:rsidR="005F11BC">
              <w:rPr>
                <w:noProof/>
                <w:webHidden/>
              </w:rPr>
              <w:fldChar w:fldCharType="separate"/>
            </w:r>
            <w:r w:rsidR="007D65ED">
              <w:rPr>
                <w:noProof/>
                <w:webHidden/>
              </w:rPr>
              <w:t>6</w:t>
            </w:r>
            <w:r w:rsidR="005F11BC">
              <w:rPr>
                <w:noProof/>
                <w:webHidden/>
              </w:rPr>
              <w:fldChar w:fldCharType="end"/>
            </w:r>
          </w:hyperlink>
        </w:p>
        <w:p w14:paraId="573BF20E" w14:textId="0D190528" w:rsidR="005F11BC" w:rsidRDefault="005F11BC" w:rsidP="00B45F10">
          <w:pPr>
            <w:pStyle w:val="TOC1"/>
            <w:rPr>
              <w:rFonts w:asciiTheme="minorHAnsi" w:eastAsiaTheme="minorEastAsia" w:hAnsiTheme="minorHAnsi"/>
              <w:noProof/>
              <w:color w:val="auto"/>
              <w:kern w:val="2"/>
              <w:sz w:val="22"/>
              <w:lang w:eastAsia="en-AU"/>
              <w14:ligatures w14:val="standardContextual"/>
            </w:rPr>
          </w:pPr>
          <w:hyperlink w:anchor="_Toc158882592" w:history="1">
            <w:r w:rsidRPr="00125432">
              <w:rPr>
                <w:rStyle w:val="Hyperlink"/>
                <w:rFonts w:cs="Arial"/>
                <w:noProof/>
              </w:rPr>
              <w:t>2.</w:t>
            </w:r>
            <w:r>
              <w:rPr>
                <w:rFonts w:asciiTheme="minorHAnsi" w:eastAsiaTheme="minorEastAsia" w:hAnsiTheme="minorHAnsi"/>
                <w:noProof/>
                <w:color w:val="auto"/>
                <w:kern w:val="2"/>
                <w:sz w:val="22"/>
                <w:lang w:eastAsia="en-AU"/>
                <w14:ligatures w14:val="standardContextual"/>
              </w:rPr>
              <w:tab/>
            </w:r>
            <w:r w:rsidRPr="00125432">
              <w:rPr>
                <w:rStyle w:val="Hyperlink"/>
                <w:rFonts w:cs="Arial"/>
                <w:noProof/>
              </w:rPr>
              <w:t>Introduction</w:t>
            </w:r>
            <w:r>
              <w:rPr>
                <w:noProof/>
                <w:webHidden/>
              </w:rPr>
              <w:tab/>
            </w:r>
            <w:r>
              <w:rPr>
                <w:noProof/>
                <w:webHidden/>
              </w:rPr>
              <w:fldChar w:fldCharType="begin"/>
            </w:r>
            <w:r>
              <w:rPr>
                <w:noProof/>
                <w:webHidden/>
              </w:rPr>
              <w:instrText xml:space="preserve"> PAGEREF _Toc158882592 \h </w:instrText>
            </w:r>
            <w:r>
              <w:rPr>
                <w:noProof/>
                <w:webHidden/>
              </w:rPr>
            </w:r>
            <w:r>
              <w:rPr>
                <w:noProof/>
                <w:webHidden/>
              </w:rPr>
              <w:fldChar w:fldCharType="separate"/>
            </w:r>
            <w:r w:rsidR="007D65ED">
              <w:rPr>
                <w:noProof/>
                <w:webHidden/>
              </w:rPr>
              <w:t>9</w:t>
            </w:r>
            <w:r>
              <w:rPr>
                <w:noProof/>
                <w:webHidden/>
              </w:rPr>
              <w:fldChar w:fldCharType="end"/>
            </w:r>
          </w:hyperlink>
        </w:p>
        <w:p w14:paraId="3DEE0D8B" w14:textId="17B3E9FF" w:rsidR="005F11BC" w:rsidRDefault="005F11BC" w:rsidP="00B45F10">
          <w:pPr>
            <w:pStyle w:val="TOC1"/>
            <w:rPr>
              <w:rFonts w:asciiTheme="minorHAnsi" w:eastAsiaTheme="minorEastAsia" w:hAnsiTheme="minorHAnsi"/>
              <w:noProof/>
              <w:color w:val="auto"/>
              <w:kern w:val="2"/>
              <w:sz w:val="22"/>
              <w:lang w:eastAsia="en-AU"/>
              <w14:ligatures w14:val="standardContextual"/>
            </w:rPr>
          </w:pPr>
          <w:hyperlink w:anchor="_Toc158882599" w:history="1">
            <w:r w:rsidRPr="00125432">
              <w:rPr>
                <w:rStyle w:val="Hyperlink"/>
                <w:rFonts w:cs="Arial"/>
                <w:noProof/>
              </w:rPr>
              <w:t>3.</w:t>
            </w:r>
            <w:r>
              <w:rPr>
                <w:rFonts w:asciiTheme="minorHAnsi" w:eastAsiaTheme="minorEastAsia" w:hAnsiTheme="minorHAnsi"/>
                <w:noProof/>
                <w:color w:val="auto"/>
                <w:kern w:val="2"/>
                <w:sz w:val="22"/>
                <w:lang w:eastAsia="en-AU"/>
                <w14:ligatures w14:val="standardContextual"/>
              </w:rPr>
              <w:tab/>
            </w:r>
            <w:r w:rsidRPr="00125432">
              <w:rPr>
                <w:rStyle w:val="Hyperlink"/>
                <w:rFonts w:cs="Arial"/>
                <w:noProof/>
              </w:rPr>
              <w:t>Admitted acute</w:t>
            </w:r>
            <w:r>
              <w:rPr>
                <w:noProof/>
                <w:webHidden/>
              </w:rPr>
              <w:tab/>
            </w:r>
            <w:r>
              <w:rPr>
                <w:noProof/>
                <w:webHidden/>
              </w:rPr>
              <w:fldChar w:fldCharType="begin"/>
            </w:r>
            <w:r>
              <w:rPr>
                <w:noProof/>
                <w:webHidden/>
              </w:rPr>
              <w:instrText xml:space="preserve"> PAGEREF _Toc158882599 \h </w:instrText>
            </w:r>
            <w:r>
              <w:rPr>
                <w:noProof/>
                <w:webHidden/>
              </w:rPr>
            </w:r>
            <w:r>
              <w:rPr>
                <w:noProof/>
                <w:webHidden/>
              </w:rPr>
              <w:fldChar w:fldCharType="separate"/>
            </w:r>
            <w:r w:rsidR="007D65ED">
              <w:rPr>
                <w:noProof/>
                <w:webHidden/>
              </w:rPr>
              <w:t>14</w:t>
            </w:r>
            <w:r>
              <w:rPr>
                <w:noProof/>
                <w:webHidden/>
              </w:rPr>
              <w:fldChar w:fldCharType="end"/>
            </w:r>
          </w:hyperlink>
        </w:p>
        <w:p w14:paraId="3AEAACE7" w14:textId="0B82A9D3" w:rsidR="005F11BC" w:rsidRDefault="005F11BC" w:rsidP="00B45F10">
          <w:pPr>
            <w:pStyle w:val="TOC1"/>
            <w:rPr>
              <w:rFonts w:asciiTheme="minorHAnsi" w:eastAsiaTheme="minorEastAsia" w:hAnsiTheme="minorHAnsi"/>
              <w:noProof/>
              <w:color w:val="auto"/>
              <w:kern w:val="2"/>
              <w:sz w:val="22"/>
              <w:lang w:eastAsia="en-AU"/>
              <w14:ligatures w14:val="standardContextual"/>
            </w:rPr>
          </w:pPr>
          <w:hyperlink w:anchor="_Toc158882609" w:history="1">
            <w:r w:rsidRPr="00125432">
              <w:rPr>
                <w:rStyle w:val="Hyperlink"/>
                <w:rFonts w:cs="Arial"/>
                <w:noProof/>
              </w:rPr>
              <w:t>4.</w:t>
            </w:r>
            <w:r>
              <w:rPr>
                <w:rFonts w:asciiTheme="minorHAnsi" w:eastAsiaTheme="minorEastAsia" w:hAnsiTheme="minorHAnsi"/>
                <w:noProof/>
                <w:color w:val="auto"/>
                <w:kern w:val="2"/>
                <w:sz w:val="22"/>
                <w:lang w:eastAsia="en-AU"/>
                <w14:ligatures w14:val="standardContextual"/>
              </w:rPr>
              <w:tab/>
            </w:r>
            <w:r w:rsidRPr="00125432">
              <w:rPr>
                <w:rStyle w:val="Hyperlink"/>
                <w:rFonts w:cs="Arial"/>
                <w:noProof/>
              </w:rPr>
              <w:t>Admitted subacute and non-acute</w:t>
            </w:r>
            <w:r>
              <w:rPr>
                <w:noProof/>
                <w:webHidden/>
              </w:rPr>
              <w:tab/>
            </w:r>
            <w:r>
              <w:rPr>
                <w:noProof/>
                <w:webHidden/>
              </w:rPr>
              <w:fldChar w:fldCharType="begin"/>
            </w:r>
            <w:r>
              <w:rPr>
                <w:noProof/>
                <w:webHidden/>
              </w:rPr>
              <w:instrText xml:space="preserve"> PAGEREF _Toc158882609 \h </w:instrText>
            </w:r>
            <w:r>
              <w:rPr>
                <w:noProof/>
                <w:webHidden/>
              </w:rPr>
            </w:r>
            <w:r>
              <w:rPr>
                <w:noProof/>
                <w:webHidden/>
              </w:rPr>
              <w:fldChar w:fldCharType="separate"/>
            </w:r>
            <w:r w:rsidR="007D65ED">
              <w:rPr>
                <w:noProof/>
                <w:webHidden/>
              </w:rPr>
              <w:t>20</w:t>
            </w:r>
            <w:r>
              <w:rPr>
                <w:noProof/>
                <w:webHidden/>
              </w:rPr>
              <w:fldChar w:fldCharType="end"/>
            </w:r>
          </w:hyperlink>
        </w:p>
        <w:p w14:paraId="1C603277" w14:textId="5AEBA777" w:rsidR="005F11BC" w:rsidRDefault="005F11BC" w:rsidP="00B45F10">
          <w:pPr>
            <w:pStyle w:val="TOC1"/>
            <w:rPr>
              <w:rFonts w:asciiTheme="minorHAnsi" w:eastAsiaTheme="minorEastAsia" w:hAnsiTheme="minorHAnsi"/>
              <w:noProof/>
              <w:color w:val="auto"/>
              <w:kern w:val="2"/>
              <w:sz w:val="22"/>
              <w:lang w:eastAsia="en-AU"/>
              <w14:ligatures w14:val="standardContextual"/>
            </w:rPr>
          </w:pPr>
          <w:hyperlink w:anchor="_Toc158882617" w:history="1">
            <w:r w:rsidRPr="00125432">
              <w:rPr>
                <w:rStyle w:val="Hyperlink"/>
                <w:rFonts w:cs="Arial"/>
                <w:noProof/>
              </w:rPr>
              <w:t>5.</w:t>
            </w:r>
            <w:r>
              <w:rPr>
                <w:rFonts w:asciiTheme="minorHAnsi" w:eastAsiaTheme="minorEastAsia" w:hAnsiTheme="minorHAnsi"/>
                <w:noProof/>
                <w:color w:val="auto"/>
                <w:kern w:val="2"/>
                <w:sz w:val="22"/>
                <w:lang w:eastAsia="en-AU"/>
                <w14:ligatures w14:val="standardContextual"/>
              </w:rPr>
              <w:tab/>
            </w:r>
            <w:r w:rsidRPr="00125432">
              <w:rPr>
                <w:rStyle w:val="Hyperlink"/>
                <w:rFonts w:cs="Arial"/>
                <w:noProof/>
              </w:rPr>
              <w:t>Emergency department</w:t>
            </w:r>
            <w:r>
              <w:rPr>
                <w:noProof/>
                <w:webHidden/>
              </w:rPr>
              <w:tab/>
            </w:r>
            <w:r>
              <w:rPr>
                <w:noProof/>
                <w:webHidden/>
              </w:rPr>
              <w:fldChar w:fldCharType="begin"/>
            </w:r>
            <w:r>
              <w:rPr>
                <w:noProof/>
                <w:webHidden/>
              </w:rPr>
              <w:instrText xml:space="preserve"> PAGEREF _Toc158882617 \h </w:instrText>
            </w:r>
            <w:r>
              <w:rPr>
                <w:noProof/>
                <w:webHidden/>
              </w:rPr>
            </w:r>
            <w:r>
              <w:rPr>
                <w:noProof/>
                <w:webHidden/>
              </w:rPr>
              <w:fldChar w:fldCharType="separate"/>
            </w:r>
            <w:r w:rsidR="007D65ED">
              <w:rPr>
                <w:noProof/>
                <w:webHidden/>
              </w:rPr>
              <w:t>26</w:t>
            </w:r>
            <w:r>
              <w:rPr>
                <w:noProof/>
                <w:webHidden/>
              </w:rPr>
              <w:fldChar w:fldCharType="end"/>
            </w:r>
          </w:hyperlink>
        </w:p>
        <w:p w14:paraId="6A6BF976" w14:textId="4D156C09" w:rsidR="005F11BC" w:rsidRDefault="005F11BC" w:rsidP="00B45F10">
          <w:pPr>
            <w:pStyle w:val="TOC1"/>
            <w:rPr>
              <w:rFonts w:asciiTheme="minorHAnsi" w:eastAsiaTheme="minorEastAsia" w:hAnsiTheme="minorHAnsi"/>
              <w:noProof/>
              <w:color w:val="auto"/>
              <w:kern w:val="2"/>
              <w:sz w:val="22"/>
              <w:lang w:eastAsia="en-AU"/>
              <w14:ligatures w14:val="standardContextual"/>
            </w:rPr>
          </w:pPr>
          <w:hyperlink w:anchor="_Toc158882625" w:history="1">
            <w:r w:rsidRPr="00125432">
              <w:rPr>
                <w:rStyle w:val="Hyperlink"/>
                <w:rFonts w:cs="Arial"/>
                <w:noProof/>
              </w:rPr>
              <w:t>6.</w:t>
            </w:r>
            <w:r>
              <w:rPr>
                <w:rFonts w:asciiTheme="minorHAnsi" w:eastAsiaTheme="minorEastAsia" w:hAnsiTheme="minorHAnsi"/>
                <w:noProof/>
                <w:color w:val="auto"/>
                <w:kern w:val="2"/>
                <w:sz w:val="22"/>
                <w:lang w:eastAsia="en-AU"/>
                <w14:ligatures w14:val="standardContextual"/>
              </w:rPr>
              <w:tab/>
            </w:r>
            <w:r w:rsidRPr="00125432">
              <w:rPr>
                <w:rStyle w:val="Hyperlink"/>
                <w:rFonts w:cs="Arial"/>
                <w:noProof/>
              </w:rPr>
              <w:t>Non-admitted</w:t>
            </w:r>
            <w:r>
              <w:rPr>
                <w:noProof/>
                <w:webHidden/>
              </w:rPr>
              <w:tab/>
            </w:r>
            <w:r>
              <w:rPr>
                <w:noProof/>
                <w:webHidden/>
              </w:rPr>
              <w:fldChar w:fldCharType="begin"/>
            </w:r>
            <w:r>
              <w:rPr>
                <w:noProof/>
                <w:webHidden/>
              </w:rPr>
              <w:instrText xml:space="preserve"> PAGEREF _Toc158882625 \h </w:instrText>
            </w:r>
            <w:r>
              <w:rPr>
                <w:noProof/>
                <w:webHidden/>
              </w:rPr>
            </w:r>
            <w:r>
              <w:rPr>
                <w:noProof/>
                <w:webHidden/>
              </w:rPr>
              <w:fldChar w:fldCharType="separate"/>
            </w:r>
            <w:r w:rsidR="007D65ED">
              <w:rPr>
                <w:noProof/>
                <w:webHidden/>
              </w:rPr>
              <w:t>30</w:t>
            </w:r>
            <w:r>
              <w:rPr>
                <w:noProof/>
                <w:webHidden/>
              </w:rPr>
              <w:fldChar w:fldCharType="end"/>
            </w:r>
          </w:hyperlink>
        </w:p>
        <w:p w14:paraId="15D88BF6" w14:textId="7447EF05" w:rsidR="005F11BC" w:rsidRDefault="005F11BC" w:rsidP="00B45F10">
          <w:pPr>
            <w:pStyle w:val="TOC1"/>
            <w:rPr>
              <w:rFonts w:asciiTheme="minorHAnsi" w:eastAsiaTheme="minorEastAsia" w:hAnsiTheme="minorHAnsi"/>
              <w:noProof/>
              <w:color w:val="auto"/>
              <w:kern w:val="2"/>
              <w:sz w:val="22"/>
              <w:lang w:eastAsia="en-AU"/>
              <w14:ligatures w14:val="standardContextual"/>
            </w:rPr>
          </w:pPr>
          <w:hyperlink w:anchor="_Toc158882633" w:history="1">
            <w:r w:rsidRPr="00125432">
              <w:rPr>
                <w:rStyle w:val="Hyperlink"/>
                <w:rFonts w:cs="Arial"/>
                <w:bCs/>
                <w:noProof/>
              </w:rPr>
              <w:t>7.</w:t>
            </w:r>
            <w:r>
              <w:rPr>
                <w:rFonts w:asciiTheme="minorHAnsi" w:eastAsiaTheme="minorEastAsia" w:hAnsiTheme="minorHAnsi"/>
                <w:noProof/>
                <w:color w:val="auto"/>
                <w:kern w:val="2"/>
                <w:sz w:val="22"/>
                <w:lang w:eastAsia="en-AU"/>
                <w14:ligatures w14:val="standardContextual"/>
              </w:rPr>
              <w:tab/>
            </w:r>
            <w:r w:rsidRPr="00125432">
              <w:rPr>
                <w:rStyle w:val="Hyperlink"/>
                <w:rFonts w:cs="Arial"/>
                <w:bCs/>
                <w:noProof/>
              </w:rPr>
              <w:t>Admitted mental health</w:t>
            </w:r>
            <w:r>
              <w:rPr>
                <w:noProof/>
                <w:webHidden/>
              </w:rPr>
              <w:tab/>
            </w:r>
            <w:r>
              <w:rPr>
                <w:noProof/>
                <w:webHidden/>
              </w:rPr>
              <w:fldChar w:fldCharType="begin"/>
            </w:r>
            <w:r>
              <w:rPr>
                <w:noProof/>
                <w:webHidden/>
              </w:rPr>
              <w:instrText xml:space="preserve"> PAGEREF _Toc158882633 \h </w:instrText>
            </w:r>
            <w:r>
              <w:rPr>
                <w:noProof/>
                <w:webHidden/>
              </w:rPr>
            </w:r>
            <w:r>
              <w:rPr>
                <w:noProof/>
                <w:webHidden/>
              </w:rPr>
              <w:fldChar w:fldCharType="separate"/>
            </w:r>
            <w:r w:rsidR="007D65ED">
              <w:rPr>
                <w:noProof/>
                <w:webHidden/>
              </w:rPr>
              <w:t>36</w:t>
            </w:r>
            <w:r>
              <w:rPr>
                <w:noProof/>
                <w:webHidden/>
              </w:rPr>
              <w:fldChar w:fldCharType="end"/>
            </w:r>
          </w:hyperlink>
        </w:p>
        <w:p w14:paraId="6C87074F" w14:textId="4F717939" w:rsidR="005F11BC" w:rsidRDefault="005F11BC" w:rsidP="00B45F10">
          <w:pPr>
            <w:pStyle w:val="TOC1"/>
            <w:rPr>
              <w:rFonts w:asciiTheme="minorHAnsi" w:eastAsiaTheme="minorEastAsia" w:hAnsiTheme="minorHAnsi"/>
              <w:noProof/>
              <w:color w:val="auto"/>
              <w:kern w:val="2"/>
              <w:sz w:val="22"/>
              <w:lang w:eastAsia="en-AU"/>
              <w14:ligatures w14:val="standardContextual"/>
            </w:rPr>
          </w:pPr>
          <w:hyperlink w:anchor="_Toc158882642" w:history="1">
            <w:r w:rsidRPr="00125432">
              <w:rPr>
                <w:rStyle w:val="Hyperlink"/>
                <w:rFonts w:cs="Arial"/>
                <w:bCs/>
                <w:noProof/>
              </w:rPr>
              <w:t>8.</w:t>
            </w:r>
            <w:r>
              <w:rPr>
                <w:rFonts w:asciiTheme="minorHAnsi" w:eastAsiaTheme="minorEastAsia" w:hAnsiTheme="minorHAnsi"/>
                <w:noProof/>
                <w:color w:val="auto"/>
                <w:kern w:val="2"/>
                <w:sz w:val="22"/>
                <w:lang w:eastAsia="en-AU"/>
                <w14:ligatures w14:val="standardContextual"/>
              </w:rPr>
              <w:tab/>
            </w:r>
            <w:r w:rsidRPr="00125432">
              <w:rPr>
                <w:rStyle w:val="Hyperlink"/>
                <w:rFonts w:cs="Arial"/>
                <w:bCs/>
                <w:noProof/>
              </w:rPr>
              <w:t>Community mental health</w:t>
            </w:r>
            <w:r>
              <w:rPr>
                <w:noProof/>
                <w:webHidden/>
              </w:rPr>
              <w:tab/>
            </w:r>
            <w:r>
              <w:rPr>
                <w:noProof/>
                <w:webHidden/>
              </w:rPr>
              <w:fldChar w:fldCharType="begin"/>
            </w:r>
            <w:r>
              <w:rPr>
                <w:noProof/>
                <w:webHidden/>
              </w:rPr>
              <w:instrText xml:space="preserve"> PAGEREF _Toc158882642 \h </w:instrText>
            </w:r>
            <w:r>
              <w:rPr>
                <w:noProof/>
                <w:webHidden/>
              </w:rPr>
            </w:r>
            <w:r>
              <w:rPr>
                <w:noProof/>
                <w:webHidden/>
              </w:rPr>
              <w:fldChar w:fldCharType="separate"/>
            </w:r>
            <w:r w:rsidR="007D65ED">
              <w:rPr>
                <w:noProof/>
                <w:webHidden/>
              </w:rPr>
              <w:t>41</w:t>
            </w:r>
            <w:r>
              <w:rPr>
                <w:noProof/>
                <w:webHidden/>
              </w:rPr>
              <w:fldChar w:fldCharType="end"/>
            </w:r>
          </w:hyperlink>
        </w:p>
        <w:p w14:paraId="053CEA46" w14:textId="63F652AF" w:rsidR="001F3FD7" w:rsidRPr="00CE058E" w:rsidRDefault="001F3FD7" w:rsidP="00B45F10">
          <w:pPr>
            <w:pStyle w:val="TOC3"/>
            <w:rPr>
              <w:noProof/>
            </w:rPr>
          </w:pPr>
          <w:r w:rsidRPr="00CE058E">
            <w:rPr>
              <w:noProof/>
              <w:sz w:val="20"/>
              <w:szCs w:val="20"/>
            </w:rPr>
            <w:fldChar w:fldCharType="end"/>
          </w:r>
        </w:p>
      </w:sdtContent>
    </w:sdt>
    <w:p w14:paraId="190EE1B8" w14:textId="73F214A9" w:rsidR="002F162B" w:rsidRPr="00CE058E" w:rsidRDefault="001F3FD7" w:rsidP="00AB22F5">
      <w:pPr>
        <w:spacing w:before="60" w:after="60" w:line="259" w:lineRule="auto"/>
        <w:rPr>
          <w:rFonts w:cs="Arial"/>
          <w:sz w:val="28"/>
          <w:szCs w:val="28"/>
        </w:rPr>
      </w:pPr>
      <w:r w:rsidRPr="00CE058E">
        <w:rPr>
          <w:rFonts w:cs="Arial"/>
        </w:rPr>
        <w:br w:type="page"/>
      </w:r>
      <w:r w:rsidR="002F162B" w:rsidRPr="00CE058E">
        <w:rPr>
          <w:rFonts w:eastAsiaTheme="majorEastAsia" w:cs="Arial"/>
          <w:b/>
          <w:color w:val="104F99" w:themeColor="accent2"/>
          <w:sz w:val="28"/>
          <w:szCs w:val="28"/>
        </w:rPr>
        <w:lastRenderedPageBreak/>
        <w:t>Tables</w:t>
      </w:r>
    </w:p>
    <w:p w14:paraId="50885AE4" w14:textId="4CD93CA0" w:rsidR="00651221" w:rsidRDefault="00B42434">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r w:rsidRPr="00AB22F5">
        <w:rPr>
          <w:sz w:val="16"/>
          <w:szCs w:val="16"/>
        </w:rPr>
        <w:fldChar w:fldCharType="begin"/>
      </w:r>
      <w:r w:rsidRPr="00AB22F5">
        <w:rPr>
          <w:sz w:val="16"/>
          <w:szCs w:val="16"/>
        </w:rPr>
        <w:instrText xml:space="preserve"> TOC \h \z \c "Table" </w:instrText>
      </w:r>
      <w:r w:rsidRPr="00AB22F5">
        <w:rPr>
          <w:sz w:val="16"/>
          <w:szCs w:val="16"/>
        </w:rPr>
        <w:fldChar w:fldCharType="separate"/>
      </w:r>
      <w:hyperlink w:anchor="_Toc187312127" w:history="1">
        <w:r w:rsidR="00651221" w:rsidRPr="007B641A">
          <w:rPr>
            <w:rStyle w:val="Hyperlink"/>
            <w:noProof/>
            <w:lang w:val="en-PH"/>
          </w:rPr>
          <w:t>Table 1: NHCDC summary by activity stream, 2022-23</w:t>
        </w:r>
        <w:r w:rsidR="00651221">
          <w:rPr>
            <w:noProof/>
            <w:webHidden/>
          </w:rPr>
          <w:tab/>
        </w:r>
        <w:r w:rsidR="00651221">
          <w:rPr>
            <w:noProof/>
            <w:webHidden/>
          </w:rPr>
          <w:fldChar w:fldCharType="begin"/>
        </w:r>
        <w:r w:rsidR="00651221">
          <w:rPr>
            <w:noProof/>
            <w:webHidden/>
          </w:rPr>
          <w:instrText xml:space="preserve"> PAGEREF _Toc187312127 \h </w:instrText>
        </w:r>
        <w:r w:rsidR="00651221">
          <w:rPr>
            <w:noProof/>
            <w:webHidden/>
          </w:rPr>
        </w:r>
        <w:r w:rsidR="00651221">
          <w:rPr>
            <w:noProof/>
            <w:webHidden/>
          </w:rPr>
          <w:fldChar w:fldCharType="separate"/>
        </w:r>
        <w:r w:rsidR="007D65ED">
          <w:rPr>
            <w:noProof/>
            <w:webHidden/>
          </w:rPr>
          <w:t>7</w:t>
        </w:r>
        <w:r w:rsidR="00651221">
          <w:rPr>
            <w:noProof/>
            <w:webHidden/>
          </w:rPr>
          <w:fldChar w:fldCharType="end"/>
        </w:r>
      </w:hyperlink>
    </w:p>
    <w:p w14:paraId="1A13CAC0" w14:textId="0DE53B35"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28" w:history="1">
        <w:r w:rsidRPr="007B641A">
          <w:rPr>
            <w:rStyle w:val="Hyperlink"/>
            <w:noProof/>
            <w:lang w:val="en-PH"/>
          </w:rPr>
          <w:t>Table 2: Summary of in-scope records and cost, 2022-23</w:t>
        </w:r>
        <w:r>
          <w:rPr>
            <w:noProof/>
            <w:webHidden/>
          </w:rPr>
          <w:tab/>
        </w:r>
        <w:r>
          <w:rPr>
            <w:noProof/>
            <w:webHidden/>
          </w:rPr>
          <w:fldChar w:fldCharType="begin"/>
        </w:r>
        <w:r>
          <w:rPr>
            <w:noProof/>
            <w:webHidden/>
          </w:rPr>
          <w:instrText xml:space="preserve"> PAGEREF _Toc187312128 \h </w:instrText>
        </w:r>
        <w:r>
          <w:rPr>
            <w:noProof/>
            <w:webHidden/>
          </w:rPr>
        </w:r>
        <w:r>
          <w:rPr>
            <w:noProof/>
            <w:webHidden/>
          </w:rPr>
          <w:fldChar w:fldCharType="separate"/>
        </w:r>
        <w:r w:rsidR="007D65ED">
          <w:rPr>
            <w:noProof/>
            <w:webHidden/>
          </w:rPr>
          <w:t>11</w:t>
        </w:r>
        <w:r>
          <w:rPr>
            <w:noProof/>
            <w:webHidden/>
          </w:rPr>
          <w:fldChar w:fldCharType="end"/>
        </w:r>
      </w:hyperlink>
    </w:p>
    <w:p w14:paraId="0455ED23" w14:textId="2212081E"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29" w:history="1">
        <w:r w:rsidRPr="007B641A">
          <w:rPr>
            <w:rStyle w:val="Hyperlink"/>
            <w:noProof/>
            <w:lang w:val="en-PH"/>
          </w:rPr>
          <w:t xml:space="preserve">Table 3: Proportion of in-scope NHCDC </w:t>
        </w:r>
        <w:r w:rsidRPr="007B641A">
          <w:rPr>
            <w:rStyle w:val="Hyperlink"/>
            <w:noProof/>
          </w:rPr>
          <w:t>records</w:t>
        </w:r>
        <w:r w:rsidRPr="007B641A">
          <w:rPr>
            <w:rStyle w:val="Hyperlink"/>
            <w:noProof/>
            <w:lang w:val="en-PH"/>
          </w:rPr>
          <w:t xml:space="preserve"> and costed activity, 2022-23</w:t>
        </w:r>
        <w:r>
          <w:rPr>
            <w:noProof/>
            <w:webHidden/>
          </w:rPr>
          <w:tab/>
        </w:r>
        <w:r>
          <w:rPr>
            <w:noProof/>
            <w:webHidden/>
          </w:rPr>
          <w:fldChar w:fldCharType="begin"/>
        </w:r>
        <w:r>
          <w:rPr>
            <w:noProof/>
            <w:webHidden/>
          </w:rPr>
          <w:instrText xml:space="preserve"> PAGEREF _Toc187312129 \h </w:instrText>
        </w:r>
        <w:r>
          <w:rPr>
            <w:noProof/>
            <w:webHidden/>
          </w:rPr>
        </w:r>
        <w:r>
          <w:rPr>
            <w:noProof/>
            <w:webHidden/>
          </w:rPr>
          <w:fldChar w:fldCharType="separate"/>
        </w:r>
        <w:r w:rsidR="007D65ED">
          <w:rPr>
            <w:noProof/>
            <w:webHidden/>
          </w:rPr>
          <w:t>12</w:t>
        </w:r>
        <w:r>
          <w:rPr>
            <w:noProof/>
            <w:webHidden/>
          </w:rPr>
          <w:fldChar w:fldCharType="end"/>
        </w:r>
      </w:hyperlink>
    </w:p>
    <w:p w14:paraId="6F7712D5" w14:textId="63234EE7"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30" w:history="1">
        <w:r w:rsidRPr="007B641A">
          <w:rPr>
            <w:rStyle w:val="Hyperlink"/>
            <w:noProof/>
            <w:lang w:val="en-PH"/>
          </w:rPr>
          <w:t>Table 4: Contracted care records and cost, 2020-21 to 2022-23</w:t>
        </w:r>
        <w:r>
          <w:rPr>
            <w:noProof/>
            <w:webHidden/>
          </w:rPr>
          <w:tab/>
        </w:r>
        <w:r>
          <w:rPr>
            <w:noProof/>
            <w:webHidden/>
          </w:rPr>
          <w:fldChar w:fldCharType="begin"/>
        </w:r>
        <w:r>
          <w:rPr>
            <w:noProof/>
            <w:webHidden/>
          </w:rPr>
          <w:instrText xml:space="preserve"> PAGEREF _Toc187312130 \h </w:instrText>
        </w:r>
        <w:r>
          <w:rPr>
            <w:noProof/>
            <w:webHidden/>
          </w:rPr>
        </w:r>
        <w:r>
          <w:rPr>
            <w:noProof/>
            <w:webHidden/>
          </w:rPr>
          <w:fldChar w:fldCharType="separate"/>
        </w:r>
        <w:r w:rsidR="007D65ED">
          <w:rPr>
            <w:noProof/>
            <w:webHidden/>
          </w:rPr>
          <w:t>13</w:t>
        </w:r>
        <w:r>
          <w:rPr>
            <w:noProof/>
            <w:webHidden/>
          </w:rPr>
          <w:fldChar w:fldCharType="end"/>
        </w:r>
      </w:hyperlink>
    </w:p>
    <w:p w14:paraId="461A5B48" w14:textId="4F79AA5C"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31" w:history="1">
        <w:r w:rsidRPr="007B641A">
          <w:rPr>
            <w:rStyle w:val="Hyperlink"/>
            <w:noProof/>
            <w:lang w:val="en-PH"/>
          </w:rPr>
          <w:t>Table 5: Admitted acute national summary, 2020-21 to 2022-23</w:t>
        </w:r>
        <w:r>
          <w:rPr>
            <w:noProof/>
            <w:webHidden/>
          </w:rPr>
          <w:tab/>
        </w:r>
        <w:r>
          <w:rPr>
            <w:noProof/>
            <w:webHidden/>
          </w:rPr>
          <w:fldChar w:fldCharType="begin"/>
        </w:r>
        <w:r>
          <w:rPr>
            <w:noProof/>
            <w:webHidden/>
          </w:rPr>
          <w:instrText xml:space="preserve"> PAGEREF _Toc187312131 \h </w:instrText>
        </w:r>
        <w:r>
          <w:rPr>
            <w:noProof/>
            <w:webHidden/>
          </w:rPr>
        </w:r>
        <w:r>
          <w:rPr>
            <w:noProof/>
            <w:webHidden/>
          </w:rPr>
          <w:fldChar w:fldCharType="separate"/>
        </w:r>
        <w:r w:rsidR="007D65ED">
          <w:rPr>
            <w:noProof/>
            <w:webHidden/>
          </w:rPr>
          <w:t>14</w:t>
        </w:r>
        <w:r>
          <w:rPr>
            <w:noProof/>
            <w:webHidden/>
          </w:rPr>
          <w:fldChar w:fldCharType="end"/>
        </w:r>
      </w:hyperlink>
    </w:p>
    <w:p w14:paraId="7C2CB431" w14:textId="207ABF68"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32" w:history="1">
        <w:r w:rsidRPr="007B641A">
          <w:rPr>
            <w:rStyle w:val="Hyperlink"/>
            <w:noProof/>
            <w:lang w:val="en-PH"/>
          </w:rPr>
          <w:t xml:space="preserve">Table 6: Admitted acute sample summary by jurisdiction, 2020-21 to </w:t>
        </w:r>
        <w:r w:rsidRPr="007B641A">
          <w:rPr>
            <w:rStyle w:val="Hyperlink"/>
            <w:noProof/>
          </w:rPr>
          <w:t>2022</w:t>
        </w:r>
        <w:r w:rsidRPr="007B641A">
          <w:rPr>
            <w:rStyle w:val="Hyperlink"/>
            <w:noProof/>
            <w:lang w:val="en-PH"/>
          </w:rPr>
          <w:noBreakHyphen/>
          <w:t>23</w:t>
        </w:r>
        <w:r>
          <w:rPr>
            <w:noProof/>
            <w:webHidden/>
          </w:rPr>
          <w:tab/>
        </w:r>
        <w:r>
          <w:rPr>
            <w:noProof/>
            <w:webHidden/>
          </w:rPr>
          <w:fldChar w:fldCharType="begin"/>
        </w:r>
        <w:r>
          <w:rPr>
            <w:noProof/>
            <w:webHidden/>
          </w:rPr>
          <w:instrText xml:space="preserve"> PAGEREF _Toc187312132 \h </w:instrText>
        </w:r>
        <w:r>
          <w:rPr>
            <w:noProof/>
            <w:webHidden/>
          </w:rPr>
        </w:r>
        <w:r>
          <w:rPr>
            <w:noProof/>
            <w:webHidden/>
          </w:rPr>
          <w:fldChar w:fldCharType="separate"/>
        </w:r>
        <w:r w:rsidR="007D65ED">
          <w:rPr>
            <w:noProof/>
            <w:webHidden/>
          </w:rPr>
          <w:t>15</w:t>
        </w:r>
        <w:r>
          <w:rPr>
            <w:noProof/>
            <w:webHidden/>
          </w:rPr>
          <w:fldChar w:fldCharType="end"/>
        </w:r>
      </w:hyperlink>
    </w:p>
    <w:p w14:paraId="5A09B03D" w14:textId="19BC5711"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33" w:history="1">
        <w:r w:rsidRPr="007B641A">
          <w:rPr>
            <w:rStyle w:val="Hyperlink"/>
            <w:rFonts w:cstheme="majorBidi"/>
            <w:noProof/>
            <w:lang w:val="en-PH"/>
          </w:rPr>
          <w:t>Table 7: National average cost per admitted acute separation by cost bucket, 2022-23</w:t>
        </w:r>
        <w:r>
          <w:rPr>
            <w:noProof/>
            <w:webHidden/>
          </w:rPr>
          <w:tab/>
        </w:r>
        <w:r>
          <w:rPr>
            <w:noProof/>
            <w:webHidden/>
          </w:rPr>
          <w:fldChar w:fldCharType="begin"/>
        </w:r>
        <w:r>
          <w:rPr>
            <w:noProof/>
            <w:webHidden/>
          </w:rPr>
          <w:instrText xml:space="preserve"> PAGEREF _Toc187312133 \h </w:instrText>
        </w:r>
        <w:r>
          <w:rPr>
            <w:noProof/>
            <w:webHidden/>
          </w:rPr>
        </w:r>
        <w:r>
          <w:rPr>
            <w:noProof/>
            <w:webHidden/>
          </w:rPr>
          <w:fldChar w:fldCharType="separate"/>
        </w:r>
        <w:r w:rsidR="007D65ED">
          <w:rPr>
            <w:noProof/>
            <w:webHidden/>
          </w:rPr>
          <w:t>18</w:t>
        </w:r>
        <w:r>
          <w:rPr>
            <w:noProof/>
            <w:webHidden/>
          </w:rPr>
          <w:fldChar w:fldCharType="end"/>
        </w:r>
      </w:hyperlink>
    </w:p>
    <w:p w14:paraId="40BAF87D" w14:textId="42AA9883"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34" w:history="1">
        <w:r w:rsidRPr="007B641A">
          <w:rPr>
            <w:rStyle w:val="Hyperlink"/>
            <w:noProof/>
            <w:lang w:val="en-PH"/>
          </w:rPr>
          <w:t>Table 8: National average cost per admitted acute separation by line item, 2022-23</w:t>
        </w:r>
        <w:r>
          <w:rPr>
            <w:noProof/>
            <w:webHidden/>
          </w:rPr>
          <w:tab/>
        </w:r>
        <w:r>
          <w:rPr>
            <w:noProof/>
            <w:webHidden/>
          </w:rPr>
          <w:fldChar w:fldCharType="begin"/>
        </w:r>
        <w:r>
          <w:rPr>
            <w:noProof/>
            <w:webHidden/>
          </w:rPr>
          <w:instrText xml:space="preserve"> PAGEREF _Toc187312134 \h </w:instrText>
        </w:r>
        <w:r>
          <w:rPr>
            <w:noProof/>
            <w:webHidden/>
          </w:rPr>
        </w:r>
        <w:r>
          <w:rPr>
            <w:noProof/>
            <w:webHidden/>
          </w:rPr>
          <w:fldChar w:fldCharType="separate"/>
        </w:r>
        <w:r w:rsidR="007D65ED">
          <w:rPr>
            <w:noProof/>
            <w:webHidden/>
          </w:rPr>
          <w:t>19</w:t>
        </w:r>
        <w:r>
          <w:rPr>
            <w:noProof/>
            <w:webHidden/>
          </w:rPr>
          <w:fldChar w:fldCharType="end"/>
        </w:r>
      </w:hyperlink>
    </w:p>
    <w:p w14:paraId="5FDBB591" w14:textId="18936309"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35" w:history="1">
        <w:r w:rsidRPr="007B641A">
          <w:rPr>
            <w:rStyle w:val="Hyperlink"/>
            <w:noProof/>
            <w:lang w:val="en-PH"/>
          </w:rPr>
          <w:t>Table 9: AN-SNAP episodes national summary, 2020-</w:t>
        </w:r>
        <w:r w:rsidRPr="007B641A">
          <w:rPr>
            <w:rStyle w:val="Hyperlink"/>
            <w:noProof/>
          </w:rPr>
          <w:t>21</w:t>
        </w:r>
        <w:r w:rsidRPr="007B641A">
          <w:rPr>
            <w:rStyle w:val="Hyperlink"/>
            <w:noProof/>
            <w:lang w:val="en-PH"/>
          </w:rPr>
          <w:t xml:space="preserve"> to 2022-23</w:t>
        </w:r>
        <w:r>
          <w:rPr>
            <w:noProof/>
            <w:webHidden/>
          </w:rPr>
          <w:tab/>
        </w:r>
        <w:r>
          <w:rPr>
            <w:noProof/>
            <w:webHidden/>
          </w:rPr>
          <w:fldChar w:fldCharType="begin"/>
        </w:r>
        <w:r>
          <w:rPr>
            <w:noProof/>
            <w:webHidden/>
          </w:rPr>
          <w:instrText xml:space="preserve"> PAGEREF _Toc187312135 \h </w:instrText>
        </w:r>
        <w:r>
          <w:rPr>
            <w:noProof/>
            <w:webHidden/>
          </w:rPr>
        </w:r>
        <w:r>
          <w:rPr>
            <w:noProof/>
            <w:webHidden/>
          </w:rPr>
          <w:fldChar w:fldCharType="separate"/>
        </w:r>
        <w:r w:rsidR="007D65ED">
          <w:rPr>
            <w:noProof/>
            <w:webHidden/>
          </w:rPr>
          <w:t>20</w:t>
        </w:r>
        <w:r>
          <w:rPr>
            <w:noProof/>
            <w:webHidden/>
          </w:rPr>
          <w:fldChar w:fldCharType="end"/>
        </w:r>
      </w:hyperlink>
    </w:p>
    <w:p w14:paraId="0AD15392" w14:textId="3B20C80C"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36" w:history="1">
        <w:r w:rsidRPr="007B641A">
          <w:rPr>
            <w:rStyle w:val="Hyperlink"/>
            <w:rFonts w:cstheme="majorBidi"/>
            <w:noProof/>
            <w:lang w:val="en-PH"/>
          </w:rPr>
          <w:t>Table 10: AN-SNAP phases national summary, 2020-21 to 2022-23</w:t>
        </w:r>
        <w:r>
          <w:rPr>
            <w:noProof/>
            <w:webHidden/>
          </w:rPr>
          <w:tab/>
        </w:r>
        <w:r>
          <w:rPr>
            <w:noProof/>
            <w:webHidden/>
          </w:rPr>
          <w:fldChar w:fldCharType="begin"/>
        </w:r>
        <w:r>
          <w:rPr>
            <w:noProof/>
            <w:webHidden/>
          </w:rPr>
          <w:instrText xml:space="preserve"> PAGEREF _Toc187312136 \h </w:instrText>
        </w:r>
        <w:r>
          <w:rPr>
            <w:noProof/>
            <w:webHidden/>
          </w:rPr>
        </w:r>
        <w:r>
          <w:rPr>
            <w:noProof/>
            <w:webHidden/>
          </w:rPr>
          <w:fldChar w:fldCharType="separate"/>
        </w:r>
        <w:r w:rsidR="007D65ED">
          <w:rPr>
            <w:noProof/>
            <w:webHidden/>
          </w:rPr>
          <w:t>20</w:t>
        </w:r>
        <w:r>
          <w:rPr>
            <w:noProof/>
            <w:webHidden/>
          </w:rPr>
          <w:fldChar w:fldCharType="end"/>
        </w:r>
      </w:hyperlink>
    </w:p>
    <w:p w14:paraId="1B7FBDFD" w14:textId="3B149A49"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37" w:history="1">
        <w:r w:rsidRPr="007B641A">
          <w:rPr>
            <w:rStyle w:val="Hyperlink"/>
            <w:noProof/>
            <w:lang w:val="en-PH"/>
          </w:rPr>
          <w:t>Table 11: AN-SNAP episode sample summary by jurisdiction, 2020-21 to 2022-23</w:t>
        </w:r>
        <w:r>
          <w:rPr>
            <w:noProof/>
            <w:webHidden/>
          </w:rPr>
          <w:tab/>
        </w:r>
        <w:r>
          <w:rPr>
            <w:noProof/>
            <w:webHidden/>
          </w:rPr>
          <w:fldChar w:fldCharType="begin"/>
        </w:r>
        <w:r>
          <w:rPr>
            <w:noProof/>
            <w:webHidden/>
          </w:rPr>
          <w:instrText xml:space="preserve"> PAGEREF _Toc187312137 \h </w:instrText>
        </w:r>
        <w:r>
          <w:rPr>
            <w:noProof/>
            <w:webHidden/>
          </w:rPr>
        </w:r>
        <w:r>
          <w:rPr>
            <w:noProof/>
            <w:webHidden/>
          </w:rPr>
          <w:fldChar w:fldCharType="separate"/>
        </w:r>
        <w:r w:rsidR="007D65ED">
          <w:rPr>
            <w:noProof/>
            <w:webHidden/>
          </w:rPr>
          <w:t>21</w:t>
        </w:r>
        <w:r>
          <w:rPr>
            <w:noProof/>
            <w:webHidden/>
          </w:rPr>
          <w:fldChar w:fldCharType="end"/>
        </w:r>
      </w:hyperlink>
    </w:p>
    <w:p w14:paraId="0EA8645C" w14:textId="656C3B8D"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38" w:history="1">
        <w:r w:rsidRPr="007B641A">
          <w:rPr>
            <w:rStyle w:val="Hyperlink"/>
            <w:noProof/>
            <w:lang w:val="en-PH"/>
          </w:rPr>
          <w:t>Table 12: AN-SNAP phase sample summary by jurisdiction, 2020-21 to 2022-23</w:t>
        </w:r>
        <w:r>
          <w:rPr>
            <w:noProof/>
            <w:webHidden/>
          </w:rPr>
          <w:tab/>
        </w:r>
        <w:r>
          <w:rPr>
            <w:noProof/>
            <w:webHidden/>
          </w:rPr>
          <w:fldChar w:fldCharType="begin"/>
        </w:r>
        <w:r>
          <w:rPr>
            <w:noProof/>
            <w:webHidden/>
          </w:rPr>
          <w:instrText xml:space="preserve"> PAGEREF _Toc187312138 \h </w:instrText>
        </w:r>
        <w:r>
          <w:rPr>
            <w:noProof/>
            <w:webHidden/>
          </w:rPr>
        </w:r>
        <w:r>
          <w:rPr>
            <w:noProof/>
            <w:webHidden/>
          </w:rPr>
          <w:fldChar w:fldCharType="separate"/>
        </w:r>
        <w:r w:rsidR="007D65ED">
          <w:rPr>
            <w:noProof/>
            <w:webHidden/>
          </w:rPr>
          <w:t>21</w:t>
        </w:r>
        <w:r>
          <w:rPr>
            <w:noProof/>
            <w:webHidden/>
          </w:rPr>
          <w:fldChar w:fldCharType="end"/>
        </w:r>
      </w:hyperlink>
    </w:p>
    <w:p w14:paraId="6D1EE1E7" w14:textId="7A8DFF67"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39" w:history="1">
        <w:r w:rsidRPr="007B641A">
          <w:rPr>
            <w:rStyle w:val="Hyperlink"/>
            <w:noProof/>
            <w:lang w:val="en-PH"/>
          </w:rPr>
          <w:t>Table 13: National average cost per AN-SNAP episode by cost bucket, 2022-23</w:t>
        </w:r>
        <w:r>
          <w:rPr>
            <w:noProof/>
            <w:webHidden/>
          </w:rPr>
          <w:tab/>
        </w:r>
        <w:r>
          <w:rPr>
            <w:noProof/>
            <w:webHidden/>
          </w:rPr>
          <w:fldChar w:fldCharType="begin"/>
        </w:r>
        <w:r>
          <w:rPr>
            <w:noProof/>
            <w:webHidden/>
          </w:rPr>
          <w:instrText xml:space="preserve"> PAGEREF _Toc187312139 \h </w:instrText>
        </w:r>
        <w:r>
          <w:rPr>
            <w:noProof/>
            <w:webHidden/>
          </w:rPr>
        </w:r>
        <w:r>
          <w:rPr>
            <w:noProof/>
            <w:webHidden/>
          </w:rPr>
          <w:fldChar w:fldCharType="separate"/>
        </w:r>
        <w:r w:rsidR="007D65ED">
          <w:rPr>
            <w:noProof/>
            <w:webHidden/>
          </w:rPr>
          <w:t>24</w:t>
        </w:r>
        <w:r>
          <w:rPr>
            <w:noProof/>
            <w:webHidden/>
          </w:rPr>
          <w:fldChar w:fldCharType="end"/>
        </w:r>
      </w:hyperlink>
    </w:p>
    <w:p w14:paraId="54CD5BDE" w14:textId="5760D2D0"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40" w:history="1">
        <w:r w:rsidRPr="007B641A">
          <w:rPr>
            <w:rStyle w:val="Hyperlink"/>
            <w:noProof/>
            <w:lang w:val="en-PH"/>
          </w:rPr>
          <w:t>Table 14: National average cost per AN-SNAP phase by cost bucket, 2022-23</w:t>
        </w:r>
        <w:r>
          <w:rPr>
            <w:noProof/>
            <w:webHidden/>
          </w:rPr>
          <w:tab/>
        </w:r>
        <w:r>
          <w:rPr>
            <w:noProof/>
            <w:webHidden/>
          </w:rPr>
          <w:fldChar w:fldCharType="begin"/>
        </w:r>
        <w:r>
          <w:rPr>
            <w:noProof/>
            <w:webHidden/>
          </w:rPr>
          <w:instrText xml:space="preserve"> PAGEREF _Toc187312140 \h </w:instrText>
        </w:r>
        <w:r>
          <w:rPr>
            <w:noProof/>
            <w:webHidden/>
          </w:rPr>
        </w:r>
        <w:r>
          <w:rPr>
            <w:noProof/>
            <w:webHidden/>
          </w:rPr>
          <w:fldChar w:fldCharType="separate"/>
        </w:r>
        <w:r w:rsidR="007D65ED">
          <w:rPr>
            <w:noProof/>
            <w:webHidden/>
          </w:rPr>
          <w:t>25</w:t>
        </w:r>
        <w:r>
          <w:rPr>
            <w:noProof/>
            <w:webHidden/>
          </w:rPr>
          <w:fldChar w:fldCharType="end"/>
        </w:r>
      </w:hyperlink>
    </w:p>
    <w:p w14:paraId="654A44B7" w14:textId="098AE031"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41" w:history="1">
        <w:r w:rsidRPr="007B641A">
          <w:rPr>
            <w:rStyle w:val="Hyperlink"/>
            <w:noProof/>
            <w:lang w:val="en-PH"/>
          </w:rPr>
          <w:t>Table 15: ED national summary, 2020-21 to 2022-23</w:t>
        </w:r>
        <w:r>
          <w:rPr>
            <w:noProof/>
            <w:webHidden/>
          </w:rPr>
          <w:tab/>
        </w:r>
        <w:r>
          <w:rPr>
            <w:noProof/>
            <w:webHidden/>
          </w:rPr>
          <w:fldChar w:fldCharType="begin"/>
        </w:r>
        <w:r>
          <w:rPr>
            <w:noProof/>
            <w:webHidden/>
          </w:rPr>
          <w:instrText xml:space="preserve"> PAGEREF _Toc187312141 \h </w:instrText>
        </w:r>
        <w:r>
          <w:rPr>
            <w:noProof/>
            <w:webHidden/>
          </w:rPr>
        </w:r>
        <w:r>
          <w:rPr>
            <w:noProof/>
            <w:webHidden/>
          </w:rPr>
          <w:fldChar w:fldCharType="separate"/>
        </w:r>
        <w:r w:rsidR="007D65ED">
          <w:rPr>
            <w:noProof/>
            <w:webHidden/>
          </w:rPr>
          <w:t>26</w:t>
        </w:r>
        <w:r>
          <w:rPr>
            <w:noProof/>
            <w:webHidden/>
          </w:rPr>
          <w:fldChar w:fldCharType="end"/>
        </w:r>
      </w:hyperlink>
    </w:p>
    <w:p w14:paraId="6D3AFDFD" w14:textId="43D5C315"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42" w:history="1">
        <w:r w:rsidRPr="007B641A">
          <w:rPr>
            <w:rStyle w:val="Hyperlink"/>
            <w:noProof/>
            <w:lang w:val="en-PH"/>
          </w:rPr>
          <w:t xml:space="preserve">Table 16: ED sample summary by </w:t>
        </w:r>
        <w:r w:rsidRPr="007B641A">
          <w:rPr>
            <w:rStyle w:val="Hyperlink"/>
            <w:noProof/>
          </w:rPr>
          <w:t>jurisdiction</w:t>
        </w:r>
        <w:r w:rsidRPr="007B641A">
          <w:rPr>
            <w:rStyle w:val="Hyperlink"/>
            <w:noProof/>
            <w:lang w:val="en-PH"/>
          </w:rPr>
          <w:t>, 2020</w:t>
        </w:r>
        <w:r w:rsidRPr="007B641A">
          <w:rPr>
            <w:rStyle w:val="Hyperlink"/>
            <w:noProof/>
            <w:lang w:val="en-PH"/>
          </w:rPr>
          <w:noBreakHyphen/>
          <w:t>21 to 2022-23</w:t>
        </w:r>
        <w:r>
          <w:rPr>
            <w:noProof/>
            <w:webHidden/>
          </w:rPr>
          <w:tab/>
        </w:r>
        <w:r>
          <w:rPr>
            <w:noProof/>
            <w:webHidden/>
          </w:rPr>
          <w:fldChar w:fldCharType="begin"/>
        </w:r>
        <w:r>
          <w:rPr>
            <w:noProof/>
            <w:webHidden/>
          </w:rPr>
          <w:instrText xml:space="preserve"> PAGEREF _Toc187312142 \h </w:instrText>
        </w:r>
        <w:r>
          <w:rPr>
            <w:noProof/>
            <w:webHidden/>
          </w:rPr>
        </w:r>
        <w:r>
          <w:rPr>
            <w:noProof/>
            <w:webHidden/>
          </w:rPr>
          <w:fldChar w:fldCharType="separate"/>
        </w:r>
        <w:r w:rsidR="007D65ED">
          <w:rPr>
            <w:noProof/>
            <w:webHidden/>
          </w:rPr>
          <w:t>27</w:t>
        </w:r>
        <w:r>
          <w:rPr>
            <w:noProof/>
            <w:webHidden/>
          </w:rPr>
          <w:fldChar w:fldCharType="end"/>
        </w:r>
      </w:hyperlink>
    </w:p>
    <w:p w14:paraId="0B2EC721" w14:textId="150E676A"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43" w:history="1">
        <w:r w:rsidRPr="007B641A">
          <w:rPr>
            <w:rStyle w:val="Hyperlink"/>
            <w:noProof/>
            <w:lang w:val="en-PH"/>
          </w:rPr>
          <w:t>Table 17: National average cost per ED patient presentation by cost bucket national, 2022-23</w:t>
        </w:r>
        <w:r>
          <w:rPr>
            <w:noProof/>
            <w:webHidden/>
          </w:rPr>
          <w:tab/>
        </w:r>
        <w:r>
          <w:rPr>
            <w:noProof/>
            <w:webHidden/>
          </w:rPr>
          <w:fldChar w:fldCharType="begin"/>
        </w:r>
        <w:r>
          <w:rPr>
            <w:noProof/>
            <w:webHidden/>
          </w:rPr>
          <w:instrText xml:space="preserve"> PAGEREF _Toc187312143 \h </w:instrText>
        </w:r>
        <w:r>
          <w:rPr>
            <w:noProof/>
            <w:webHidden/>
          </w:rPr>
        </w:r>
        <w:r>
          <w:rPr>
            <w:noProof/>
            <w:webHidden/>
          </w:rPr>
          <w:fldChar w:fldCharType="separate"/>
        </w:r>
        <w:r w:rsidR="007D65ED">
          <w:rPr>
            <w:noProof/>
            <w:webHidden/>
          </w:rPr>
          <w:t>29</w:t>
        </w:r>
        <w:r>
          <w:rPr>
            <w:noProof/>
            <w:webHidden/>
          </w:rPr>
          <w:fldChar w:fldCharType="end"/>
        </w:r>
      </w:hyperlink>
    </w:p>
    <w:p w14:paraId="1C99E5FA" w14:textId="38D558E8"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44" w:history="1">
        <w:r w:rsidRPr="007B641A">
          <w:rPr>
            <w:rStyle w:val="Hyperlink"/>
            <w:noProof/>
            <w:lang w:val="en-PH"/>
          </w:rPr>
          <w:t xml:space="preserve">Table 18: Non-admitted national summary, </w:t>
        </w:r>
        <w:r w:rsidRPr="007B641A">
          <w:rPr>
            <w:rStyle w:val="Hyperlink"/>
            <w:noProof/>
          </w:rPr>
          <w:t>2020</w:t>
        </w:r>
        <w:r w:rsidRPr="007B641A">
          <w:rPr>
            <w:rStyle w:val="Hyperlink"/>
            <w:noProof/>
            <w:lang w:val="en-PH"/>
          </w:rPr>
          <w:t>-21 to 2022-23</w:t>
        </w:r>
        <w:r>
          <w:rPr>
            <w:noProof/>
            <w:webHidden/>
          </w:rPr>
          <w:tab/>
        </w:r>
        <w:r>
          <w:rPr>
            <w:noProof/>
            <w:webHidden/>
          </w:rPr>
          <w:fldChar w:fldCharType="begin"/>
        </w:r>
        <w:r>
          <w:rPr>
            <w:noProof/>
            <w:webHidden/>
          </w:rPr>
          <w:instrText xml:space="preserve"> PAGEREF _Toc187312144 \h </w:instrText>
        </w:r>
        <w:r>
          <w:rPr>
            <w:noProof/>
            <w:webHidden/>
          </w:rPr>
        </w:r>
        <w:r>
          <w:rPr>
            <w:noProof/>
            <w:webHidden/>
          </w:rPr>
          <w:fldChar w:fldCharType="separate"/>
        </w:r>
        <w:r w:rsidR="007D65ED">
          <w:rPr>
            <w:noProof/>
            <w:webHidden/>
          </w:rPr>
          <w:t>30</w:t>
        </w:r>
        <w:r>
          <w:rPr>
            <w:noProof/>
            <w:webHidden/>
          </w:rPr>
          <w:fldChar w:fldCharType="end"/>
        </w:r>
      </w:hyperlink>
    </w:p>
    <w:p w14:paraId="57186902" w14:textId="71AC0882"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45" w:history="1">
        <w:r w:rsidRPr="007B641A">
          <w:rPr>
            <w:rStyle w:val="Hyperlink"/>
            <w:noProof/>
            <w:lang w:val="en-PH"/>
          </w:rPr>
          <w:t xml:space="preserve">Table 19: </w:t>
        </w:r>
        <w:r w:rsidRPr="007B641A">
          <w:rPr>
            <w:rStyle w:val="Hyperlink"/>
            <w:rFonts w:cstheme="majorBidi"/>
            <w:noProof/>
            <w:lang w:val="en-PH"/>
          </w:rPr>
          <w:t xml:space="preserve">Non-admitted </w:t>
        </w:r>
        <w:r w:rsidRPr="007B641A">
          <w:rPr>
            <w:rStyle w:val="Hyperlink"/>
            <w:noProof/>
            <w:lang w:val="en-PH"/>
          </w:rPr>
          <w:t xml:space="preserve">sample summary </w:t>
        </w:r>
        <w:r w:rsidRPr="007B641A">
          <w:rPr>
            <w:rStyle w:val="Hyperlink"/>
            <w:noProof/>
          </w:rPr>
          <w:t>by</w:t>
        </w:r>
        <w:r w:rsidRPr="007B641A">
          <w:rPr>
            <w:rStyle w:val="Hyperlink"/>
            <w:noProof/>
            <w:lang w:val="en-PH"/>
          </w:rPr>
          <w:t xml:space="preserve"> </w:t>
        </w:r>
        <w:r w:rsidRPr="007B641A">
          <w:rPr>
            <w:rStyle w:val="Hyperlink"/>
            <w:noProof/>
          </w:rPr>
          <w:t>jurisdiction</w:t>
        </w:r>
        <w:r w:rsidRPr="007B641A">
          <w:rPr>
            <w:rStyle w:val="Hyperlink"/>
            <w:noProof/>
            <w:lang w:val="en-PH"/>
          </w:rPr>
          <w:t>, 2020-21 to 2022-23</w:t>
        </w:r>
        <w:r>
          <w:rPr>
            <w:noProof/>
            <w:webHidden/>
          </w:rPr>
          <w:tab/>
        </w:r>
        <w:r>
          <w:rPr>
            <w:noProof/>
            <w:webHidden/>
          </w:rPr>
          <w:fldChar w:fldCharType="begin"/>
        </w:r>
        <w:r>
          <w:rPr>
            <w:noProof/>
            <w:webHidden/>
          </w:rPr>
          <w:instrText xml:space="preserve"> PAGEREF _Toc187312145 \h </w:instrText>
        </w:r>
        <w:r>
          <w:rPr>
            <w:noProof/>
            <w:webHidden/>
          </w:rPr>
        </w:r>
        <w:r>
          <w:rPr>
            <w:noProof/>
            <w:webHidden/>
          </w:rPr>
          <w:fldChar w:fldCharType="separate"/>
        </w:r>
        <w:r w:rsidR="007D65ED">
          <w:rPr>
            <w:noProof/>
            <w:webHidden/>
          </w:rPr>
          <w:t>31</w:t>
        </w:r>
        <w:r>
          <w:rPr>
            <w:noProof/>
            <w:webHidden/>
          </w:rPr>
          <w:fldChar w:fldCharType="end"/>
        </w:r>
      </w:hyperlink>
    </w:p>
    <w:p w14:paraId="5E814C9D" w14:textId="40B22275"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46" w:history="1">
        <w:r w:rsidRPr="007B641A">
          <w:rPr>
            <w:rStyle w:val="Hyperlink"/>
            <w:rFonts w:cstheme="majorBidi"/>
            <w:noProof/>
            <w:lang w:val="en-PH"/>
          </w:rPr>
          <w:t>Table 20: Changes in non-admitted service events by Tier 2 series, 2021-22 to 2022-23</w:t>
        </w:r>
        <w:r>
          <w:rPr>
            <w:noProof/>
            <w:webHidden/>
          </w:rPr>
          <w:tab/>
        </w:r>
        <w:r>
          <w:rPr>
            <w:noProof/>
            <w:webHidden/>
          </w:rPr>
          <w:fldChar w:fldCharType="begin"/>
        </w:r>
        <w:r>
          <w:rPr>
            <w:noProof/>
            <w:webHidden/>
          </w:rPr>
          <w:instrText xml:space="preserve"> PAGEREF _Toc187312146 \h </w:instrText>
        </w:r>
        <w:r>
          <w:rPr>
            <w:noProof/>
            <w:webHidden/>
          </w:rPr>
        </w:r>
        <w:r>
          <w:rPr>
            <w:noProof/>
            <w:webHidden/>
          </w:rPr>
          <w:fldChar w:fldCharType="separate"/>
        </w:r>
        <w:r w:rsidR="007D65ED">
          <w:rPr>
            <w:noProof/>
            <w:webHidden/>
          </w:rPr>
          <w:t>33</w:t>
        </w:r>
        <w:r>
          <w:rPr>
            <w:noProof/>
            <w:webHidden/>
          </w:rPr>
          <w:fldChar w:fldCharType="end"/>
        </w:r>
      </w:hyperlink>
    </w:p>
    <w:p w14:paraId="2165098A" w14:textId="202B2BB3"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47" w:history="1">
        <w:r w:rsidRPr="007B641A">
          <w:rPr>
            <w:rStyle w:val="Hyperlink"/>
            <w:noProof/>
            <w:lang w:val="en-PH"/>
          </w:rPr>
          <w:t>Table 21: Top 5 Tier 2 end-classes with greatest change in service events, 2021-22 to 2022-23</w:t>
        </w:r>
        <w:r>
          <w:rPr>
            <w:noProof/>
            <w:webHidden/>
          </w:rPr>
          <w:tab/>
        </w:r>
        <w:r>
          <w:rPr>
            <w:noProof/>
            <w:webHidden/>
          </w:rPr>
          <w:fldChar w:fldCharType="begin"/>
        </w:r>
        <w:r>
          <w:rPr>
            <w:noProof/>
            <w:webHidden/>
          </w:rPr>
          <w:instrText xml:space="preserve"> PAGEREF _Toc187312147 \h </w:instrText>
        </w:r>
        <w:r>
          <w:rPr>
            <w:noProof/>
            <w:webHidden/>
          </w:rPr>
        </w:r>
        <w:r>
          <w:rPr>
            <w:noProof/>
            <w:webHidden/>
          </w:rPr>
          <w:fldChar w:fldCharType="separate"/>
        </w:r>
        <w:r w:rsidR="007D65ED">
          <w:rPr>
            <w:noProof/>
            <w:webHidden/>
          </w:rPr>
          <w:t>33</w:t>
        </w:r>
        <w:r>
          <w:rPr>
            <w:noProof/>
            <w:webHidden/>
          </w:rPr>
          <w:fldChar w:fldCharType="end"/>
        </w:r>
      </w:hyperlink>
    </w:p>
    <w:p w14:paraId="3C2BB931" w14:textId="0DB7CCEE"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48" w:history="1">
        <w:r w:rsidRPr="007B641A">
          <w:rPr>
            <w:rStyle w:val="Hyperlink"/>
            <w:noProof/>
            <w:lang w:val="en-PH"/>
          </w:rPr>
          <w:t>Table 22: Top 5 Tier 2 end-classes with greatest change in total cost, 2021-22 to 2022-23</w:t>
        </w:r>
        <w:r>
          <w:rPr>
            <w:noProof/>
            <w:webHidden/>
          </w:rPr>
          <w:tab/>
        </w:r>
        <w:r>
          <w:rPr>
            <w:noProof/>
            <w:webHidden/>
          </w:rPr>
          <w:fldChar w:fldCharType="begin"/>
        </w:r>
        <w:r>
          <w:rPr>
            <w:noProof/>
            <w:webHidden/>
          </w:rPr>
          <w:instrText xml:space="preserve"> PAGEREF _Toc187312148 \h </w:instrText>
        </w:r>
        <w:r>
          <w:rPr>
            <w:noProof/>
            <w:webHidden/>
          </w:rPr>
        </w:r>
        <w:r>
          <w:rPr>
            <w:noProof/>
            <w:webHidden/>
          </w:rPr>
          <w:fldChar w:fldCharType="separate"/>
        </w:r>
        <w:r w:rsidR="007D65ED">
          <w:rPr>
            <w:noProof/>
            <w:webHidden/>
          </w:rPr>
          <w:t>33</w:t>
        </w:r>
        <w:r>
          <w:rPr>
            <w:noProof/>
            <w:webHidden/>
          </w:rPr>
          <w:fldChar w:fldCharType="end"/>
        </w:r>
      </w:hyperlink>
    </w:p>
    <w:p w14:paraId="746C6045" w14:textId="649E5BAF"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49" w:history="1">
        <w:r w:rsidRPr="007B641A">
          <w:rPr>
            <w:rStyle w:val="Hyperlink"/>
            <w:noProof/>
            <w:lang w:val="en-PH"/>
          </w:rPr>
          <w:t>Table 23: Top 5 Tier 2 end-classes with greatest average cost change, 2021-22 to 2022-23</w:t>
        </w:r>
        <w:r>
          <w:rPr>
            <w:noProof/>
            <w:webHidden/>
          </w:rPr>
          <w:tab/>
        </w:r>
        <w:r>
          <w:rPr>
            <w:noProof/>
            <w:webHidden/>
          </w:rPr>
          <w:fldChar w:fldCharType="begin"/>
        </w:r>
        <w:r>
          <w:rPr>
            <w:noProof/>
            <w:webHidden/>
          </w:rPr>
          <w:instrText xml:space="preserve"> PAGEREF _Toc187312149 \h </w:instrText>
        </w:r>
        <w:r>
          <w:rPr>
            <w:noProof/>
            <w:webHidden/>
          </w:rPr>
        </w:r>
        <w:r>
          <w:rPr>
            <w:noProof/>
            <w:webHidden/>
          </w:rPr>
          <w:fldChar w:fldCharType="separate"/>
        </w:r>
        <w:r w:rsidR="007D65ED">
          <w:rPr>
            <w:noProof/>
            <w:webHidden/>
          </w:rPr>
          <w:t>34</w:t>
        </w:r>
        <w:r>
          <w:rPr>
            <w:noProof/>
            <w:webHidden/>
          </w:rPr>
          <w:fldChar w:fldCharType="end"/>
        </w:r>
      </w:hyperlink>
    </w:p>
    <w:p w14:paraId="7CB61E3D" w14:textId="5BF533A2"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50" w:history="1">
        <w:r w:rsidRPr="007B641A">
          <w:rPr>
            <w:rStyle w:val="Hyperlink"/>
            <w:noProof/>
            <w:lang w:val="en-PH"/>
          </w:rPr>
          <w:t>Table 24: National average cost per Tier 2 service event by cost bucket, 2022-23</w:t>
        </w:r>
        <w:r>
          <w:rPr>
            <w:noProof/>
            <w:webHidden/>
          </w:rPr>
          <w:tab/>
        </w:r>
        <w:r>
          <w:rPr>
            <w:noProof/>
            <w:webHidden/>
          </w:rPr>
          <w:fldChar w:fldCharType="begin"/>
        </w:r>
        <w:r>
          <w:rPr>
            <w:noProof/>
            <w:webHidden/>
          </w:rPr>
          <w:instrText xml:space="preserve"> PAGEREF _Toc187312150 \h </w:instrText>
        </w:r>
        <w:r>
          <w:rPr>
            <w:noProof/>
            <w:webHidden/>
          </w:rPr>
        </w:r>
        <w:r>
          <w:rPr>
            <w:noProof/>
            <w:webHidden/>
          </w:rPr>
          <w:fldChar w:fldCharType="separate"/>
        </w:r>
        <w:r w:rsidR="007D65ED">
          <w:rPr>
            <w:noProof/>
            <w:webHidden/>
          </w:rPr>
          <w:t>35</w:t>
        </w:r>
        <w:r>
          <w:rPr>
            <w:noProof/>
            <w:webHidden/>
          </w:rPr>
          <w:fldChar w:fldCharType="end"/>
        </w:r>
      </w:hyperlink>
    </w:p>
    <w:p w14:paraId="71B30F01" w14:textId="261E9091"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51" w:history="1">
        <w:r w:rsidRPr="007B641A">
          <w:rPr>
            <w:rStyle w:val="Hyperlink"/>
            <w:noProof/>
            <w:lang w:val="en-PH"/>
          </w:rPr>
          <w:t xml:space="preserve">Table 25: Admitted mental </w:t>
        </w:r>
        <w:r w:rsidRPr="007B641A">
          <w:rPr>
            <w:rStyle w:val="Hyperlink"/>
            <w:noProof/>
          </w:rPr>
          <w:t>health</w:t>
        </w:r>
        <w:r w:rsidRPr="007B641A">
          <w:rPr>
            <w:rStyle w:val="Hyperlink"/>
            <w:noProof/>
            <w:lang w:val="en-PH"/>
          </w:rPr>
          <w:t xml:space="preserve"> phases national summary, 2020-21 to 2022-23</w:t>
        </w:r>
        <w:r>
          <w:rPr>
            <w:noProof/>
            <w:webHidden/>
          </w:rPr>
          <w:tab/>
        </w:r>
        <w:r>
          <w:rPr>
            <w:noProof/>
            <w:webHidden/>
          </w:rPr>
          <w:fldChar w:fldCharType="begin"/>
        </w:r>
        <w:r>
          <w:rPr>
            <w:noProof/>
            <w:webHidden/>
          </w:rPr>
          <w:instrText xml:space="preserve"> PAGEREF _Toc187312151 \h </w:instrText>
        </w:r>
        <w:r>
          <w:rPr>
            <w:noProof/>
            <w:webHidden/>
          </w:rPr>
        </w:r>
        <w:r>
          <w:rPr>
            <w:noProof/>
            <w:webHidden/>
          </w:rPr>
          <w:fldChar w:fldCharType="separate"/>
        </w:r>
        <w:r w:rsidR="007D65ED">
          <w:rPr>
            <w:noProof/>
            <w:webHidden/>
          </w:rPr>
          <w:t>36</w:t>
        </w:r>
        <w:r>
          <w:rPr>
            <w:noProof/>
            <w:webHidden/>
          </w:rPr>
          <w:fldChar w:fldCharType="end"/>
        </w:r>
      </w:hyperlink>
    </w:p>
    <w:p w14:paraId="7D539B83" w14:textId="399E6843"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52" w:history="1">
        <w:r w:rsidRPr="007B641A">
          <w:rPr>
            <w:rStyle w:val="Hyperlink"/>
            <w:noProof/>
            <w:lang w:val="en-PH"/>
          </w:rPr>
          <w:t xml:space="preserve">Table 26: Admitted mental health </w:t>
        </w:r>
        <w:r w:rsidRPr="007B641A">
          <w:rPr>
            <w:rStyle w:val="Hyperlink"/>
            <w:noProof/>
          </w:rPr>
          <w:t>episodes</w:t>
        </w:r>
        <w:r w:rsidRPr="007B641A">
          <w:rPr>
            <w:rStyle w:val="Hyperlink"/>
            <w:noProof/>
            <w:lang w:val="en-PH"/>
          </w:rPr>
          <w:t xml:space="preserve"> national summary, 2020-21 to 2022-23</w:t>
        </w:r>
        <w:r>
          <w:rPr>
            <w:noProof/>
            <w:webHidden/>
          </w:rPr>
          <w:tab/>
        </w:r>
        <w:r>
          <w:rPr>
            <w:noProof/>
            <w:webHidden/>
          </w:rPr>
          <w:fldChar w:fldCharType="begin"/>
        </w:r>
        <w:r>
          <w:rPr>
            <w:noProof/>
            <w:webHidden/>
          </w:rPr>
          <w:instrText xml:space="preserve"> PAGEREF _Toc187312152 \h </w:instrText>
        </w:r>
        <w:r>
          <w:rPr>
            <w:noProof/>
            <w:webHidden/>
          </w:rPr>
        </w:r>
        <w:r>
          <w:rPr>
            <w:noProof/>
            <w:webHidden/>
          </w:rPr>
          <w:fldChar w:fldCharType="separate"/>
        </w:r>
        <w:r w:rsidR="007D65ED">
          <w:rPr>
            <w:noProof/>
            <w:webHidden/>
          </w:rPr>
          <w:t>36</w:t>
        </w:r>
        <w:r>
          <w:rPr>
            <w:noProof/>
            <w:webHidden/>
          </w:rPr>
          <w:fldChar w:fldCharType="end"/>
        </w:r>
      </w:hyperlink>
    </w:p>
    <w:p w14:paraId="0B81DE10" w14:textId="3046680F"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53" w:history="1">
        <w:r w:rsidRPr="007B641A">
          <w:rPr>
            <w:rStyle w:val="Hyperlink"/>
            <w:noProof/>
            <w:lang w:val="en-PH"/>
          </w:rPr>
          <w:t>Table 27: Admitted mental health phase sample summary, 2020-21 to 2022-23</w:t>
        </w:r>
        <w:r>
          <w:rPr>
            <w:noProof/>
            <w:webHidden/>
          </w:rPr>
          <w:tab/>
        </w:r>
        <w:r>
          <w:rPr>
            <w:noProof/>
            <w:webHidden/>
          </w:rPr>
          <w:fldChar w:fldCharType="begin"/>
        </w:r>
        <w:r>
          <w:rPr>
            <w:noProof/>
            <w:webHidden/>
          </w:rPr>
          <w:instrText xml:space="preserve"> PAGEREF _Toc187312153 \h </w:instrText>
        </w:r>
        <w:r>
          <w:rPr>
            <w:noProof/>
            <w:webHidden/>
          </w:rPr>
        </w:r>
        <w:r>
          <w:rPr>
            <w:noProof/>
            <w:webHidden/>
          </w:rPr>
          <w:fldChar w:fldCharType="separate"/>
        </w:r>
        <w:r w:rsidR="007D65ED">
          <w:rPr>
            <w:noProof/>
            <w:webHidden/>
          </w:rPr>
          <w:t>37</w:t>
        </w:r>
        <w:r>
          <w:rPr>
            <w:noProof/>
            <w:webHidden/>
          </w:rPr>
          <w:fldChar w:fldCharType="end"/>
        </w:r>
      </w:hyperlink>
    </w:p>
    <w:p w14:paraId="1030CDD4" w14:textId="3ACE6B7C"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54" w:history="1">
        <w:r w:rsidRPr="007B641A">
          <w:rPr>
            <w:rStyle w:val="Hyperlink"/>
            <w:noProof/>
            <w:lang w:val="en-PH"/>
          </w:rPr>
          <w:t>Table 28: Admitted mental health episode sample summary, 2020-21 to 2022-23</w:t>
        </w:r>
        <w:r>
          <w:rPr>
            <w:noProof/>
            <w:webHidden/>
          </w:rPr>
          <w:tab/>
        </w:r>
        <w:r>
          <w:rPr>
            <w:noProof/>
            <w:webHidden/>
          </w:rPr>
          <w:fldChar w:fldCharType="begin"/>
        </w:r>
        <w:r>
          <w:rPr>
            <w:noProof/>
            <w:webHidden/>
          </w:rPr>
          <w:instrText xml:space="preserve"> PAGEREF _Toc187312154 \h </w:instrText>
        </w:r>
        <w:r>
          <w:rPr>
            <w:noProof/>
            <w:webHidden/>
          </w:rPr>
        </w:r>
        <w:r>
          <w:rPr>
            <w:noProof/>
            <w:webHidden/>
          </w:rPr>
          <w:fldChar w:fldCharType="separate"/>
        </w:r>
        <w:r w:rsidR="007D65ED">
          <w:rPr>
            <w:noProof/>
            <w:webHidden/>
          </w:rPr>
          <w:t>37</w:t>
        </w:r>
        <w:r>
          <w:rPr>
            <w:noProof/>
            <w:webHidden/>
          </w:rPr>
          <w:fldChar w:fldCharType="end"/>
        </w:r>
      </w:hyperlink>
    </w:p>
    <w:p w14:paraId="3B54F277" w14:textId="1CB36D3D"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55" w:history="1">
        <w:r w:rsidRPr="007B641A">
          <w:rPr>
            <w:rStyle w:val="Hyperlink"/>
            <w:noProof/>
            <w:lang w:val="en-PH"/>
          </w:rPr>
          <w:t xml:space="preserve">Table 29: </w:t>
        </w:r>
        <w:r w:rsidRPr="007B641A">
          <w:rPr>
            <w:rStyle w:val="Hyperlink"/>
            <w:noProof/>
          </w:rPr>
          <w:t>National average cost per admitted mental health phase by cost bucket</w:t>
        </w:r>
        <w:r w:rsidRPr="007B641A">
          <w:rPr>
            <w:rStyle w:val="Hyperlink"/>
            <w:noProof/>
            <w:lang w:val="en-PH"/>
          </w:rPr>
          <w:t>, 2022-23</w:t>
        </w:r>
        <w:r>
          <w:rPr>
            <w:noProof/>
            <w:webHidden/>
          </w:rPr>
          <w:tab/>
        </w:r>
        <w:r>
          <w:rPr>
            <w:noProof/>
            <w:webHidden/>
          </w:rPr>
          <w:fldChar w:fldCharType="begin"/>
        </w:r>
        <w:r>
          <w:rPr>
            <w:noProof/>
            <w:webHidden/>
          </w:rPr>
          <w:instrText xml:space="preserve"> PAGEREF _Toc187312155 \h </w:instrText>
        </w:r>
        <w:r>
          <w:rPr>
            <w:noProof/>
            <w:webHidden/>
          </w:rPr>
        </w:r>
        <w:r>
          <w:rPr>
            <w:noProof/>
            <w:webHidden/>
          </w:rPr>
          <w:fldChar w:fldCharType="separate"/>
        </w:r>
        <w:r w:rsidR="007D65ED">
          <w:rPr>
            <w:noProof/>
            <w:webHidden/>
          </w:rPr>
          <w:t>40</w:t>
        </w:r>
        <w:r>
          <w:rPr>
            <w:noProof/>
            <w:webHidden/>
          </w:rPr>
          <w:fldChar w:fldCharType="end"/>
        </w:r>
      </w:hyperlink>
    </w:p>
    <w:p w14:paraId="44E69EC4" w14:textId="171BB6A4"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56" w:history="1">
        <w:r w:rsidRPr="007B641A">
          <w:rPr>
            <w:rStyle w:val="Hyperlink"/>
            <w:noProof/>
            <w:lang w:val="en-PH"/>
          </w:rPr>
          <w:t>Table 30: Community mental health phases national summary, 2020-21 to 2022-23</w:t>
        </w:r>
        <w:r>
          <w:rPr>
            <w:noProof/>
            <w:webHidden/>
          </w:rPr>
          <w:tab/>
        </w:r>
        <w:r>
          <w:rPr>
            <w:noProof/>
            <w:webHidden/>
          </w:rPr>
          <w:fldChar w:fldCharType="begin"/>
        </w:r>
        <w:r>
          <w:rPr>
            <w:noProof/>
            <w:webHidden/>
          </w:rPr>
          <w:instrText xml:space="preserve"> PAGEREF _Toc187312156 \h </w:instrText>
        </w:r>
        <w:r>
          <w:rPr>
            <w:noProof/>
            <w:webHidden/>
          </w:rPr>
        </w:r>
        <w:r>
          <w:rPr>
            <w:noProof/>
            <w:webHidden/>
          </w:rPr>
          <w:fldChar w:fldCharType="separate"/>
        </w:r>
        <w:r w:rsidR="007D65ED">
          <w:rPr>
            <w:noProof/>
            <w:webHidden/>
          </w:rPr>
          <w:t>41</w:t>
        </w:r>
        <w:r>
          <w:rPr>
            <w:noProof/>
            <w:webHidden/>
          </w:rPr>
          <w:fldChar w:fldCharType="end"/>
        </w:r>
      </w:hyperlink>
    </w:p>
    <w:p w14:paraId="5E658F61" w14:textId="450921A1"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57" w:history="1">
        <w:r w:rsidRPr="007B641A">
          <w:rPr>
            <w:rStyle w:val="Hyperlink"/>
            <w:noProof/>
            <w:lang w:val="en-PH"/>
          </w:rPr>
          <w:t>Table 31: Community mental health episodes national summary, 2022-23</w:t>
        </w:r>
        <w:r>
          <w:rPr>
            <w:noProof/>
            <w:webHidden/>
          </w:rPr>
          <w:tab/>
        </w:r>
        <w:r>
          <w:rPr>
            <w:noProof/>
            <w:webHidden/>
          </w:rPr>
          <w:fldChar w:fldCharType="begin"/>
        </w:r>
        <w:r>
          <w:rPr>
            <w:noProof/>
            <w:webHidden/>
          </w:rPr>
          <w:instrText xml:space="preserve"> PAGEREF _Toc187312157 \h </w:instrText>
        </w:r>
        <w:r>
          <w:rPr>
            <w:noProof/>
            <w:webHidden/>
          </w:rPr>
        </w:r>
        <w:r>
          <w:rPr>
            <w:noProof/>
            <w:webHidden/>
          </w:rPr>
          <w:fldChar w:fldCharType="separate"/>
        </w:r>
        <w:r w:rsidR="007D65ED">
          <w:rPr>
            <w:noProof/>
            <w:webHidden/>
          </w:rPr>
          <w:t>41</w:t>
        </w:r>
        <w:r>
          <w:rPr>
            <w:noProof/>
            <w:webHidden/>
          </w:rPr>
          <w:fldChar w:fldCharType="end"/>
        </w:r>
      </w:hyperlink>
    </w:p>
    <w:p w14:paraId="793A75B2" w14:textId="58EEFAC9"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58" w:history="1">
        <w:r w:rsidRPr="007B641A">
          <w:rPr>
            <w:rStyle w:val="Hyperlink"/>
            <w:noProof/>
            <w:lang w:val="en-PH"/>
          </w:rPr>
          <w:t>Table 32: Community mental health phases by jurisdiction, 2020-21 to 2022</w:t>
        </w:r>
        <w:r w:rsidRPr="007B641A">
          <w:rPr>
            <w:rStyle w:val="Hyperlink"/>
            <w:noProof/>
            <w:lang w:val="en-PH"/>
          </w:rPr>
          <w:noBreakHyphen/>
          <w:t>23</w:t>
        </w:r>
        <w:r>
          <w:rPr>
            <w:noProof/>
            <w:webHidden/>
          </w:rPr>
          <w:tab/>
        </w:r>
        <w:r>
          <w:rPr>
            <w:noProof/>
            <w:webHidden/>
          </w:rPr>
          <w:fldChar w:fldCharType="begin"/>
        </w:r>
        <w:r>
          <w:rPr>
            <w:noProof/>
            <w:webHidden/>
          </w:rPr>
          <w:instrText xml:space="preserve"> PAGEREF _Toc187312158 \h </w:instrText>
        </w:r>
        <w:r>
          <w:rPr>
            <w:noProof/>
            <w:webHidden/>
          </w:rPr>
        </w:r>
        <w:r>
          <w:rPr>
            <w:noProof/>
            <w:webHidden/>
          </w:rPr>
          <w:fldChar w:fldCharType="separate"/>
        </w:r>
        <w:r w:rsidR="007D65ED">
          <w:rPr>
            <w:noProof/>
            <w:webHidden/>
          </w:rPr>
          <w:t>42</w:t>
        </w:r>
        <w:r>
          <w:rPr>
            <w:noProof/>
            <w:webHidden/>
          </w:rPr>
          <w:fldChar w:fldCharType="end"/>
        </w:r>
      </w:hyperlink>
    </w:p>
    <w:p w14:paraId="52C2185C" w14:textId="71FD834C"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59" w:history="1">
        <w:r w:rsidRPr="007B641A">
          <w:rPr>
            <w:rStyle w:val="Hyperlink"/>
            <w:noProof/>
            <w:lang w:val="en-PH"/>
          </w:rPr>
          <w:t>Table 33: National average cost per community mental health phase by cost bucket, 2022-23</w:t>
        </w:r>
        <w:r>
          <w:rPr>
            <w:noProof/>
            <w:webHidden/>
          </w:rPr>
          <w:tab/>
        </w:r>
        <w:r>
          <w:rPr>
            <w:noProof/>
            <w:webHidden/>
          </w:rPr>
          <w:fldChar w:fldCharType="begin"/>
        </w:r>
        <w:r>
          <w:rPr>
            <w:noProof/>
            <w:webHidden/>
          </w:rPr>
          <w:instrText xml:space="preserve"> PAGEREF _Toc187312159 \h </w:instrText>
        </w:r>
        <w:r>
          <w:rPr>
            <w:noProof/>
            <w:webHidden/>
          </w:rPr>
        </w:r>
        <w:r>
          <w:rPr>
            <w:noProof/>
            <w:webHidden/>
          </w:rPr>
          <w:fldChar w:fldCharType="separate"/>
        </w:r>
        <w:r w:rsidR="007D65ED">
          <w:rPr>
            <w:noProof/>
            <w:webHidden/>
          </w:rPr>
          <w:t>45</w:t>
        </w:r>
        <w:r>
          <w:rPr>
            <w:noProof/>
            <w:webHidden/>
          </w:rPr>
          <w:fldChar w:fldCharType="end"/>
        </w:r>
      </w:hyperlink>
    </w:p>
    <w:p w14:paraId="65C59C56" w14:textId="7B2D746F" w:rsidR="00BB2DE2" w:rsidRPr="00CE058E" w:rsidRDefault="00B42434" w:rsidP="00AB22F5">
      <w:pPr>
        <w:pStyle w:val="TableofFigures"/>
        <w:tabs>
          <w:tab w:val="right" w:leader="dot" w:pos="9736"/>
        </w:tabs>
        <w:spacing w:before="120" w:after="60"/>
        <w:rPr>
          <w:rFonts w:eastAsiaTheme="majorEastAsia" w:cs="Arial"/>
          <w:b/>
          <w:color w:val="104F99" w:themeColor="accent2"/>
          <w:sz w:val="28"/>
          <w:szCs w:val="28"/>
        </w:rPr>
      </w:pPr>
      <w:r w:rsidRPr="00AB22F5">
        <w:rPr>
          <w:sz w:val="16"/>
          <w:szCs w:val="16"/>
        </w:rPr>
        <w:fldChar w:fldCharType="end"/>
      </w:r>
      <w:r w:rsidR="002F162B" w:rsidRPr="00CE058E">
        <w:rPr>
          <w:rFonts w:cs="Arial"/>
          <w:sz w:val="18"/>
          <w:szCs w:val="18"/>
        </w:rPr>
        <w:fldChar w:fldCharType="begin"/>
      </w:r>
      <w:r w:rsidR="002F162B" w:rsidRPr="00CE058E">
        <w:rPr>
          <w:rFonts w:cs="Arial"/>
          <w:sz w:val="18"/>
          <w:szCs w:val="18"/>
        </w:rPr>
        <w:instrText xml:space="preserve"> TOC \h \z \c "Table" </w:instrText>
      </w:r>
      <w:r w:rsidR="002F162B" w:rsidRPr="00CE058E">
        <w:rPr>
          <w:rFonts w:cs="Arial"/>
          <w:sz w:val="18"/>
          <w:szCs w:val="18"/>
        </w:rPr>
        <w:fldChar w:fldCharType="separate"/>
      </w:r>
      <w:r w:rsidR="002F162B" w:rsidRPr="00CE058E">
        <w:rPr>
          <w:rFonts w:cs="Arial"/>
          <w:sz w:val="18"/>
          <w:szCs w:val="18"/>
        </w:rPr>
        <w:fldChar w:fldCharType="end"/>
      </w:r>
      <w:r w:rsidR="00BB2DE2" w:rsidRPr="00CE058E">
        <w:rPr>
          <w:rFonts w:eastAsiaTheme="majorEastAsia" w:cs="Arial"/>
          <w:b/>
          <w:color w:val="104F99" w:themeColor="accent2"/>
          <w:sz w:val="28"/>
          <w:szCs w:val="28"/>
        </w:rPr>
        <w:t>Figures</w:t>
      </w:r>
    </w:p>
    <w:p w14:paraId="49AE25D8" w14:textId="3545C023" w:rsidR="00651221" w:rsidRDefault="003B16B9">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r w:rsidRPr="00142711">
        <w:rPr>
          <w:rFonts w:cs="Arial"/>
          <w:sz w:val="16"/>
          <w:szCs w:val="16"/>
        </w:rPr>
        <w:fldChar w:fldCharType="begin"/>
      </w:r>
      <w:r w:rsidRPr="00142711">
        <w:rPr>
          <w:rFonts w:cs="Arial"/>
          <w:sz w:val="16"/>
          <w:szCs w:val="16"/>
        </w:rPr>
        <w:instrText xml:space="preserve"> TOC \h \z \c "Figure" </w:instrText>
      </w:r>
      <w:r w:rsidRPr="00142711">
        <w:rPr>
          <w:rFonts w:cs="Arial"/>
          <w:sz w:val="16"/>
          <w:szCs w:val="16"/>
        </w:rPr>
        <w:fldChar w:fldCharType="separate"/>
      </w:r>
      <w:hyperlink w:anchor="_Toc187312097" w:history="1">
        <w:r w:rsidR="00651221" w:rsidRPr="00F45A17">
          <w:rPr>
            <w:rStyle w:val="Hyperlink"/>
            <w:rFonts w:cstheme="majorBidi"/>
            <w:noProof/>
            <w:lang w:val="en-PH"/>
          </w:rPr>
          <w:t>Figure 1: NHCDC records and ABF activity relationship</w:t>
        </w:r>
        <w:r w:rsidR="00651221">
          <w:rPr>
            <w:noProof/>
            <w:webHidden/>
          </w:rPr>
          <w:tab/>
        </w:r>
        <w:r w:rsidR="00651221">
          <w:rPr>
            <w:noProof/>
            <w:webHidden/>
          </w:rPr>
          <w:fldChar w:fldCharType="begin"/>
        </w:r>
        <w:r w:rsidR="00651221">
          <w:rPr>
            <w:noProof/>
            <w:webHidden/>
          </w:rPr>
          <w:instrText xml:space="preserve"> PAGEREF _Toc187312097 \h </w:instrText>
        </w:r>
        <w:r w:rsidR="00651221">
          <w:rPr>
            <w:noProof/>
            <w:webHidden/>
          </w:rPr>
        </w:r>
        <w:r w:rsidR="00651221">
          <w:rPr>
            <w:noProof/>
            <w:webHidden/>
          </w:rPr>
          <w:fldChar w:fldCharType="separate"/>
        </w:r>
        <w:r w:rsidR="004908C4">
          <w:rPr>
            <w:noProof/>
            <w:webHidden/>
          </w:rPr>
          <w:t>10</w:t>
        </w:r>
        <w:r w:rsidR="00651221">
          <w:rPr>
            <w:noProof/>
            <w:webHidden/>
          </w:rPr>
          <w:fldChar w:fldCharType="end"/>
        </w:r>
      </w:hyperlink>
    </w:p>
    <w:p w14:paraId="38EE9E12" w14:textId="13D85140"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098" w:history="1">
        <w:r w:rsidRPr="00F45A17">
          <w:rPr>
            <w:rStyle w:val="Hyperlink"/>
            <w:noProof/>
            <w:lang w:val="en-PH"/>
          </w:rPr>
          <w:t>Figure 2: Number of establishments, 2020-21 to 2022-23</w:t>
        </w:r>
        <w:r>
          <w:rPr>
            <w:noProof/>
            <w:webHidden/>
          </w:rPr>
          <w:tab/>
        </w:r>
        <w:r>
          <w:rPr>
            <w:noProof/>
            <w:webHidden/>
          </w:rPr>
          <w:fldChar w:fldCharType="begin"/>
        </w:r>
        <w:r>
          <w:rPr>
            <w:noProof/>
            <w:webHidden/>
          </w:rPr>
          <w:instrText xml:space="preserve"> PAGEREF _Toc187312098 \h </w:instrText>
        </w:r>
        <w:r>
          <w:rPr>
            <w:noProof/>
            <w:webHidden/>
          </w:rPr>
        </w:r>
        <w:r>
          <w:rPr>
            <w:noProof/>
            <w:webHidden/>
          </w:rPr>
          <w:fldChar w:fldCharType="separate"/>
        </w:r>
        <w:r w:rsidR="004908C4">
          <w:rPr>
            <w:noProof/>
            <w:webHidden/>
          </w:rPr>
          <w:t>12</w:t>
        </w:r>
        <w:r>
          <w:rPr>
            <w:noProof/>
            <w:webHidden/>
          </w:rPr>
          <w:fldChar w:fldCharType="end"/>
        </w:r>
      </w:hyperlink>
    </w:p>
    <w:p w14:paraId="3532E0C5" w14:textId="7C71296B"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099" w:history="1">
        <w:r w:rsidRPr="00F45A17">
          <w:rPr>
            <w:rStyle w:val="Hyperlink"/>
            <w:rFonts w:cstheme="majorBidi"/>
            <w:noProof/>
            <w:lang w:val="en-PH"/>
          </w:rPr>
          <w:t>Figure 3: Admitted acute separations ABF and NHCDC, 2020-21 to 2022-23</w:t>
        </w:r>
        <w:r>
          <w:rPr>
            <w:noProof/>
            <w:webHidden/>
          </w:rPr>
          <w:tab/>
        </w:r>
        <w:r>
          <w:rPr>
            <w:noProof/>
            <w:webHidden/>
          </w:rPr>
          <w:fldChar w:fldCharType="begin"/>
        </w:r>
        <w:r>
          <w:rPr>
            <w:noProof/>
            <w:webHidden/>
          </w:rPr>
          <w:instrText xml:space="preserve"> PAGEREF _Toc187312099 \h </w:instrText>
        </w:r>
        <w:r>
          <w:rPr>
            <w:noProof/>
            <w:webHidden/>
          </w:rPr>
        </w:r>
        <w:r>
          <w:rPr>
            <w:noProof/>
            <w:webHidden/>
          </w:rPr>
          <w:fldChar w:fldCharType="separate"/>
        </w:r>
        <w:r w:rsidR="004908C4">
          <w:rPr>
            <w:noProof/>
            <w:webHidden/>
          </w:rPr>
          <w:t>15</w:t>
        </w:r>
        <w:r>
          <w:rPr>
            <w:noProof/>
            <w:webHidden/>
          </w:rPr>
          <w:fldChar w:fldCharType="end"/>
        </w:r>
      </w:hyperlink>
    </w:p>
    <w:p w14:paraId="7BE5C34C" w14:textId="6CBE9B8F"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00" w:history="1">
        <w:r w:rsidRPr="00F45A17">
          <w:rPr>
            <w:rStyle w:val="Hyperlink"/>
            <w:rFonts w:cstheme="majorBidi"/>
            <w:noProof/>
            <w:lang w:val="en-PH"/>
          </w:rPr>
          <w:t>Figure 4: Cost of admitted acute separations by jurisdiction, 2020-21 to 2022-23</w:t>
        </w:r>
        <w:r>
          <w:rPr>
            <w:noProof/>
            <w:webHidden/>
          </w:rPr>
          <w:tab/>
        </w:r>
        <w:r>
          <w:rPr>
            <w:noProof/>
            <w:webHidden/>
          </w:rPr>
          <w:fldChar w:fldCharType="begin"/>
        </w:r>
        <w:r>
          <w:rPr>
            <w:noProof/>
            <w:webHidden/>
          </w:rPr>
          <w:instrText xml:space="preserve"> PAGEREF _Toc187312100 \h </w:instrText>
        </w:r>
        <w:r>
          <w:rPr>
            <w:noProof/>
            <w:webHidden/>
          </w:rPr>
        </w:r>
        <w:r>
          <w:rPr>
            <w:noProof/>
            <w:webHidden/>
          </w:rPr>
          <w:fldChar w:fldCharType="separate"/>
        </w:r>
        <w:r w:rsidR="004908C4">
          <w:rPr>
            <w:noProof/>
            <w:webHidden/>
          </w:rPr>
          <w:t>16</w:t>
        </w:r>
        <w:r>
          <w:rPr>
            <w:noProof/>
            <w:webHidden/>
          </w:rPr>
          <w:fldChar w:fldCharType="end"/>
        </w:r>
      </w:hyperlink>
    </w:p>
    <w:p w14:paraId="388243BB" w14:textId="2C8B5DF9"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01" w:history="1">
        <w:r w:rsidRPr="00F45A17">
          <w:rPr>
            <w:rStyle w:val="Hyperlink"/>
            <w:rFonts w:cstheme="majorBidi"/>
            <w:noProof/>
            <w:lang w:val="en-PH"/>
          </w:rPr>
          <w:t>Figure 5: Average cost per admitted acute separation by jurisdiction, 2020-21 to 2022-23</w:t>
        </w:r>
        <w:r>
          <w:rPr>
            <w:noProof/>
            <w:webHidden/>
          </w:rPr>
          <w:tab/>
        </w:r>
        <w:r>
          <w:rPr>
            <w:noProof/>
            <w:webHidden/>
          </w:rPr>
          <w:fldChar w:fldCharType="begin"/>
        </w:r>
        <w:r>
          <w:rPr>
            <w:noProof/>
            <w:webHidden/>
          </w:rPr>
          <w:instrText xml:space="preserve"> PAGEREF _Toc187312101 \h </w:instrText>
        </w:r>
        <w:r>
          <w:rPr>
            <w:noProof/>
            <w:webHidden/>
          </w:rPr>
        </w:r>
        <w:r>
          <w:rPr>
            <w:noProof/>
            <w:webHidden/>
          </w:rPr>
          <w:fldChar w:fldCharType="separate"/>
        </w:r>
        <w:r w:rsidR="004908C4">
          <w:rPr>
            <w:noProof/>
            <w:webHidden/>
          </w:rPr>
          <w:t>16</w:t>
        </w:r>
        <w:r>
          <w:rPr>
            <w:noProof/>
            <w:webHidden/>
          </w:rPr>
          <w:fldChar w:fldCharType="end"/>
        </w:r>
      </w:hyperlink>
    </w:p>
    <w:p w14:paraId="786D1FFE" w14:textId="4087789E"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02" w:history="1">
        <w:r w:rsidRPr="00F45A17">
          <w:rPr>
            <w:rStyle w:val="Hyperlink"/>
            <w:rFonts w:cstheme="majorBidi"/>
            <w:noProof/>
            <w:lang w:val="en-PH"/>
          </w:rPr>
          <w:t>Figure 6: Average cost per weighted separation by jurisdiction, 2020-21 to 2022-23</w:t>
        </w:r>
        <w:r>
          <w:rPr>
            <w:noProof/>
            <w:webHidden/>
          </w:rPr>
          <w:tab/>
        </w:r>
        <w:r>
          <w:rPr>
            <w:noProof/>
            <w:webHidden/>
          </w:rPr>
          <w:fldChar w:fldCharType="begin"/>
        </w:r>
        <w:r>
          <w:rPr>
            <w:noProof/>
            <w:webHidden/>
          </w:rPr>
          <w:instrText xml:space="preserve"> PAGEREF _Toc187312102 \h </w:instrText>
        </w:r>
        <w:r>
          <w:rPr>
            <w:noProof/>
            <w:webHidden/>
          </w:rPr>
        </w:r>
        <w:r>
          <w:rPr>
            <w:noProof/>
            <w:webHidden/>
          </w:rPr>
          <w:fldChar w:fldCharType="separate"/>
        </w:r>
        <w:r w:rsidR="004908C4">
          <w:rPr>
            <w:noProof/>
            <w:webHidden/>
          </w:rPr>
          <w:t>17</w:t>
        </w:r>
        <w:r>
          <w:rPr>
            <w:noProof/>
            <w:webHidden/>
          </w:rPr>
          <w:fldChar w:fldCharType="end"/>
        </w:r>
      </w:hyperlink>
    </w:p>
    <w:p w14:paraId="0D7142EC" w14:textId="17743A27"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03" w:history="1">
        <w:r w:rsidRPr="00F45A17">
          <w:rPr>
            <w:rStyle w:val="Hyperlink"/>
            <w:noProof/>
          </w:rPr>
          <w:t>Figure 7: Top 10 cost buckets in admitted acute separations, 2020-21 to 2022-23</w:t>
        </w:r>
        <w:r>
          <w:rPr>
            <w:noProof/>
            <w:webHidden/>
          </w:rPr>
          <w:tab/>
        </w:r>
        <w:r>
          <w:rPr>
            <w:noProof/>
            <w:webHidden/>
          </w:rPr>
          <w:fldChar w:fldCharType="begin"/>
        </w:r>
        <w:r>
          <w:rPr>
            <w:noProof/>
            <w:webHidden/>
          </w:rPr>
          <w:instrText xml:space="preserve"> PAGEREF _Toc187312103 \h </w:instrText>
        </w:r>
        <w:r>
          <w:rPr>
            <w:noProof/>
            <w:webHidden/>
          </w:rPr>
        </w:r>
        <w:r>
          <w:rPr>
            <w:noProof/>
            <w:webHidden/>
          </w:rPr>
          <w:fldChar w:fldCharType="separate"/>
        </w:r>
        <w:r w:rsidR="004908C4">
          <w:rPr>
            <w:noProof/>
            <w:webHidden/>
          </w:rPr>
          <w:t>17</w:t>
        </w:r>
        <w:r>
          <w:rPr>
            <w:noProof/>
            <w:webHidden/>
          </w:rPr>
          <w:fldChar w:fldCharType="end"/>
        </w:r>
      </w:hyperlink>
    </w:p>
    <w:p w14:paraId="4D20FDB9" w14:textId="75936069"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04" w:history="1">
        <w:r w:rsidRPr="00F45A17">
          <w:rPr>
            <w:rStyle w:val="Hyperlink"/>
            <w:noProof/>
            <w:lang w:val="en-PH"/>
          </w:rPr>
          <w:t>Figure 8: Top 10 line items in admitted acute separations, 2020-21 to 2022-23</w:t>
        </w:r>
        <w:r>
          <w:rPr>
            <w:noProof/>
            <w:webHidden/>
          </w:rPr>
          <w:tab/>
        </w:r>
        <w:r>
          <w:rPr>
            <w:noProof/>
            <w:webHidden/>
          </w:rPr>
          <w:fldChar w:fldCharType="begin"/>
        </w:r>
        <w:r>
          <w:rPr>
            <w:noProof/>
            <w:webHidden/>
          </w:rPr>
          <w:instrText xml:space="preserve"> PAGEREF _Toc187312104 \h </w:instrText>
        </w:r>
        <w:r>
          <w:rPr>
            <w:noProof/>
            <w:webHidden/>
          </w:rPr>
        </w:r>
        <w:r>
          <w:rPr>
            <w:noProof/>
            <w:webHidden/>
          </w:rPr>
          <w:fldChar w:fldCharType="separate"/>
        </w:r>
        <w:r w:rsidR="004908C4">
          <w:rPr>
            <w:noProof/>
            <w:webHidden/>
          </w:rPr>
          <w:t>18</w:t>
        </w:r>
        <w:r>
          <w:rPr>
            <w:noProof/>
            <w:webHidden/>
          </w:rPr>
          <w:fldChar w:fldCharType="end"/>
        </w:r>
      </w:hyperlink>
    </w:p>
    <w:p w14:paraId="05B27F92" w14:textId="72E0E3DB"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05" w:history="1">
        <w:r w:rsidRPr="00F45A17">
          <w:rPr>
            <w:rStyle w:val="Hyperlink"/>
            <w:noProof/>
            <w:lang w:val="en-PH"/>
          </w:rPr>
          <w:t>Figure 9: AN-SNAP records in ABF and NHCDC, 2020-21 to 2022-23</w:t>
        </w:r>
        <w:r>
          <w:rPr>
            <w:noProof/>
            <w:webHidden/>
          </w:rPr>
          <w:tab/>
        </w:r>
        <w:r>
          <w:rPr>
            <w:noProof/>
            <w:webHidden/>
          </w:rPr>
          <w:fldChar w:fldCharType="begin"/>
        </w:r>
        <w:r>
          <w:rPr>
            <w:noProof/>
            <w:webHidden/>
          </w:rPr>
          <w:instrText xml:space="preserve"> PAGEREF _Toc187312105 \h </w:instrText>
        </w:r>
        <w:r>
          <w:rPr>
            <w:noProof/>
            <w:webHidden/>
          </w:rPr>
        </w:r>
        <w:r>
          <w:rPr>
            <w:noProof/>
            <w:webHidden/>
          </w:rPr>
          <w:fldChar w:fldCharType="separate"/>
        </w:r>
        <w:r w:rsidR="004908C4">
          <w:rPr>
            <w:noProof/>
            <w:webHidden/>
          </w:rPr>
          <w:t>22</w:t>
        </w:r>
        <w:r>
          <w:rPr>
            <w:noProof/>
            <w:webHidden/>
          </w:rPr>
          <w:fldChar w:fldCharType="end"/>
        </w:r>
      </w:hyperlink>
    </w:p>
    <w:p w14:paraId="2BD4C3F4" w14:textId="6B635F4C"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06" w:history="1">
        <w:r w:rsidRPr="00F45A17">
          <w:rPr>
            <w:rStyle w:val="Hyperlink"/>
            <w:noProof/>
            <w:lang w:val="en-PH"/>
          </w:rPr>
          <w:t>Figure 10: Cost of AN-SNAP r</w:t>
        </w:r>
        <w:r w:rsidRPr="00F45A17">
          <w:rPr>
            <w:rStyle w:val="Hyperlink"/>
            <w:rFonts w:cstheme="majorBidi"/>
            <w:noProof/>
            <w:lang w:val="en-PH"/>
          </w:rPr>
          <w:t>ecords</w:t>
        </w:r>
        <w:r w:rsidRPr="00F45A17">
          <w:rPr>
            <w:rStyle w:val="Hyperlink"/>
            <w:noProof/>
            <w:lang w:val="en-PH"/>
          </w:rPr>
          <w:t xml:space="preserve"> by jurisdiction, 2020-21 to 2022-23</w:t>
        </w:r>
        <w:r>
          <w:rPr>
            <w:noProof/>
            <w:webHidden/>
          </w:rPr>
          <w:tab/>
        </w:r>
        <w:r>
          <w:rPr>
            <w:noProof/>
            <w:webHidden/>
          </w:rPr>
          <w:fldChar w:fldCharType="begin"/>
        </w:r>
        <w:r>
          <w:rPr>
            <w:noProof/>
            <w:webHidden/>
          </w:rPr>
          <w:instrText xml:space="preserve"> PAGEREF _Toc187312106 \h </w:instrText>
        </w:r>
        <w:r>
          <w:rPr>
            <w:noProof/>
            <w:webHidden/>
          </w:rPr>
        </w:r>
        <w:r>
          <w:rPr>
            <w:noProof/>
            <w:webHidden/>
          </w:rPr>
          <w:fldChar w:fldCharType="separate"/>
        </w:r>
        <w:r w:rsidR="004908C4">
          <w:rPr>
            <w:noProof/>
            <w:webHidden/>
          </w:rPr>
          <w:t>22</w:t>
        </w:r>
        <w:r>
          <w:rPr>
            <w:noProof/>
            <w:webHidden/>
          </w:rPr>
          <w:fldChar w:fldCharType="end"/>
        </w:r>
      </w:hyperlink>
    </w:p>
    <w:p w14:paraId="1C6E3F29" w14:textId="4F374352"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07" w:history="1">
        <w:r w:rsidRPr="00F45A17">
          <w:rPr>
            <w:rStyle w:val="Hyperlink"/>
            <w:noProof/>
            <w:lang w:val="en-PH"/>
          </w:rPr>
          <w:t>Figure 11: Average cost per AN-SNAP episode by jurisdiction, 2020-21 to 2022-23</w:t>
        </w:r>
        <w:r>
          <w:rPr>
            <w:noProof/>
            <w:webHidden/>
          </w:rPr>
          <w:tab/>
        </w:r>
        <w:r>
          <w:rPr>
            <w:noProof/>
            <w:webHidden/>
          </w:rPr>
          <w:fldChar w:fldCharType="begin"/>
        </w:r>
        <w:r>
          <w:rPr>
            <w:noProof/>
            <w:webHidden/>
          </w:rPr>
          <w:instrText xml:space="preserve"> PAGEREF _Toc187312107 \h </w:instrText>
        </w:r>
        <w:r>
          <w:rPr>
            <w:noProof/>
            <w:webHidden/>
          </w:rPr>
        </w:r>
        <w:r>
          <w:rPr>
            <w:noProof/>
            <w:webHidden/>
          </w:rPr>
          <w:fldChar w:fldCharType="separate"/>
        </w:r>
        <w:r w:rsidR="004908C4">
          <w:rPr>
            <w:noProof/>
            <w:webHidden/>
          </w:rPr>
          <w:t>23</w:t>
        </w:r>
        <w:r>
          <w:rPr>
            <w:noProof/>
            <w:webHidden/>
          </w:rPr>
          <w:fldChar w:fldCharType="end"/>
        </w:r>
      </w:hyperlink>
    </w:p>
    <w:p w14:paraId="4C79C15D" w14:textId="4644D964"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08" w:history="1">
        <w:r w:rsidRPr="00F45A17">
          <w:rPr>
            <w:rStyle w:val="Hyperlink"/>
            <w:noProof/>
            <w:lang w:val="en-PH"/>
          </w:rPr>
          <w:t xml:space="preserve">Figure 12: Average cost per AN-SNAP phase by jurisdiction, 2020-21 to </w:t>
        </w:r>
        <w:r w:rsidRPr="00F45A17">
          <w:rPr>
            <w:rStyle w:val="Hyperlink"/>
            <w:rFonts w:cstheme="majorBidi"/>
            <w:noProof/>
            <w:lang w:val="en-PH"/>
          </w:rPr>
          <w:t>2022-23</w:t>
        </w:r>
        <w:r>
          <w:rPr>
            <w:noProof/>
            <w:webHidden/>
          </w:rPr>
          <w:tab/>
        </w:r>
        <w:r>
          <w:rPr>
            <w:noProof/>
            <w:webHidden/>
          </w:rPr>
          <w:fldChar w:fldCharType="begin"/>
        </w:r>
        <w:r>
          <w:rPr>
            <w:noProof/>
            <w:webHidden/>
          </w:rPr>
          <w:instrText xml:space="preserve"> PAGEREF _Toc187312108 \h </w:instrText>
        </w:r>
        <w:r>
          <w:rPr>
            <w:noProof/>
            <w:webHidden/>
          </w:rPr>
        </w:r>
        <w:r>
          <w:rPr>
            <w:noProof/>
            <w:webHidden/>
          </w:rPr>
          <w:fldChar w:fldCharType="separate"/>
        </w:r>
        <w:r w:rsidR="004908C4">
          <w:rPr>
            <w:noProof/>
            <w:webHidden/>
          </w:rPr>
          <w:t>23</w:t>
        </w:r>
        <w:r>
          <w:rPr>
            <w:noProof/>
            <w:webHidden/>
          </w:rPr>
          <w:fldChar w:fldCharType="end"/>
        </w:r>
      </w:hyperlink>
    </w:p>
    <w:p w14:paraId="75FBF2D6" w14:textId="60A3AC61"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09" w:history="1">
        <w:r w:rsidRPr="00F45A17">
          <w:rPr>
            <w:rStyle w:val="Hyperlink"/>
            <w:noProof/>
          </w:rPr>
          <w:t>Figure 13</w:t>
        </w:r>
        <w:r w:rsidRPr="00F45A17">
          <w:rPr>
            <w:rStyle w:val="Hyperlink"/>
            <w:noProof/>
            <w:lang w:val="en-PH"/>
          </w:rPr>
          <w:t xml:space="preserve">: Top 10 cost buckets in </w:t>
        </w:r>
        <w:r w:rsidRPr="00F45A17">
          <w:rPr>
            <w:rStyle w:val="Hyperlink"/>
            <w:noProof/>
          </w:rPr>
          <w:t>AN-SNAP</w:t>
        </w:r>
        <w:r w:rsidRPr="00F45A17">
          <w:rPr>
            <w:rStyle w:val="Hyperlink"/>
            <w:noProof/>
            <w:lang w:val="en-PH"/>
          </w:rPr>
          <w:t xml:space="preserve"> episodes, 2020-21 to 2022-23</w:t>
        </w:r>
        <w:r>
          <w:rPr>
            <w:noProof/>
            <w:webHidden/>
          </w:rPr>
          <w:tab/>
        </w:r>
        <w:r>
          <w:rPr>
            <w:noProof/>
            <w:webHidden/>
          </w:rPr>
          <w:fldChar w:fldCharType="begin"/>
        </w:r>
        <w:r>
          <w:rPr>
            <w:noProof/>
            <w:webHidden/>
          </w:rPr>
          <w:instrText xml:space="preserve"> PAGEREF _Toc187312109 \h </w:instrText>
        </w:r>
        <w:r>
          <w:rPr>
            <w:noProof/>
            <w:webHidden/>
          </w:rPr>
        </w:r>
        <w:r>
          <w:rPr>
            <w:noProof/>
            <w:webHidden/>
          </w:rPr>
          <w:fldChar w:fldCharType="separate"/>
        </w:r>
        <w:r w:rsidR="004908C4">
          <w:rPr>
            <w:noProof/>
            <w:webHidden/>
          </w:rPr>
          <w:t>24</w:t>
        </w:r>
        <w:r>
          <w:rPr>
            <w:noProof/>
            <w:webHidden/>
          </w:rPr>
          <w:fldChar w:fldCharType="end"/>
        </w:r>
      </w:hyperlink>
    </w:p>
    <w:p w14:paraId="5D9FE4B7" w14:textId="2A4F95E0"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10" w:history="1">
        <w:r w:rsidRPr="00F45A17">
          <w:rPr>
            <w:rStyle w:val="Hyperlink"/>
            <w:noProof/>
            <w:lang w:val="en-PH"/>
          </w:rPr>
          <w:t xml:space="preserve">Figure 14: Top 10 cost </w:t>
        </w:r>
        <w:r w:rsidRPr="00F45A17">
          <w:rPr>
            <w:rStyle w:val="Hyperlink"/>
            <w:noProof/>
          </w:rPr>
          <w:t>buckets</w:t>
        </w:r>
        <w:r w:rsidRPr="00F45A17">
          <w:rPr>
            <w:rStyle w:val="Hyperlink"/>
            <w:noProof/>
            <w:lang w:val="en-PH"/>
          </w:rPr>
          <w:t xml:space="preserve"> in AN-SNAP phases, 2020-21 to 2022-23</w:t>
        </w:r>
        <w:r>
          <w:rPr>
            <w:noProof/>
            <w:webHidden/>
          </w:rPr>
          <w:tab/>
        </w:r>
        <w:r>
          <w:rPr>
            <w:noProof/>
            <w:webHidden/>
          </w:rPr>
          <w:fldChar w:fldCharType="begin"/>
        </w:r>
        <w:r>
          <w:rPr>
            <w:noProof/>
            <w:webHidden/>
          </w:rPr>
          <w:instrText xml:space="preserve"> PAGEREF _Toc187312110 \h </w:instrText>
        </w:r>
        <w:r>
          <w:rPr>
            <w:noProof/>
            <w:webHidden/>
          </w:rPr>
        </w:r>
        <w:r>
          <w:rPr>
            <w:noProof/>
            <w:webHidden/>
          </w:rPr>
          <w:fldChar w:fldCharType="separate"/>
        </w:r>
        <w:r w:rsidR="004908C4">
          <w:rPr>
            <w:noProof/>
            <w:webHidden/>
          </w:rPr>
          <w:t>25</w:t>
        </w:r>
        <w:r>
          <w:rPr>
            <w:noProof/>
            <w:webHidden/>
          </w:rPr>
          <w:fldChar w:fldCharType="end"/>
        </w:r>
      </w:hyperlink>
    </w:p>
    <w:p w14:paraId="5A162CC0" w14:textId="3D805046"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11" w:history="1">
        <w:r w:rsidRPr="00F45A17">
          <w:rPr>
            <w:rStyle w:val="Hyperlink"/>
            <w:noProof/>
            <w:lang w:val="en-PH"/>
          </w:rPr>
          <w:t>Figure 15: ED patient presentations in ABF and NHCDC, 2020-21 to 2022-23</w:t>
        </w:r>
        <w:r>
          <w:rPr>
            <w:noProof/>
            <w:webHidden/>
          </w:rPr>
          <w:tab/>
        </w:r>
        <w:r>
          <w:rPr>
            <w:noProof/>
            <w:webHidden/>
          </w:rPr>
          <w:fldChar w:fldCharType="begin"/>
        </w:r>
        <w:r>
          <w:rPr>
            <w:noProof/>
            <w:webHidden/>
          </w:rPr>
          <w:instrText xml:space="preserve"> PAGEREF _Toc187312111 \h </w:instrText>
        </w:r>
        <w:r>
          <w:rPr>
            <w:noProof/>
            <w:webHidden/>
          </w:rPr>
        </w:r>
        <w:r>
          <w:rPr>
            <w:noProof/>
            <w:webHidden/>
          </w:rPr>
          <w:fldChar w:fldCharType="separate"/>
        </w:r>
        <w:r w:rsidR="004908C4">
          <w:rPr>
            <w:noProof/>
            <w:webHidden/>
          </w:rPr>
          <w:t>27</w:t>
        </w:r>
        <w:r>
          <w:rPr>
            <w:noProof/>
            <w:webHidden/>
          </w:rPr>
          <w:fldChar w:fldCharType="end"/>
        </w:r>
      </w:hyperlink>
    </w:p>
    <w:p w14:paraId="1FBFADA6" w14:textId="42CACB86"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12" w:history="1">
        <w:r w:rsidRPr="00F45A17">
          <w:rPr>
            <w:rStyle w:val="Hyperlink"/>
            <w:noProof/>
            <w:lang w:val="en-PH"/>
          </w:rPr>
          <w:t xml:space="preserve">Figure 16: Cost of ED </w:t>
        </w:r>
        <w:r w:rsidRPr="00F45A17">
          <w:rPr>
            <w:rStyle w:val="Hyperlink"/>
            <w:noProof/>
          </w:rPr>
          <w:t>patient</w:t>
        </w:r>
        <w:r w:rsidRPr="00F45A17">
          <w:rPr>
            <w:rStyle w:val="Hyperlink"/>
            <w:noProof/>
            <w:lang w:val="en-PH"/>
          </w:rPr>
          <w:t xml:space="preserve"> presentations by jurisdiction, 2020-21 to 2022-23</w:t>
        </w:r>
        <w:r>
          <w:rPr>
            <w:noProof/>
            <w:webHidden/>
          </w:rPr>
          <w:tab/>
        </w:r>
        <w:r>
          <w:rPr>
            <w:noProof/>
            <w:webHidden/>
          </w:rPr>
          <w:fldChar w:fldCharType="begin"/>
        </w:r>
        <w:r>
          <w:rPr>
            <w:noProof/>
            <w:webHidden/>
          </w:rPr>
          <w:instrText xml:space="preserve"> PAGEREF _Toc187312112 \h </w:instrText>
        </w:r>
        <w:r>
          <w:rPr>
            <w:noProof/>
            <w:webHidden/>
          </w:rPr>
        </w:r>
        <w:r>
          <w:rPr>
            <w:noProof/>
            <w:webHidden/>
          </w:rPr>
          <w:fldChar w:fldCharType="separate"/>
        </w:r>
        <w:r w:rsidR="004908C4">
          <w:rPr>
            <w:noProof/>
            <w:webHidden/>
          </w:rPr>
          <w:t>28</w:t>
        </w:r>
        <w:r>
          <w:rPr>
            <w:noProof/>
            <w:webHidden/>
          </w:rPr>
          <w:fldChar w:fldCharType="end"/>
        </w:r>
      </w:hyperlink>
    </w:p>
    <w:p w14:paraId="1775825D" w14:textId="573BA60E"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13" w:history="1">
        <w:r w:rsidRPr="00F45A17">
          <w:rPr>
            <w:rStyle w:val="Hyperlink"/>
            <w:noProof/>
          </w:rPr>
          <w:t xml:space="preserve">Figure 17: </w:t>
        </w:r>
        <w:r w:rsidRPr="00F45A17">
          <w:rPr>
            <w:rStyle w:val="Hyperlink"/>
            <w:rFonts w:cstheme="majorBidi"/>
            <w:noProof/>
            <w:lang w:val="en-PH"/>
          </w:rPr>
          <w:t>Average cost per ED patient presentations by jurisdiction, 2020-21 to 2022-23</w:t>
        </w:r>
        <w:r>
          <w:rPr>
            <w:noProof/>
            <w:webHidden/>
          </w:rPr>
          <w:tab/>
        </w:r>
        <w:r>
          <w:rPr>
            <w:noProof/>
            <w:webHidden/>
          </w:rPr>
          <w:fldChar w:fldCharType="begin"/>
        </w:r>
        <w:r>
          <w:rPr>
            <w:noProof/>
            <w:webHidden/>
          </w:rPr>
          <w:instrText xml:space="preserve"> PAGEREF _Toc187312113 \h </w:instrText>
        </w:r>
        <w:r>
          <w:rPr>
            <w:noProof/>
            <w:webHidden/>
          </w:rPr>
        </w:r>
        <w:r>
          <w:rPr>
            <w:noProof/>
            <w:webHidden/>
          </w:rPr>
          <w:fldChar w:fldCharType="separate"/>
        </w:r>
        <w:r w:rsidR="004908C4">
          <w:rPr>
            <w:noProof/>
            <w:webHidden/>
          </w:rPr>
          <w:t>28</w:t>
        </w:r>
        <w:r>
          <w:rPr>
            <w:noProof/>
            <w:webHidden/>
          </w:rPr>
          <w:fldChar w:fldCharType="end"/>
        </w:r>
      </w:hyperlink>
    </w:p>
    <w:p w14:paraId="1216E116" w14:textId="441F8E59"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14" w:history="1">
        <w:r w:rsidRPr="00F45A17">
          <w:rPr>
            <w:rStyle w:val="Hyperlink"/>
            <w:noProof/>
            <w:lang w:val="en-PH"/>
          </w:rPr>
          <w:t>Figure 18: Top 10 cost buckets in ED patient presentations, 2020-21 to 2022-23</w:t>
        </w:r>
        <w:r>
          <w:rPr>
            <w:noProof/>
            <w:webHidden/>
          </w:rPr>
          <w:tab/>
        </w:r>
        <w:r>
          <w:rPr>
            <w:noProof/>
            <w:webHidden/>
          </w:rPr>
          <w:fldChar w:fldCharType="begin"/>
        </w:r>
        <w:r>
          <w:rPr>
            <w:noProof/>
            <w:webHidden/>
          </w:rPr>
          <w:instrText xml:space="preserve"> PAGEREF _Toc187312114 \h </w:instrText>
        </w:r>
        <w:r>
          <w:rPr>
            <w:noProof/>
            <w:webHidden/>
          </w:rPr>
        </w:r>
        <w:r>
          <w:rPr>
            <w:noProof/>
            <w:webHidden/>
          </w:rPr>
          <w:fldChar w:fldCharType="separate"/>
        </w:r>
        <w:r w:rsidR="004908C4">
          <w:rPr>
            <w:noProof/>
            <w:webHidden/>
          </w:rPr>
          <w:t>29</w:t>
        </w:r>
        <w:r>
          <w:rPr>
            <w:noProof/>
            <w:webHidden/>
          </w:rPr>
          <w:fldChar w:fldCharType="end"/>
        </w:r>
      </w:hyperlink>
    </w:p>
    <w:p w14:paraId="12C5BE6B" w14:textId="20B7A165"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15" w:history="1">
        <w:r w:rsidRPr="00F45A17">
          <w:rPr>
            <w:rStyle w:val="Hyperlink"/>
            <w:noProof/>
            <w:lang w:val="en-PH"/>
          </w:rPr>
          <w:t>Figure 19: Non-admitted services events in ABF and NHCDC, 2020-21 to 2022-23</w:t>
        </w:r>
        <w:r>
          <w:rPr>
            <w:noProof/>
            <w:webHidden/>
          </w:rPr>
          <w:tab/>
        </w:r>
        <w:r>
          <w:rPr>
            <w:noProof/>
            <w:webHidden/>
          </w:rPr>
          <w:fldChar w:fldCharType="begin"/>
        </w:r>
        <w:r>
          <w:rPr>
            <w:noProof/>
            <w:webHidden/>
          </w:rPr>
          <w:instrText xml:space="preserve"> PAGEREF _Toc187312115 \h </w:instrText>
        </w:r>
        <w:r>
          <w:rPr>
            <w:noProof/>
            <w:webHidden/>
          </w:rPr>
        </w:r>
        <w:r>
          <w:rPr>
            <w:noProof/>
            <w:webHidden/>
          </w:rPr>
          <w:fldChar w:fldCharType="separate"/>
        </w:r>
        <w:r w:rsidR="004908C4">
          <w:rPr>
            <w:noProof/>
            <w:webHidden/>
          </w:rPr>
          <w:t>31</w:t>
        </w:r>
        <w:r>
          <w:rPr>
            <w:noProof/>
            <w:webHidden/>
          </w:rPr>
          <w:fldChar w:fldCharType="end"/>
        </w:r>
      </w:hyperlink>
    </w:p>
    <w:p w14:paraId="4726D5E7" w14:textId="6B5DB453"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16" w:history="1">
        <w:r w:rsidRPr="00F45A17">
          <w:rPr>
            <w:rStyle w:val="Hyperlink"/>
            <w:noProof/>
            <w:lang w:val="en-PH"/>
          </w:rPr>
          <w:t xml:space="preserve">Figure 20: Cost of non-admitted </w:t>
        </w:r>
        <w:r w:rsidRPr="00F45A17">
          <w:rPr>
            <w:rStyle w:val="Hyperlink"/>
            <w:noProof/>
          </w:rPr>
          <w:t>service</w:t>
        </w:r>
        <w:r w:rsidRPr="00F45A17">
          <w:rPr>
            <w:rStyle w:val="Hyperlink"/>
            <w:noProof/>
            <w:lang w:val="en-PH"/>
          </w:rPr>
          <w:t xml:space="preserve"> events by jurisdiction, 2020-21 to 2022-23</w:t>
        </w:r>
        <w:r>
          <w:rPr>
            <w:noProof/>
            <w:webHidden/>
          </w:rPr>
          <w:tab/>
        </w:r>
        <w:r>
          <w:rPr>
            <w:noProof/>
            <w:webHidden/>
          </w:rPr>
          <w:fldChar w:fldCharType="begin"/>
        </w:r>
        <w:r>
          <w:rPr>
            <w:noProof/>
            <w:webHidden/>
          </w:rPr>
          <w:instrText xml:space="preserve"> PAGEREF _Toc187312116 \h </w:instrText>
        </w:r>
        <w:r>
          <w:rPr>
            <w:noProof/>
            <w:webHidden/>
          </w:rPr>
        </w:r>
        <w:r>
          <w:rPr>
            <w:noProof/>
            <w:webHidden/>
          </w:rPr>
          <w:fldChar w:fldCharType="separate"/>
        </w:r>
        <w:r w:rsidR="004908C4">
          <w:rPr>
            <w:noProof/>
            <w:webHidden/>
          </w:rPr>
          <w:t>32</w:t>
        </w:r>
        <w:r>
          <w:rPr>
            <w:noProof/>
            <w:webHidden/>
          </w:rPr>
          <w:fldChar w:fldCharType="end"/>
        </w:r>
      </w:hyperlink>
    </w:p>
    <w:p w14:paraId="37E8E040" w14:textId="5203D025"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17" w:history="1">
        <w:r w:rsidRPr="00F45A17">
          <w:rPr>
            <w:rStyle w:val="Hyperlink"/>
            <w:noProof/>
            <w:lang w:val="en-PH"/>
          </w:rPr>
          <w:t>Figure 21: Average cost per non-admitted service event by jurisdiction, 2020-21 to 2022-23</w:t>
        </w:r>
        <w:r>
          <w:rPr>
            <w:noProof/>
            <w:webHidden/>
          </w:rPr>
          <w:tab/>
        </w:r>
        <w:r>
          <w:rPr>
            <w:noProof/>
            <w:webHidden/>
          </w:rPr>
          <w:fldChar w:fldCharType="begin"/>
        </w:r>
        <w:r>
          <w:rPr>
            <w:noProof/>
            <w:webHidden/>
          </w:rPr>
          <w:instrText xml:space="preserve"> PAGEREF _Toc187312117 \h </w:instrText>
        </w:r>
        <w:r>
          <w:rPr>
            <w:noProof/>
            <w:webHidden/>
          </w:rPr>
        </w:r>
        <w:r>
          <w:rPr>
            <w:noProof/>
            <w:webHidden/>
          </w:rPr>
          <w:fldChar w:fldCharType="separate"/>
        </w:r>
        <w:r w:rsidR="004908C4">
          <w:rPr>
            <w:noProof/>
            <w:webHidden/>
          </w:rPr>
          <w:t>32</w:t>
        </w:r>
        <w:r>
          <w:rPr>
            <w:noProof/>
            <w:webHidden/>
          </w:rPr>
          <w:fldChar w:fldCharType="end"/>
        </w:r>
      </w:hyperlink>
    </w:p>
    <w:p w14:paraId="7BEFCF36" w14:textId="69F1133D"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18" w:history="1">
        <w:r w:rsidRPr="00F45A17">
          <w:rPr>
            <w:rStyle w:val="Hyperlink"/>
            <w:rFonts w:cstheme="majorBidi"/>
            <w:noProof/>
            <w:lang w:val="en-PH"/>
          </w:rPr>
          <w:t>Figure 22: Top 10 cost buckets in non-admitted service events, 2020-21 to 2022-23</w:t>
        </w:r>
        <w:r>
          <w:rPr>
            <w:noProof/>
            <w:webHidden/>
          </w:rPr>
          <w:tab/>
        </w:r>
        <w:r>
          <w:rPr>
            <w:noProof/>
            <w:webHidden/>
          </w:rPr>
          <w:fldChar w:fldCharType="begin"/>
        </w:r>
        <w:r>
          <w:rPr>
            <w:noProof/>
            <w:webHidden/>
          </w:rPr>
          <w:instrText xml:space="preserve"> PAGEREF _Toc187312118 \h </w:instrText>
        </w:r>
        <w:r>
          <w:rPr>
            <w:noProof/>
            <w:webHidden/>
          </w:rPr>
        </w:r>
        <w:r>
          <w:rPr>
            <w:noProof/>
            <w:webHidden/>
          </w:rPr>
          <w:fldChar w:fldCharType="separate"/>
        </w:r>
        <w:r w:rsidR="004908C4">
          <w:rPr>
            <w:noProof/>
            <w:webHidden/>
          </w:rPr>
          <w:t>34</w:t>
        </w:r>
        <w:r>
          <w:rPr>
            <w:noProof/>
            <w:webHidden/>
          </w:rPr>
          <w:fldChar w:fldCharType="end"/>
        </w:r>
      </w:hyperlink>
    </w:p>
    <w:p w14:paraId="39ED5443" w14:textId="0033FF39"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19" w:history="1">
        <w:r w:rsidRPr="00F45A17">
          <w:rPr>
            <w:rStyle w:val="Hyperlink"/>
            <w:noProof/>
            <w:lang w:val="en-PH"/>
          </w:rPr>
          <w:t>Figure 23: Admitted mental health phases in ABF and NHCDC, 2020-21 to 2022-23</w:t>
        </w:r>
        <w:r>
          <w:rPr>
            <w:noProof/>
            <w:webHidden/>
          </w:rPr>
          <w:tab/>
        </w:r>
        <w:r>
          <w:rPr>
            <w:noProof/>
            <w:webHidden/>
          </w:rPr>
          <w:fldChar w:fldCharType="begin"/>
        </w:r>
        <w:r>
          <w:rPr>
            <w:noProof/>
            <w:webHidden/>
          </w:rPr>
          <w:instrText xml:space="preserve"> PAGEREF _Toc187312119 \h </w:instrText>
        </w:r>
        <w:r>
          <w:rPr>
            <w:noProof/>
            <w:webHidden/>
          </w:rPr>
        </w:r>
        <w:r>
          <w:rPr>
            <w:noProof/>
            <w:webHidden/>
          </w:rPr>
          <w:fldChar w:fldCharType="separate"/>
        </w:r>
        <w:r w:rsidR="004908C4">
          <w:rPr>
            <w:noProof/>
            <w:webHidden/>
          </w:rPr>
          <w:t>38</w:t>
        </w:r>
        <w:r>
          <w:rPr>
            <w:noProof/>
            <w:webHidden/>
          </w:rPr>
          <w:fldChar w:fldCharType="end"/>
        </w:r>
      </w:hyperlink>
    </w:p>
    <w:p w14:paraId="60C65BBD" w14:textId="68757146"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20" w:history="1">
        <w:r w:rsidRPr="00F45A17">
          <w:rPr>
            <w:rStyle w:val="Hyperlink"/>
            <w:noProof/>
            <w:lang w:val="en-PH"/>
          </w:rPr>
          <w:t xml:space="preserve">Figure 24: Cost of </w:t>
        </w:r>
        <w:r w:rsidRPr="00F45A17">
          <w:rPr>
            <w:rStyle w:val="Hyperlink"/>
            <w:noProof/>
          </w:rPr>
          <w:t>admitted</w:t>
        </w:r>
        <w:r w:rsidRPr="00F45A17">
          <w:rPr>
            <w:rStyle w:val="Hyperlink"/>
            <w:noProof/>
            <w:lang w:val="en-PH"/>
          </w:rPr>
          <w:t xml:space="preserve"> mental health phases by jurisdiction, 2020-21 to 2022-23</w:t>
        </w:r>
        <w:r>
          <w:rPr>
            <w:noProof/>
            <w:webHidden/>
          </w:rPr>
          <w:tab/>
        </w:r>
        <w:r>
          <w:rPr>
            <w:noProof/>
            <w:webHidden/>
          </w:rPr>
          <w:fldChar w:fldCharType="begin"/>
        </w:r>
        <w:r>
          <w:rPr>
            <w:noProof/>
            <w:webHidden/>
          </w:rPr>
          <w:instrText xml:space="preserve"> PAGEREF _Toc187312120 \h </w:instrText>
        </w:r>
        <w:r>
          <w:rPr>
            <w:noProof/>
            <w:webHidden/>
          </w:rPr>
        </w:r>
        <w:r>
          <w:rPr>
            <w:noProof/>
            <w:webHidden/>
          </w:rPr>
          <w:fldChar w:fldCharType="separate"/>
        </w:r>
        <w:r w:rsidR="004908C4">
          <w:rPr>
            <w:noProof/>
            <w:webHidden/>
          </w:rPr>
          <w:t>39</w:t>
        </w:r>
        <w:r>
          <w:rPr>
            <w:noProof/>
            <w:webHidden/>
          </w:rPr>
          <w:fldChar w:fldCharType="end"/>
        </w:r>
      </w:hyperlink>
    </w:p>
    <w:p w14:paraId="34BA53DA" w14:textId="6A4ABEF5"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21" w:history="1">
        <w:r w:rsidRPr="00F45A17">
          <w:rPr>
            <w:rStyle w:val="Hyperlink"/>
            <w:noProof/>
            <w:lang w:val="en-PH"/>
          </w:rPr>
          <w:t xml:space="preserve">Figure 25: Average cost per admitted mental health phases </w:t>
        </w:r>
        <w:r w:rsidRPr="00F45A17">
          <w:rPr>
            <w:rStyle w:val="Hyperlink"/>
            <w:noProof/>
          </w:rPr>
          <w:t>by jurisdiction</w:t>
        </w:r>
        <w:r w:rsidRPr="00F45A17">
          <w:rPr>
            <w:rStyle w:val="Hyperlink"/>
            <w:noProof/>
            <w:lang w:val="en-PH"/>
          </w:rPr>
          <w:t>, 2020-21 to 2022-23</w:t>
        </w:r>
        <w:r>
          <w:rPr>
            <w:noProof/>
            <w:webHidden/>
          </w:rPr>
          <w:tab/>
        </w:r>
        <w:r>
          <w:rPr>
            <w:noProof/>
            <w:webHidden/>
          </w:rPr>
          <w:fldChar w:fldCharType="begin"/>
        </w:r>
        <w:r>
          <w:rPr>
            <w:noProof/>
            <w:webHidden/>
          </w:rPr>
          <w:instrText xml:space="preserve"> PAGEREF _Toc187312121 \h </w:instrText>
        </w:r>
        <w:r>
          <w:rPr>
            <w:noProof/>
            <w:webHidden/>
          </w:rPr>
        </w:r>
        <w:r>
          <w:rPr>
            <w:noProof/>
            <w:webHidden/>
          </w:rPr>
          <w:fldChar w:fldCharType="separate"/>
        </w:r>
        <w:r w:rsidR="004908C4">
          <w:rPr>
            <w:noProof/>
            <w:webHidden/>
          </w:rPr>
          <w:t>39</w:t>
        </w:r>
        <w:r>
          <w:rPr>
            <w:noProof/>
            <w:webHidden/>
          </w:rPr>
          <w:fldChar w:fldCharType="end"/>
        </w:r>
      </w:hyperlink>
    </w:p>
    <w:p w14:paraId="6B2FA523" w14:textId="66C6807D"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22" w:history="1">
        <w:r w:rsidRPr="00F45A17">
          <w:rPr>
            <w:rStyle w:val="Hyperlink"/>
            <w:noProof/>
            <w:lang w:val="en-PH"/>
          </w:rPr>
          <w:t>Figure 26: Top 10 cost buckets in admitted mental health phases, 2020-21 to 2022-23</w:t>
        </w:r>
        <w:r>
          <w:rPr>
            <w:noProof/>
            <w:webHidden/>
          </w:rPr>
          <w:tab/>
        </w:r>
        <w:r>
          <w:rPr>
            <w:noProof/>
            <w:webHidden/>
          </w:rPr>
          <w:fldChar w:fldCharType="begin"/>
        </w:r>
        <w:r>
          <w:rPr>
            <w:noProof/>
            <w:webHidden/>
          </w:rPr>
          <w:instrText xml:space="preserve"> PAGEREF _Toc187312122 \h </w:instrText>
        </w:r>
        <w:r>
          <w:rPr>
            <w:noProof/>
            <w:webHidden/>
          </w:rPr>
        </w:r>
        <w:r>
          <w:rPr>
            <w:noProof/>
            <w:webHidden/>
          </w:rPr>
          <w:fldChar w:fldCharType="separate"/>
        </w:r>
        <w:r w:rsidR="004908C4">
          <w:rPr>
            <w:noProof/>
            <w:webHidden/>
          </w:rPr>
          <w:t>40</w:t>
        </w:r>
        <w:r>
          <w:rPr>
            <w:noProof/>
            <w:webHidden/>
          </w:rPr>
          <w:fldChar w:fldCharType="end"/>
        </w:r>
      </w:hyperlink>
    </w:p>
    <w:p w14:paraId="1DDF32D7" w14:textId="7F7DB6F9"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23" w:history="1">
        <w:r w:rsidRPr="00F45A17">
          <w:rPr>
            <w:rStyle w:val="Hyperlink"/>
            <w:noProof/>
            <w:lang w:val="en-PH"/>
          </w:rPr>
          <w:t>Figure 27: Community mental health phases in ABF and NHCDC, 2020-21 to 2022-23</w:t>
        </w:r>
        <w:r>
          <w:rPr>
            <w:noProof/>
            <w:webHidden/>
          </w:rPr>
          <w:tab/>
        </w:r>
        <w:r>
          <w:rPr>
            <w:noProof/>
            <w:webHidden/>
          </w:rPr>
          <w:fldChar w:fldCharType="begin"/>
        </w:r>
        <w:r>
          <w:rPr>
            <w:noProof/>
            <w:webHidden/>
          </w:rPr>
          <w:instrText xml:space="preserve"> PAGEREF _Toc187312123 \h </w:instrText>
        </w:r>
        <w:r>
          <w:rPr>
            <w:noProof/>
            <w:webHidden/>
          </w:rPr>
        </w:r>
        <w:r>
          <w:rPr>
            <w:noProof/>
            <w:webHidden/>
          </w:rPr>
          <w:fldChar w:fldCharType="separate"/>
        </w:r>
        <w:r w:rsidR="004908C4">
          <w:rPr>
            <w:noProof/>
            <w:webHidden/>
          </w:rPr>
          <w:t>43</w:t>
        </w:r>
        <w:r>
          <w:rPr>
            <w:noProof/>
            <w:webHidden/>
          </w:rPr>
          <w:fldChar w:fldCharType="end"/>
        </w:r>
      </w:hyperlink>
    </w:p>
    <w:p w14:paraId="16AE3727" w14:textId="3553F3EB"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24" w:history="1">
        <w:r w:rsidRPr="00F45A17">
          <w:rPr>
            <w:rStyle w:val="Hyperlink"/>
            <w:noProof/>
            <w:lang w:val="en-PH"/>
          </w:rPr>
          <w:t>Figure 28: Cost of community mental health phases by jurisdiction, 2020-21 to 2022-23</w:t>
        </w:r>
        <w:r>
          <w:rPr>
            <w:noProof/>
            <w:webHidden/>
          </w:rPr>
          <w:tab/>
        </w:r>
        <w:r>
          <w:rPr>
            <w:noProof/>
            <w:webHidden/>
          </w:rPr>
          <w:fldChar w:fldCharType="begin"/>
        </w:r>
        <w:r>
          <w:rPr>
            <w:noProof/>
            <w:webHidden/>
          </w:rPr>
          <w:instrText xml:space="preserve"> PAGEREF _Toc187312124 \h </w:instrText>
        </w:r>
        <w:r>
          <w:rPr>
            <w:noProof/>
            <w:webHidden/>
          </w:rPr>
        </w:r>
        <w:r>
          <w:rPr>
            <w:noProof/>
            <w:webHidden/>
          </w:rPr>
          <w:fldChar w:fldCharType="separate"/>
        </w:r>
        <w:r w:rsidR="004908C4">
          <w:rPr>
            <w:noProof/>
            <w:webHidden/>
          </w:rPr>
          <w:t>43</w:t>
        </w:r>
        <w:r>
          <w:rPr>
            <w:noProof/>
            <w:webHidden/>
          </w:rPr>
          <w:fldChar w:fldCharType="end"/>
        </w:r>
      </w:hyperlink>
    </w:p>
    <w:p w14:paraId="34868CDD" w14:textId="16ED49DB"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25" w:history="1">
        <w:r w:rsidRPr="00F45A17">
          <w:rPr>
            <w:rStyle w:val="Hyperlink"/>
            <w:noProof/>
            <w:lang w:val="en-PH"/>
          </w:rPr>
          <w:t>Figure 29: Average cost per community mental health phase by jurisdiction, 2020-21 to 2022-23</w:t>
        </w:r>
        <w:r>
          <w:rPr>
            <w:noProof/>
            <w:webHidden/>
          </w:rPr>
          <w:tab/>
        </w:r>
        <w:r>
          <w:rPr>
            <w:noProof/>
            <w:webHidden/>
          </w:rPr>
          <w:fldChar w:fldCharType="begin"/>
        </w:r>
        <w:r>
          <w:rPr>
            <w:noProof/>
            <w:webHidden/>
          </w:rPr>
          <w:instrText xml:space="preserve"> PAGEREF _Toc187312125 \h </w:instrText>
        </w:r>
        <w:r>
          <w:rPr>
            <w:noProof/>
            <w:webHidden/>
          </w:rPr>
        </w:r>
        <w:r>
          <w:rPr>
            <w:noProof/>
            <w:webHidden/>
          </w:rPr>
          <w:fldChar w:fldCharType="separate"/>
        </w:r>
        <w:r w:rsidR="004908C4">
          <w:rPr>
            <w:noProof/>
            <w:webHidden/>
          </w:rPr>
          <w:t>44</w:t>
        </w:r>
        <w:r>
          <w:rPr>
            <w:noProof/>
            <w:webHidden/>
          </w:rPr>
          <w:fldChar w:fldCharType="end"/>
        </w:r>
      </w:hyperlink>
    </w:p>
    <w:p w14:paraId="28D6CEE2" w14:textId="7D433022" w:rsidR="00651221" w:rsidRDefault="00651221">
      <w:pPr>
        <w:pStyle w:val="TableofFigures"/>
        <w:tabs>
          <w:tab w:val="right" w:leader="dot" w:pos="9736"/>
        </w:tabs>
        <w:rPr>
          <w:rFonts w:asciiTheme="minorHAnsi" w:eastAsiaTheme="minorEastAsia" w:hAnsiTheme="minorHAnsi"/>
          <w:noProof/>
          <w:color w:val="auto"/>
          <w:kern w:val="2"/>
          <w:sz w:val="24"/>
          <w:szCs w:val="24"/>
          <w:lang w:eastAsia="en-AU"/>
          <w14:ligatures w14:val="standardContextual"/>
        </w:rPr>
      </w:pPr>
      <w:hyperlink w:anchor="_Toc187312126" w:history="1">
        <w:r w:rsidRPr="00F45A17">
          <w:rPr>
            <w:rStyle w:val="Hyperlink"/>
            <w:noProof/>
            <w:lang w:val="en-PH"/>
          </w:rPr>
          <w:t>Figure 30: Top 10 cost buckets in community mental health phases, 2020-21 to 2022-23</w:t>
        </w:r>
        <w:r>
          <w:rPr>
            <w:noProof/>
            <w:webHidden/>
          </w:rPr>
          <w:tab/>
        </w:r>
        <w:r>
          <w:rPr>
            <w:noProof/>
            <w:webHidden/>
          </w:rPr>
          <w:fldChar w:fldCharType="begin"/>
        </w:r>
        <w:r>
          <w:rPr>
            <w:noProof/>
            <w:webHidden/>
          </w:rPr>
          <w:instrText xml:space="preserve"> PAGEREF _Toc187312126 \h </w:instrText>
        </w:r>
        <w:r>
          <w:rPr>
            <w:noProof/>
            <w:webHidden/>
          </w:rPr>
        </w:r>
        <w:r>
          <w:rPr>
            <w:noProof/>
            <w:webHidden/>
          </w:rPr>
          <w:fldChar w:fldCharType="separate"/>
        </w:r>
        <w:r w:rsidR="004908C4">
          <w:rPr>
            <w:noProof/>
            <w:webHidden/>
          </w:rPr>
          <w:t>44</w:t>
        </w:r>
        <w:r>
          <w:rPr>
            <w:noProof/>
            <w:webHidden/>
          </w:rPr>
          <w:fldChar w:fldCharType="end"/>
        </w:r>
      </w:hyperlink>
    </w:p>
    <w:p w14:paraId="7A7EBF11" w14:textId="53CB6A59" w:rsidR="00372628" w:rsidRPr="00CE058E" w:rsidRDefault="003B16B9" w:rsidP="005D6595">
      <w:pPr>
        <w:pStyle w:val="TableofFigures"/>
        <w:tabs>
          <w:tab w:val="right" w:leader="dot" w:pos="9736"/>
        </w:tabs>
        <w:rPr>
          <w:rFonts w:cs="Arial"/>
          <w:sz w:val="18"/>
          <w:szCs w:val="18"/>
        </w:rPr>
      </w:pPr>
      <w:r w:rsidRPr="00142711">
        <w:rPr>
          <w:rFonts w:cs="Arial"/>
          <w:sz w:val="16"/>
          <w:szCs w:val="16"/>
        </w:rPr>
        <w:fldChar w:fldCharType="end"/>
      </w:r>
      <w:r w:rsidR="00372628" w:rsidRPr="00CE058E">
        <w:rPr>
          <w:rFonts w:cs="Arial"/>
          <w:sz w:val="18"/>
          <w:szCs w:val="18"/>
        </w:rPr>
        <w:br w:type="page"/>
      </w:r>
    </w:p>
    <w:p w14:paraId="7FB9B3AA" w14:textId="176E301D" w:rsidR="006C242E" w:rsidRDefault="006C242E" w:rsidP="006C242E">
      <w:pPr>
        <w:pStyle w:val="Heading1"/>
        <w:rPr>
          <w:rFonts w:cs="Arial"/>
        </w:rPr>
      </w:pPr>
      <w:bookmarkStart w:id="7" w:name="_Toc158882588"/>
      <w:r>
        <w:rPr>
          <w:rFonts w:cs="Arial"/>
        </w:rPr>
        <w:lastRenderedPageBreak/>
        <w:t>Glossary</w:t>
      </w:r>
    </w:p>
    <w:p w14:paraId="0022E45F" w14:textId="5263FC41" w:rsidR="009D2956" w:rsidRDefault="009D2956" w:rsidP="009D2956">
      <w:pPr>
        <w:pStyle w:val="Heading2"/>
      </w:pPr>
      <w:r>
        <w:t>Terms</w:t>
      </w:r>
    </w:p>
    <w:p w14:paraId="02532311" w14:textId="3F967083" w:rsidR="006A3AE5" w:rsidRPr="00D16D7C" w:rsidRDefault="006A3AE5" w:rsidP="009D2956">
      <w:r>
        <w:rPr>
          <w:b/>
          <w:bCs/>
        </w:rPr>
        <w:t>ABF activity</w:t>
      </w:r>
      <w:r>
        <w:t xml:space="preserve"> </w:t>
      </w:r>
      <w:r w:rsidR="009765DB">
        <w:t xml:space="preserve">is </w:t>
      </w:r>
      <w:proofErr w:type="gramStart"/>
      <w:r w:rsidR="009765DB">
        <w:t>a</w:t>
      </w:r>
      <w:r w:rsidR="009765DB" w:rsidRPr="009765DB">
        <w:t>ctivity based</w:t>
      </w:r>
      <w:proofErr w:type="gramEnd"/>
      <w:r w:rsidR="009765DB" w:rsidRPr="009765DB">
        <w:t xml:space="preserve"> funding (ABF) activity data</w:t>
      </w:r>
      <w:r w:rsidR="009765DB">
        <w:t xml:space="preserve"> </w:t>
      </w:r>
      <w:r w:rsidR="009765DB" w:rsidRPr="009765DB">
        <w:t xml:space="preserve">submitted quarterly </w:t>
      </w:r>
      <w:r w:rsidR="009765DB">
        <w:t xml:space="preserve">detailing </w:t>
      </w:r>
      <w:r w:rsidR="009765DB" w:rsidRPr="009765DB">
        <w:t>the different patient services provided by Australian hospitals, to input into the ABF process. From these data items, patient episodes and phases are categorised according to clinical classifications.</w:t>
      </w:r>
    </w:p>
    <w:p w14:paraId="39980AB1" w14:textId="1BD62B98" w:rsidR="00EB3E61" w:rsidRPr="00D16D7C" w:rsidRDefault="00EB3E61" w:rsidP="009D2956">
      <w:r>
        <w:rPr>
          <w:b/>
          <w:bCs/>
        </w:rPr>
        <w:t xml:space="preserve">AHPCS </w:t>
      </w:r>
      <w:r>
        <w:t>is the Australian Patient Hospital Costing Standards</w:t>
      </w:r>
      <w:r w:rsidR="006A3AE5" w:rsidRPr="006A3AE5">
        <w:t xml:space="preserve"> </w:t>
      </w:r>
      <w:r w:rsidR="006A3AE5">
        <w:t xml:space="preserve">that </w:t>
      </w:r>
      <w:r w:rsidR="006A3AE5" w:rsidRPr="006A3AE5">
        <w:t>provide direction for costing practitioners to ensure all in-scope costs are allocated to hospital activity to reflect resource utilisation, in a complete and consistent manner.</w:t>
      </w:r>
    </w:p>
    <w:p w14:paraId="198D3F25" w14:textId="39A18CBA" w:rsidR="00E47F82" w:rsidRPr="00D16D7C" w:rsidRDefault="00E47F82" w:rsidP="009D2956">
      <w:r>
        <w:rPr>
          <w:b/>
          <w:bCs/>
        </w:rPr>
        <w:t xml:space="preserve">Cost buckets </w:t>
      </w:r>
      <w:r w:rsidR="006A3AE5">
        <w:t>are an NHCDC reporting mechanism determined by the combination of cost centres and line items. The cost bucket matrix (defined in the AHPCS Version 4.2) shows this intersection.</w:t>
      </w:r>
    </w:p>
    <w:p w14:paraId="70755DB7" w14:textId="09A1A6EB" w:rsidR="009D2956" w:rsidRDefault="009D2956" w:rsidP="009D2956">
      <w:r w:rsidRPr="00D16D7C">
        <w:rPr>
          <w:b/>
          <w:bCs/>
        </w:rPr>
        <w:t>Episode</w:t>
      </w:r>
      <w:r w:rsidR="000750C0" w:rsidRPr="00D16D7C">
        <w:rPr>
          <w:b/>
          <w:bCs/>
        </w:rPr>
        <w:t xml:space="preserve"> </w:t>
      </w:r>
      <w:r w:rsidR="000750C0">
        <w:t xml:space="preserve">is </w:t>
      </w:r>
      <w:r w:rsidR="000750C0" w:rsidRPr="000750C0">
        <w:t>a continuous period of contact between a client and a service provider that starts at the point of first contact and concludes at discharge.</w:t>
      </w:r>
    </w:p>
    <w:p w14:paraId="5BFAF092" w14:textId="2B10F1C5" w:rsidR="006A3AE5" w:rsidRPr="00D16D7C" w:rsidRDefault="006A3AE5" w:rsidP="009D2956">
      <w:r>
        <w:rPr>
          <w:b/>
          <w:bCs/>
        </w:rPr>
        <w:t>In-scope data</w:t>
      </w:r>
      <w:r>
        <w:t xml:space="preserve"> </w:t>
      </w:r>
      <w:r w:rsidRPr="006A3AE5">
        <w:t>all patient level activity for publicly funded services, provided in public or private hospitals. For all in-scope admitted activity, the episode or phase of care must be admitted from 1 July 2021 onwards and discharged within the 2022-23 financial year. Admitted work in progress (WIP) episodes with an admission date before 1 July 2021 and discharge date within the 2022-23 financial year are out of scope for reporting. All costs in the ‘exclude’ line item are out of scope for reporting, including ‘exclude’ cost associated with linked records</w:t>
      </w:r>
      <w:r>
        <w:t>.</w:t>
      </w:r>
    </w:p>
    <w:p w14:paraId="4E31B1E2" w14:textId="405F000E" w:rsidR="00E47F82" w:rsidRDefault="00E47F82" w:rsidP="009D2956">
      <w:r>
        <w:rPr>
          <w:b/>
          <w:bCs/>
        </w:rPr>
        <w:t>Line item</w:t>
      </w:r>
      <w:r w:rsidR="00EB3E61" w:rsidRPr="00D16D7C">
        <w:rPr>
          <w:b/>
          <w:bCs/>
        </w:rPr>
        <w:t>s</w:t>
      </w:r>
      <w:r w:rsidR="00EB3E61">
        <w:t xml:space="preserve"> are standardised </w:t>
      </w:r>
      <w:r w:rsidR="00EB3E61" w:rsidRPr="00EB3E61">
        <w:t>cost categories</w:t>
      </w:r>
      <w:r w:rsidR="00EB3E61">
        <w:t xml:space="preserve"> </w:t>
      </w:r>
      <w:r w:rsidR="006A3AE5">
        <w:t>that are</w:t>
      </w:r>
      <w:r w:rsidR="006A3AE5" w:rsidRPr="006A3AE5">
        <w:t xml:space="preserve"> mapped</w:t>
      </w:r>
      <w:r w:rsidR="006A3AE5">
        <w:t xml:space="preserve"> to</w:t>
      </w:r>
      <w:r w:rsidR="006A3AE5" w:rsidRPr="006A3AE5">
        <w:t xml:space="preserve"> account codes </w:t>
      </w:r>
      <w:r w:rsidR="006A3AE5">
        <w:t xml:space="preserve">as </w:t>
      </w:r>
      <w:r w:rsidR="00EB3E61">
        <w:t>defined in the AHPCS Version 4.2</w:t>
      </w:r>
      <w:r w:rsidR="006A3AE5">
        <w:t>.</w:t>
      </w:r>
    </w:p>
    <w:p w14:paraId="48AA8FFF" w14:textId="4AA0D367" w:rsidR="006A3AE5" w:rsidRPr="00D16D7C" w:rsidRDefault="006A3AE5" w:rsidP="009D2956">
      <w:pPr>
        <w:rPr>
          <w:b/>
          <w:bCs/>
        </w:rPr>
      </w:pPr>
      <w:r w:rsidRPr="00D16D7C">
        <w:rPr>
          <w:b/>
          <w:bCs/>
        </w:rPr>
        <w:t>NHCDC records</w:t>
      </w:r>
      <w:r w:rsidR="009765DB">
        <w:rPr>
          <w:b/>
          <w:bCs/>
        </w:rPr>
        <w:t xml:space="preserve"> </w:t>
      </w:r>
      <w:r w:rsidR="009765DB">
        <w:t>is National Hospital Cost Data Collection data submitted</w:t>
      </w:r>
      <w:r w:rsidRPr="00D16D7C">
        <w:rPr>
          <w:b/>
          <w:bCs/>
        </w:rPr>
        <w:t xml:space="preserve"> </w:t>
      </w:r>
      <w:r w:rsidR="009765DB">
        <w:t>annually</w:t>
      </w:r>
      <w:r w:rsidR="009765DB" w:rsidRPr="00D16D7C">
        <w:t xml:space="preserve"> containing detailed information about the costs associated with patient activity.</w:t>
      </w:r>
    </w:p>
    <w:p w14:paraId="1B9742D7" w14:textId="633EC175" w:rsidR="009D2956" w:rsidRDefault="009D2956" w:rsidP="009D2956">
      <w:r w:rsidRPr="00D16D7C">
        <w:rPr>
          <w:b/>
          <w:bCs/>
        </w:rPr>
        <w:t>Phase</w:t>
      </w:r>
      <w:r w:rsidR="000750C0" w:rsidRPr="00D16D7C">
        <w:rPr>
          <w:b/>
          <w:bCs/>
        </w:rPr>
        <w:t>s</w:t>
      </w:r>
      <w:r w:rsidR="000750C0">
        <w:t xml:space="preserve"> are </w:t>
      </w:r>
      <w:r w:rsidR="000750C0" w:rsidRPr="000750C0">
        <w:t>multiple episodes of care – meaning multiple continuous periods of contacts between a client and different service providers.</w:t>
      </w:r>
    </w:p>
    <w:p w14:paraId="0540D825" w14:textId="4C5D5E3E" w:rsidR="009D2956" w:rsidRDefault="009D2956" w:rsidP="009D2956">
      <w:r w:rsidRPr="00D16D7C">
        <w:rPr>
          <w:b/>
          <w:bCs/>
        </w:rPr>
        <w:t>Presentation</w:t>
      </w:r>
      <w:r w:rsidR="000750C0">
        <w:t xml:space="preserve"> is a</w:t>
      </w:r>
      <w:r w:rsidR="000750C0" w:rsidRPr="000750C0">
        <w:t>n ‘episode’ of care at an emergency department (‘episode’ is not used here as it means admission and discharge in the admitted setting)</w:t>
      </w:r>
      <w:r w:rsidR="006A3AE5">
        <w:t>.</w:t>
      </w:r>
    </w:p>
    <w:p w14:paraId="6A21CB8C" w14:textId="4D26FA3C" w:rsidR="009D2956" w:rsidRPr="009D2956" w:rsidRDefault="009D2956" w:rsidP="00D16D7C">
      <w:r w:rsidRPr="00D16D7C">
        <w:rPr>
          <w:b/>
          <w:bCs/>
        </w:rPr>
        <w:t>Service event</w:t>
      </w:r>
      <w:r w:rsidR="000750C0" w:rsidRPr="00D16D7C">
        <w:rPr>
          <w:b/>
          <w:bCs/>
        </w:rPr>
        <w:t xml:space="preserve"> </w:t>
      </w:r>
      <w:r w:rsidR="000750C0">
        <w:t>is a</w:t>
      </w:r>
      <w:r w:rsidR="000750C0" w:rsidRPr="000750C0">
        <w:t>n ‘episode’ of non-admitted care (‘episode’ is not used here as it means admission and discharge in the admitted setting)</w:t>
      </w:r>
      <w:r w:rsidR="006A3AE5">
        <w:t>.</w:t>
      </w:r>
    </w:p>
    <w:p w14:paraId="557804BF" w14:textId="65589402" w:rsidR="006C242E" w:rsidRDefault="006C242E">
      <w:pPr>
        <w:spacing w:line="259" w:lineRule="auto"/>
      </w:pPr>
      <w:r>
        <w:br w:type="page"/>
      </w:r>
    </w:p>
    <w:p w14:paraId="21731766" w14:textId="6F5A8BFF" w:rsidR="009C4684" w:rsidRPr="00CE058E" w:rsidRDefault="009C4684" w:rsidP="00A32EB6">
      <w:pPr>
        <w:pStyle w:val="Heading1"/>
        <w:numPr>
          <w:ilvl w:val="0"/>
          <w:numId w:val="45"/>
        </w:numPr>
        <w:rPr>
          <w:rFonts w:cs="Arial"/>
        </w:rPr>
      </w:pPr>
      <w:r w:rsidRPr="00CE058E">
        <w:rPr>
          <w:rFonts w:cs="Arial"/>
        </w:rPr>
        <w:lastRenderedPageBreak/>
        <w:t xml:space="preserve">Executive </w:t>
      </w:r>
      <w:r w:rsidR="00077E22">
        <w:rPr>
          <w:rFonts w:cs="Arial"/>
        </w:rPr>
        <w:t>s</w:t>
      </w:r>
      <w:r w:rsidRPr="00CE058E">
        <w:rPr>
          <w:rFonts w:cs="Arial"/>
        </w:rPr>
        <w:t>ummary</w:t>
      </w:r>
      <w:bookmarkEnd w:id="7"/>
      <w:bookmarkEnd w:id="1"/>
      <w:bookmarkEnd w:id="0"/>
    </w:p>
    <w:p w14:paraId="5BB54328" w14:textId="77777777" w:rsidR="007261EA" w:rsidRPr="00CE058E" w:rsidRDefault="007261EA" w:rsidP="007261EA">
      <w:pPr>
        <w:pStyle w:val="Heading2"/>
      </w:pPr>
      <w:bookmarkStart w:id="8" w:name="_Toc151129677"/>
      <w:bookmarkStart w:id="9" w:name="_Toc158882528"/>
      <w:bookmarkStart w:id="10" w:name="_Toc158882589"/>
      <w:r w:rsidRPr="00CE058E">
        <w:t>Purpose</w:t>
      </w:r>
      <w:bookmarkEnd w:id="8"/>
      <w:bookmarkEnd w:id="9"/>
      <w:bookmarkEnd w:id="10"/>
    </w:p>
    <w:p w14:paraId="610C339C" w14:textId="2CD7FD3E" w:rsidR="00190655" w:rsidRPr="00A42FF4" w:rsidRDefault="000C1990" w:rsidP="00A32EB6">
      <w:pPr>
        <w:spacing w:line="276" w:lineRule="auto"/>
        <w:rPr>
          <w:rFonts w:cs="Arial"/>
        </w:rPr>
      </w:pPr>
      <w:r w:rsidRPr="00A42FF4">
        <w:rPr>
          <w:rFonts w:cs="Arial"/>
        </w:rPr>
        <w:t>T</w:t>
      </w:r>
      <w:r w:rsidR="007261EA" w:rsidRPr="00A42FF4">
        <w:rPr>
          <w:rFonts w:cs="Arial"/>
        </w:rPr>
        <w:t>his report present</w:t>
      </w:r>
      <w:r w:rsidRPr="00A42FF4">
        <w:rPr>
          <w:rFonts w:cs="Arial"/>
        </w:rPr>
        <w:t>s</w:t>
      </w:r>
      <w:r w:rsidR="007261EA" w:rsidRPr="00A42FF4">
        <w:rPr>
          <w:rFonts w:cs="Arial"/>
        </w:rPr>
        <w:t xml:space="preserve"> a summary of the </w:t>
      </w:r>
      <w:r w:rsidR="00C45BF9" w:rsidRPr="00A42FF4">
        <w:rPr>
          <w:rFonts w:cs="Arial"/>
        </w:rPr>
        <w:t>National Hospital Cost Data Collection (</w:t>
      </w:r>
      <w:r w:rsidR="007261EA" w:rsidRPr="00A42FF4">
        <w:rPr>
          <w:rFonts w:cs="Arial"/>
        </w:rPr>
        <w:t>NHCDC</w:t>
      </w:r>
      <w:r w:rsidR="00C45BF9" w:rsidRPr="00A42FF4">
        <w:rPr>
          <w:rFonts w:cs="Arial"/>
        </w:rPr>
        <w:t>)</w:t>
      </w:r>
      <w:r w:rsidR="007261EA" w:rsidRPr="00A42FF4">
        <w:rPr>
          <w:rFonts w:cs="Arial"/>
        </w:rPr>
        <w:t xml:space="preserve"> Public Sector </w:t>
      </w:r>
      <w:r w:rsidR="003220FC" w:rsidRPr="00A42FF4">
        <w:rPr>
          <w:rFonts w:cstheme="majorBidi"/>
          <w:lang w:val="en-PH"/>
        </w:rPr>
        <w:t>2022-23</w:t>
      </w:r>
      <w:r w:rsidR="007261EA" w:rsidRPr="00A42FF4">
        <w:rPr>
          <w:rFonts w:cs="Arial"/>
        </w:rPr>
        <w:t xml:space="preserve"> results</w:t>
      </w:r>
      <w:bookmarkStart w:id="11" w:name="_Toc144967617"/>
      <w:r w:rsidR="007261EA" w:rsidRPr="00A42FF4">
        <w:rPr>
          <w:rFonts w:cs="Arial"/>
        </w:rPr>
        <w:t>.</w:t>
      </w:r>
      <w:r w:rsidR="00190655" w:rsidRPr="00A42FF4">
        <w:rPr>
          <w:rFonts w:cs="Arial"/>
        </w:rPr>
        <w:t xml:space="preserve"> There are </w:t>
      </w:r>
      <w:r w:rsidR="00EE76DB" w:rsidRPr="00A42FF4">
        <w:rPr>
          <w:rFonts w:cs="Arial"/>
        </w:rPr>
        <w:t xml:space="preserve">6 </w:t>
      </w:r>
      <w:r w:rsidR="00190655" w:rsidRPr="00A42FF4">
        <w:rPr>
          <w:rFonts w:cs="Arial"/>
        </w:rPr>
        <w:t>activity streams in this report:</w:t>
      </w:r>
    </w:p>
    <w:p w14:paraId="2C24E182" w14:textId="6E0F1034" w:rsidR="00190655" w:rsidRPr="00A42FF4" w:rsidRDefault="00190655" w:rsidP="00A32EB6">
      <w:pPr>
        <w:pStyle w:val="ListParagraph"/>
        <w:numPr>
          <w:ilvl w:val="0"/>
          <w:numId w:val="37"/>
        </w:numPr>
        <w:spacing w:line="276" w:lineRule="auto"/>
        <w:rPr>
          <w:rFonts w:cs="Arial"/>
        </w:rPr>
      </w:pPr>
      <w:r w:rsidRPr="00A42FF4">
        <w:rPr>
          <w:rFonts w:cs="Arial"/>
        </w:rPr>
        <w:t>Admitted acute</w:t>
      </w:r>
      <w:r w:rsidR="006C715D" w:rsidRPr="00A42FF4">
        <w:rPr>
          <w:rFonts w:cs="Arial"/>
        </w:rPr>
        <w:t xml:space="preserve"> </w:t>
      </w:r>
    </w:p>
    <w:p w14:paraId="1DEBF90B" w14:textId="52ED9300" w:rsidR="00190655" w:rsidRPr="00A42FF4" w:rsidRDefault="00E17D6A" w:rsidP="00A32EB6">
      <w:pPr>
        <w:pStyle w:val="ListParagraph"/>
        <w:numPr>
          <w:ilvl w:val="0"/>
          <w:numId w:val="37"/>
        </w:numPr>
        <w:spacing w:line="276" w:lineRule="auto"/>
        <w:rPr>
          <w:rFonts w:cs="Arial"/>
        </w:rPr>
      </w:pPr>
      <w:r>
        <w:rPr>
          <w:rFonts w:cs="Arial"/>
        </w:rPr>
        <w:t>Admitted s</w:t>
      </w:r>
      <w:r w:rsidR="00190655" w:rsidRPr="00A42FF4">
        <w:rPr>
          <w:rFonts w:cs="Arial"/>
        </w:rPr>
        <w:t>ubacute and non-acute</w:t>
      </w:r>
      <w:r w:rsidR="006C715D" w:rsidRPr="00A42FF4">
        <w:rPr>
          <w:rFonts w:cs="Arial"/>
        </w:rPr>
        <w:t xml:space="preserve"> </w:t>
      </w:r>
    </w:p>
    <w:p w14:paraId="00BDD30C" w14:textId="7F2D476E" w:rsidR="00190655" w:rsidRPr="00A42FF4" w:rsidRDefault="00190655" w:rsidP="00A32EB6">
      <w:pPr>
        <w:pStyle w:val="ListParagraph"/>
        <w:numPr>
          <w:ilvl w:val="0"/>
          <w:numId w:val="37"/>
        </w:numPr>
        <w:spacing w:line="276" w:lineRule="auto"/>
        <w:rPr>
          <w:rFonts w:cs="Arial"/>
        </w:rPr>
      </w:pPr>
      <w:r w:rsidRPr="00A42FF4">
        <w:rPr>
          <w:rFonts w:cs="Arial"/>
        </w:rPr>
        <w:t>Non-admitted</w:t>
      </w:r>
      <w:r w:rsidR="006C715D" w:rsidRPr="00A42FF4">
        <w:rPr>
          <w:rFonts w:cs="Arial"/>
        </w:rPr>
        <w:t xml:space="preserve"> </w:t>
      </w:r>
    </w:p>
    <w:p w14:paraId="0D5621BE" w14:textId="7B939B7A" w:rsidR="00190655" w:rsidRPr="00A42FF4" w:rsidRDefault="00190655" w:rsidP="00A32EB6">
      <w:pPr>
        <w:pStyle w:val="ListParagraph"/>
        <w:numPr>
          <w:ilvl w:val="0"/>
          <w:numId w:val="37"/>
        </w:numPr>
        <w:spacing w:line="276" w:lineRule="auto"/>
        <w:rPr>
          <w:rFonts w:cs="Arial"/>
        </w:rPr>
      </w:pPr>
      <w:r w:rsidRPr="00A42FF4">
        <w:rPr>
          <w:rFonts w:cs="Arial"/>
        </w:rPr>
        <w:t>Emergency</w:t>
      </w:r>
      <w:r w:rsidR="006C715D" w:rsidRPr="00A42FF4">
        <w:rPr>
          <w:rFonts w:cs="Arial"/>
        </w:rPr>
        <w:t xml:space="preserve"> </w:t>
      </w:r>
      <w:r w:rsidR="00B576C8">
        <w:rPr>
          <w:rFonts w:cs="Arial"/>
        </w:rPr>
        <w:t>department</w:t>
      </w:r>
    </w:p>
    <w:p w14:paraId="3C593A36" w14:textId="55CA3C07" w:rsidR="00190655" w:rsidRPr="00A42FF4" w:rsidRDefault="00190655" w:rsidP="00A32EB6">
      <w:pPr>
        <w:pStyle w:val="ListParagraph"/>
        <w:numPr>
          <w:ilvl w:val="0"/>
          <w:numId w:val="37"/>
        </w:numPr>
        <w:spacing w:line="276" w:lineRule="auto"/>
        <w:rPr>
          <w:rFonts w:cs="Arial"/>
        </w:rPr>
      </w:pPr>
      <w:r w:rsidRPr="00A42FF4">
        <w:rPr>
          <w:rFonts w:cs="Arial"/>
        </w:rPr>
        <w:t>Admitted mental health</w:t>
      </w:r>
    </w:p>
    <w:p w14:paraId="53DE4B8B" w14:textId="4A5A9925" w:rsidR="007261EA" w:rsidRPr="00A42FF4" w:rsidRDefault="00190655" w:rsidP="00A32EB6">
      <w:pPr>
        <w:pStyle w:val="ListParagraph"/>
        <w:numPr>
          <w:ilvl w:val="0"/>
          <w:numId w:val="37"/>
        </w:numPr>
        <w:spacing w:line="276" w:lineRule="auto"/>
        <w:rPr>
          <w:rFonts w:cs="Arial"/>
        </w:rPr>
      </w:pPr>
      <w:r w:rsidRPr="00A42FF4">
        <w:rPr>
          <w:rFonts w:cs="Arial"/>
        </w:rPr>
        <w:t>Community mental health.</w:t>
      </w:r>
    </w:p>
    <w:p w14:paraId="1C63CDA5" w14:textId="77777777" w:rsidR="00F64DB0" w:rsidRPr="00CE058E" w:rsidRDefault="00F64DB0" w:rsidP="00F64DB0">
      <w:pPr>
        <w:pStyle w:val="Heading2"/>
      </w:pPr>
      <w:bookmarkStart w:id="12" w:name="_Toc151129678"/>
      <w:bookmarkStart w:id="13" w:name="_Toc158882529"/>
      <w:bookmarkStart w:id="14" w:name="_Toc158882590"/>
      <w:r w:rsidRPr="00CE058E">
        <w:t>Key findings</w:t>
      </w:r>
      <w:bookmarkEnd w:id="12"/>
      <w:bookmarkEnd w:id="13"/>
      <w:bookmarkEnd w:id="14"/>
    </w:p>
    <w:p w14:paraId="13E4404B" w14:textId="6859F799" w:rsidR="00923930" w:rsidRPr="00A42FF4" w:rsidRDefault="00923930" w:rsidP="00D16D7C">
      <w:pPr>
        <w:spacing w:after="120"/>
        <w:rPr>
          <w:rFonts w:cs="Arial"/>
        </w:rPr>
      </w:pPr>
      <w:r w:rsidRPr="00A42FF4">
        <w:rPr>
          <w:rFonts w:cs="Arial"/>
        </w:rPr>
        <w:t xml:space="preserve">In </w:t>
      </w:r>
      <w:r w:rsidR="003220FC" w:rsidRPr="00A42FF4">
        <w:rPr>
          <w:rFonts w:cstheme="majorBidi"/>
          <w:lang w:val="en-PH"/>
        </w:rPr>
        <w:t>2022</w:t>
      </w:r>
      <w:r w:rsidR="00FD4FAF" w:rsidRPr="00A42FF4">
        <w:rPr>
          <w:rFonts w:cstheme="majorBidi"/>
          <w:lang w:val="en-PH"/>
        </w:rPr>
        <w:t>-</w:t>
      </w:r>
      <w:r w:rsidR="003220FC" w:rsidRPr="00A42FF4">
        <w:rPr>
          <w:rFonts w:cstheme="majorBidi"/>
          <w:lang w:val="en-PH"/>
        </w:rPr>
        <w:t>23</w:t>
      </w:r>
      <w:r w:rsidRPr="00A42FF4">
        <w:rPr>
          <w:rFonts w:cs="Arial"/>
        </w:rPr>
        <w:t xml:space="preserve">, the Independent Health and Aged Care Pricing Authority (IHACPA) received </w:t>
      </w:r>
      <w:r w:rsidR="007B5E60">
        <w:rPr>
          <w:rFonts w:cs="Arial"/>
        </w:rPr>
        <w:t xml:space="preserve">NHCDC </w:t>
      </w:r>
      <w:r w:rsidR="006061C4">
        <w:rPr>
          <w:rFonts w:cs="Arial"/>
        </w:rPr>
        <w:t xml:space="preserve">data </w:t>
      </w:r>
      <w:r w:rsidR="00301F51" w:rsidRPr="00A42FF4">
        <w:rPr>
          <w:rFonts w:cs="Arial"/>
        </w:rPr>
        <w:t xml:space="preserve">that </w:t>
      </w:r>
      <w:r w:rsidR="00C45BF9" w:rsidRPr="00A42FF4">
        <w:rPr>
          <w:rFonts w:cs="Arial"/>
        </w:rPr>
        <w:t xml:space="preserve">included </w:t>
      </w:r>
      <w:r w:rsidR="00BF3D5D" w:rsidRPr="00A42FF4">
        <w:rPr>
          <w:rFonts w:cs="Arial"/>
        </w:rPr>
        <w:t>44.2</w:t>
      </w:r>
      <w:r w:rsidRPr="00A42FF4">
        <w:rPr>
          <w:rFonts w:cs="Arial"/>
        </w:rPr>
        <w:t xml:space="preserve"> million </w:t>
      </w:r>
      <w:r w:rsidR="00BF3D5D" w:rsidRPr="00A42FF4">
        <w:rPr>
          <w:rFonts w:cs="Arial"/>
        </w:rPr>
        <w:t xml:space="preserve">in-scope </w:t>
      </w:r>
      <w:r w:rsidRPr="00A42FF4">
        <w:rPr>
          <w:rFonts w:cs="Arial"/>
        </w:rPr>
        <w:t>encounters across Australia, a</w:t>
      </w:r>
      <w:r w:rsidR="00BF3D5D" w:rsidRPr="00A42FF4">
        <w:rPr>
          <w:rFonts w:cs="Arial"/>
        </w:rPr>
        <w:t>n</w:t>
      </w:r>
      <w:r w:rsidRPr="00A42FF4">
        <w:rPr>
          <w:rFonts w:cs="Arial"/>
        </w:rPr>
        <w:t xml:space="preserve"> </w:t>
      </w:r>
      <w:r w:rsidR="00BF3D5D" w:rsidRPr="00A42FF4">
        <w:rPr>
          <w:rFonts w:cs="Arial"/>
        </w:rPr>
        <w:t>8</w:t>
      </w:r>
      <w:r w:rsidR="00897090" w:rsidRPr="00A42FF4">
        <w:rPr>
          <w:rFonts w:cs="Arial"/>
        </w:rPr>
        <w:t>%</w:t>
      </w:r>
      <w:r w:rsidRPr="00A42FF4">
        <w:rPr>
          <w:rFonts w:cs="Arial"/>
        </w:rPr>
        <w:t xml:space="preserve"> </w:t>
      </w:r>
      <w:r w:rsidR="0065035C" w:rsidRPr="00A42FF4">
        <w:rPr>
          <w:rFonts w:cs="Arial"/>
        </w:rPr>
        <w:t>de</w:t>
      </w:r>
      <w:r w:rsidRPr="00A42FF4">
        <w:rPr>
          <w:rFonts w:cs="Arial"/>
        </w:rPr>
        <w:t xml:space="preserve">crease compared to </w:t>
      </w:r>
      <w:r w:rsidR="003220FC" w:rsidRPr="00A42FF4">
        <w:rPr>
          <w:rFonts w:cstheme="majorBidi"/>
          <w:lang w:val="en-PH"/>
        </w:rPr>
        <w:t>2021</w:t>
      </w:r>
      <w:r w:rsidR="007B5E60">
        <w:rPr>
          <w:rFonts w:cstheme="majorBidi"/>
          <w:lang w:val="en-PH"/>
        </w:rPr>
        <w:noBreakHyphen/>
      </w:r>
      <w:r w:rsidR="003220FC" w:rsidRPr="00A42FF4">
        <w:rPr>
          <w:rFonts w:cstheme="majorBidi"/>
          <w:lang w:val="en-PH"/>
        </w:rPr>
        <w:t>22</w:t>
      </w:r>
      <w:r w:rsidRPr="00A42FF4">
        <w:rPr>
          <w:rFonts w:cs="Arial"/>
        </w:rPr>
        <w:t xml:space="preserve">. </w:t>
      </w:r>
      <w:r w:rsidR="00111566">
        <w:rPr>
          <w:rFonts w:cs="Arial"/>
        </w:rPr>
        <w:t xml:space="preserve">The decrease was driven by a 14% decrease in non-admitted patient activity, specifically </w:t>
      </w:r>
      <w:r w:rsidR="00F83094">
        <w:rPr>
          <w:rFonts w:cs="Arial"/>
        </w:rPr>
        <w:t xml:space="preserve">services relating to </w:t>
      </w:r>
      <w:r w:rsidR="00111566">
        <w:rPr>
          <w:rFonts w:cs="Arial"/>
        </w:rPr>
        <w:t xml:space="preserve">COVID-19. </w:t>
      </w:r>
      <w:r w:rsidRPr="00A42FF4">
        <w:rPr>
          <w:rFonts w:cs="Arial"/>
        </w:rPr>
        <w:t xml:space="preserve">The </w:t>
      </w:r>
      <w:r w:rsidR="0087038A">
        <w:rPr>
          <w:rFonts w:cs="Arial"/>
        </w:rPr>
        <w:t xml:space="preserve">in-scope </w:t>
      </w:r>
      <w:r w:rsidR="00E6386A">
        <w:rPr>
          <w:rFonts w:cs="Arial"/>
        </w:rPr>
        <w:t xml:space="preserve">cost reported for the NHCDC </w:t>
      </w:r>
      <w:r w:rsidR="0087038A">
        <w:rPr>
          <w:rFonts w:cs="Arial"/>
        </w:rPr>
        <w:t>in 2022-23 was</w:t>
      </w:r>
      <w:r w:rsidRPr="00A42FF4">
        <w:rPr>
          <w:rFonts w:cs="Arial"/>
        </w:rPr>
        <w:t xml:space="preserve"> $</w:t>
      </w:r>
      <w:r w:rsidR="00BF3D5D" w:rsidRPr="00A42FF4">
        <w:rPr>
          <w:rFonts w:cs="Arial"/>
        </w:rPr>
        <w:t>69</w:t>
      </w:r>
      <w:r w:rsidR="0065035C" w:rsidRPr="00A42FF4">
        <w:rPr>
          <w:rFonts w:cs="Arial"/>
        </w:rPr>
        <w:t xml:space="preserve">.9 </w:t>
      </w:r>
      <w:r w:rsidRPr="00A42FF4">
        <w:rPr>
          <w:rFonts w:cs="Arial"/>
        </w:rPr>
        <w:t>billion, a</w:t>
      </w:r>
      <w:r w:rsidR="00EE31DC" w:rsidRPr="00A42FF4">
        <w:rPr>
          <w:rFonts w:cs="Arial"/>
        </w:rPr>
        <w:t xml:space="preserve"> </w:t>
      </w:r>
      <w:r w:rsidR="00BF3D5D" w:rsidRPr="00A42FF4">
        <w:rPr>
          <w:rFonts w:cs="Arial"/>
        </w:rPr>
        <w:t>1</w:t>
      </w:r>
      <w:r w:rsidR="0060707E">
        <w:rPr>
          <w:rFonts w:cs="Arial"/>
        </w:rPr>
        <w:t>3</w:t>
      </w:r>
      <w:r w:rsidR="00897090" w:rsidRPr="00A42FF4">
        <w:rPr>
          <w:rFonts w:cs="Arial"/>
        </w:rPr>
        <w:t>%</w:t>
      </w:r>
      <w:r w:rsidRPr="00A42FF4">
        <w:rPr>
          <w:rFonts w:cs="Arial"/>
        </w:rPr>
        <w:t xml:space="preserve"> </w:t>
      </w:r>
      <w:r w:rsidR="00BF3D5D" w:rsidRPr="00A42FF4">
        <w:rPr>
          <w:rFonts w:cs="Arial"/>
        </w:rPr>
        <w:t>in</w:t>
      </w:r>
      <w:r w:rsidRPr="00A42FF4">
        <w:rPr>
          <w:rFonts w:cs="Arial"/>
        </w:rPr>
        <w:t>crease from the previous year of $</w:t>
      </w:r>
      <w:r w:rsidR="0065035C" w:rsidRPr="00A42FF4">
        <w:rPr>
          <w:rFonts w:cs="Arial"/>
        </w:rPr>
        <w:t xml:space="preserve">61.9 </w:t>
      </w:r>
      <w:r w:rsidRPr="00A42FF4">
        <w:rPr>
          <w:rFonts w:cs="Arial"/>
        </w:rPr>
        <w:t>billion.</w:t>
      </w:r>
      <w:r w:rsidR="00C45BF9" w:rsidRPr="00A42FF4">
        <w:rPr>
          <w:rFonts w:cs="Arial"/>
        </w:rPr>
        <w:t xml:space="preserve"> </w:t>
      </w:r>
      <w:r w:rsidR="00071751" w:rsidRPr="000F6E8B">
        <w:rPr>
          <w:rFonts w:cs="Arial"/>
        </w:rPr>
        <w:t xml:space="preserve">IHACPA did not receive NHCDC data from the Australian Capital Territory (ACT) for 2022-23 due to a significant health </w:t>
      </w:r>
      <w:r w:rsidR="005D3B24">
        <w:rPr>
          <w:rFonts w:cs="Arial"/>
        </w:rPr>
        <w:t>Information Technology (</w:t>
      </w:r>
      <w:r w:rsidR="00071751" w:rsidRPr="000F6E8B">
        <w:rPr>
          <w:rFonts w:cs="Arial"/>
        </w:rPr>
        <w:t>IT</w:t>
      </w:r>
      <w:r w:rsidR="005D3B24">
        <w:rPr>
          <w:rFonts w:cs="Arial"/>
        </w:rPr>
        <w:t>)</w:t>
      </w:r>
      <w:r w:rsidR="00071751" w:rsidRPr="000F6E8B">
        <w:rPr>
          <w:rFonts w:cs="Arial"/>
        </w:rPr>
        <w:t xml:space="preserve"> infrastructure project impacting ACT’s ability to submit data.</w:t>
      </w:r>
      <w:r w:rsidR="00111566">
        <w:rPr>
          <w:rFonts w:cs="Arial"/>
        </w:rPr>
        <w:t xml:space="preserve"> </w:t>
      </w:r>
      <w:r w:rsidR="00AA1BED" w:rsidRPr="00AA1BED">
        <w:rPr>
          <w:rFonts w:cs="Arial"/>
        </w:rPr>
        <w:fldChar w:fldCharType="begin"/>
      </w:r>
      <w:r w:rsidR="00AA1BED" w:rsidRPr="00AA1BED">
        <w:rPr>
          <w:rFonts w:cs="Arial"/>
        </w:rPr>
        <w:instrText xml:space="preserve"> REF _Ref185835433 \h </w:instrText>
      </w:r>
      <w:r w:rsidR="00AA1BED" w:rsidRPr="00AA1BED">
        <w:rPr>
          <w:rFonts w:cs="Arial"/>
        </w:rPr>
      </w:r>
      <w:r w:rsidR="00AA1BED" w:rsidRPr="00AA1BED">
        <w:rPr>
          <w:rFonts w:cs="Arial"/>
        </w:rPr>
        <w:fldChar w:fldCharType="separate"/>
      </w:r>
      <w:r w:rsidR="00AA1BED" w:rsidRPr="00296833">
        <w:rPr>
          <w:rFonts w:cstheme="majorBidi"/>
          <w:lang w:val="en-PH"/>
        </w:rPr>
        <w:t xml:space="preserve">Table </w:t>
      </w:r>
      <w:r w:rsidR="00AA1BED" w:rsidRPr="00296833">
        <w:rPr>
          <w:rFonts w:cstheme="majorBidi"/>
          <w:noProof/>
          <w:lang w:val="en-PH"/>
        </w:rPr>
        <w:t>1</w:t>
      </w:r>
      <w:r w:rsidR="00AA1BED" w:rsidRPr="00AA1BED">
        <w:rPr>
          <w:rFonts w:cs="Arial"/>
        </w:rPr>
        <w:fldChar w:fldCharType="end"/>
      </w:r>
      <w:r w:rsidRPr="00AA1BED">
        <w:rPr>
          <w:rFonts w:cs="Arial"/>
        </w:rPr>
        <w:t xml:space="preserve"> </w:t>
      </w:r>
      <w:r w:rsidRPr="00A42FF4">
        <w:rPr>
          <w:rFonts w:cs="Arial"/>
        </w:rPr>
        <w:t xml:space="preserve">shows the </w:t>
      </w:r>
      <w:r w:rsidR="00460893">
        <w:rPr>
          <w:rFonts w:cs="Arial"/>
        </w:rPr>
        <w:t xml:space="preserve">total and in-scope </w:t>
      </w:r>
      <w:r w:rsidRPr="00A42FF4">
        <w:rPr>
          <w:rFonts w:cs="Arial"/>
        </w:rPr>
        <w:t>records</w:t>
      </w:r>
      <w:r w:rsidR="00AD49A8" w:rsidRPr="00A42FF4">
        <w:rPr>
          <w:rFonts w:cs="Arial"/>
        </w:rPr>
        <w:t xml:space="preserve">, </w:t>
      </w:r>
      <w:r w:rsidR="00460893">
        <w:rPr>
          <w:rFonts w:cs="Arial"/>
        </w:rPr>
        <w:t>total and in</w:t>
      </w:r>
      <w:r w:rsidR="00460893">
        <w:rPr>
          <w:rFonts w:cs="Arial"/>
        </w:rPr>
        <w:noBreakHyphen/>
        <w:t xml:space="preserve">scope </w:t>
      </w:r>
      <w:r w:rsidR="00AD49A8" w:rsidRPr="00A42FF4">
        <w:rPr>
          <w:rFonts w:cs="Arial"/>
        </w:rPr>
        <w:t>cost</w:t>
      </w:r>
      <w:r w:rsidR="0065035C" w:rsidRPr="00A42FF4">
        <w:rPr>
          <w:rFonts w:cs="Arial"/>
        </w:rPr>
        <w:t>,</w:t>
      </w:r>
      <w:r w:rsidR="00AD49A8" w:rsidRPr="00A42FF4">
        <w:rPr>
          <w:rFonts w:cs="Arial"/>
        </w:rPr>
        <w:t xml:space="preserve"> </w:t>
      </w:r>
      <w:r w:rsidR="00460893">
        <w:rPr>
          <w:rFonts w:cs="Arial"/>
        </w:rPr>
        <w:t xml:space="preserve">and </w:t>
      </w:r>
      <w:r w:rsidR="0087038A">
        <w:rPr>
          <w:rFonts w:cs="Arial"/>
        </w:rPr>
        <w:t xml:space="preserve">average cost, </w:t>
      </w:r>
      <w:r w:rsidRPr="00A42FF4">
        <w:rPr>
          <w:rFonts w:cs="Arial"/>
        </w:rPr>
        <w:t>by activity stream</w:t>
      </w:r>
      <w:r w:rsidR="00AD49A8" w:rsidRPr="00A42FF4">
        <w:rPr>
          <w:rFonts w:cs="Arial"/>
        </w:rPr>
        <w:t xml:space="preserve"> in 2022</w:t>
      </w:r>
      <w:r w:rsidR="00FD4FAF" w:rsidRPr="00A42FF4">
        <w:rPr>
          <w:rFonts w:cstheme="majorBidi"/>
          <w:lang w:val="en-PH"/>
        </w:rPr>
        <w:t>-</w:t>
      </w:r>
      <w:r w:rsidR="00AD49A8" w:rsidRPr="00A42FF4">
        <w:rPr>
          <w:rFonts w:cs="Arial"/>
        </w:rPr>
        <w:t>23</w:t>
      </w:r>
      <w:r w:rsidRPr="00A42FF4">
        <w:rPr>
          <w:rFonts w:cs="Arial"/>
        </w:rPr>
        <w:t>.</w:t>
      </w:r>
      <w:r w:rsidR="00BB0088">
        <w:rPr>
          <w:rFonts w:cs="Arial"/>
        </w:rPr>
        <w:t xml:space="preserve"> </w:t>
      </w:r>
    </w:p>
    <w:p w14:paraId="71C1D7CC" w14:textId="23A2349E" w:rsidR="00B8220E" w:rsidRDefault="00923930" w:rsidP="00296833">
      <w:pPr>
        <w:pStyle w:val="TableFigureheading"/>
      </w:pPr>
      <w:bookmarkStart w:id="15" w:name="_Ref185835433"/>
      <w:bookmarkStart w:id="16" w:name="_Toc149650902"/>
      <w:bookmarkStart w:id="17" w:name="_Toc177467503"/>
      <w:bookmarkStart w:id="18" w:name="_Toc185852208"/>
      <w:bookmarkStart w:id="19" w:name="_Toc187312127"/>
      <w:r w:rsidRPr="008B2CD8">
        <w:rPr>
          <w:lang w:val="en-PH"/>
        </w:rPr>
        <w:t xml:space="preserve">Table </w:t>
      </w:r>
      <w:r w:rsidRPr="008B2CD8">
        <w:rPr>
          <w:iCs w:val="0"/>
          <w:lang w:val="en-PH"/>
        </w:rPr>
        <w:fldChar w:fldCharType="begin"/>
      </w:r>
      <w:r w:rsidRPr="008B2CD8">
        <w:rPr>
          <w:lang w:val="en-PH"/>
        </w:rPr>
        <w:instrText xml:space="preserve"> SEQ Table \* ARABIC </w:instrText>
      </w:r>
      <w:r w:rsidRPr="008B2CD8">
        <w:rPr>
          <w:iCs w:val="0"/>
          <w:lang w:val="en-PH"/>
        </w:rPr>
        <w:fldChar w:fldCharType="separate"/>
      </w:r>
      <w:r w:rsidR="003523AB">
        <w:rPr>
          <w:noProof/>
          <w:lang w:val="en-PH"/>
        </w:rPr>
        <w:t>1</w:t>
      </w:r>
      <w:r w:rsidRPr="008B2CD8">
        <w:rPr>
          <w:iCs w:val="0"/>
          <w:lang w:val="en-PH"/>
        </w:rPr>
        <w:fldChar w:fldCharType="end"/>
      </w:r>
      <w:bookmarkEnd w:id="15"/>
      <w:r w:rsidRPr="008B2CD8">
        <w:rPr>
          <w:lang w:val="en-PH"/>
        </w:rPr>
        <w:t xml:space="preserve">: NHCDC summary by activity stream, </w:t>
      </w:r>
      <w:r w:rsidR="003220FC" w:rsidRPr="008B2CD8">
        <w:rPr>
          <w:lang w:val="en-PH"/>
        </w:rPr>
        <w:t>202</w:t>
      </w:r>
      <w:r w:rsidR="003220FC">
        <w:rPr>
          <w:lang w:val="en-PH"/>
        </w:rPr>
        <w:t>2</w:t>
      </w:r>
      <w:r w:rsidR="003220FC" w:rsidRPr="008B2CD8">
        <w:rPr>
          <w:lang w:val="en-PH"/>
        </w:rPr>
        <w:t>-2</w:t>
      </w:r>
      <w:r w:rsidR="003220FC">
        <w:rPr>
          <w:lang w:val="en-PH"/>
        </w:rPr>
        <w:t>3</w:t>
      </w:r>
      <w:bookmarkStart w:id="20" w:name="_Toc144215418"/>
      <w:bookmarkStart w:id="21" w:name="_Toc144967619"/>
      <w:bookmarkStart w:id="22" w:name="_Toc151129679"/>
      <w:bookmarkStart w:id="23" w:name="_Toc158882530"/>
      <w:bookmarkStart w:id="24" w:name="_Toc158882591"/>
      <w:bookmarkEnd w:id="11"/>
      <w:bookmarkEnd w:id="16"/>
      <w:bookmarkEnd w:id="17"/>
      <w:bookmarkEnd w:id="18"/>
      <w:bookmarkEnd w:id="19"/>
    </w:p>
    <w:tbl>
      <w:tblPr>
        <w:tblStyle w:val="IHPATable"/>
        <w:tblW w:w="9639" w:type="dxa"/>
        <w:jc w:val="center"/>
        <w:tblLayout w:type="fixed"/>
        <w:tblLook w:val="0020" w:firstRow="1" w:lastRow="0" w:firstColumn="0" w:lastColumn="0" w:noHBand="0" w:noVBand="0"/>
      </w:tblPr>
      <w:tblGrid>
        <w:gridCol w:w="2269"/>
        <w:gridCol w:w="1275"/>
        <w:gridCol w:w="1353"/>
        <w:gridCol w:w="1199"/>
        <w:gridCol w:w="1275"/>
        <w:gridCol w:w="1134"/>
        <w:gridCol w:w="1134"/>
      </w:tblGrid>
      <w:tr w:rsidR="001D16C6" w:rsidRPr="00C219EA" w14:paraId="47D4955A" w14:textId="77777777" w:rsidTr="001D16C6">
        <w:trPr>
          <w:cnfStyle w:val="100000000000" w:firstRow="1" w:lastRow="0" w:firstColumn="0" w:lastColumn="0" w:oddVBand="0" w:evenVBand="0" w:oddHBand="0" w:evenHBand="0" w:firstRowFirstColumn="0" w:firstRowLastColumn="0" w:lastRowFirstColumn="0" w:lastRowLastColumn="0"/>
          <w:cantSplit/>
          <w:trHeight w:val="19"/>
          <w:jc w:val="center"/>
        </w:trPr>
        <w:tc>
          <w:tcPr>
            <w:tcW w:w="3544" w:type="dxa"/>
            <w:gridSpan w:val="2"/>
            <w:tcBorders>
              <w:right w:val="single" w:sz="4" w:space="0" w:color="FFFFFF" w:themeColor="background2"/>
            </w:tcBorders>
            <w:shd w:val="clear" w:color="auto" w:fill="15272F" w:themeFill="text1"/>
            <w:vAlign w:val="center"/>
          </w:tcPr>
          <w:p w14:paraId="5EC59B6F" w14:textId="77777777" w:rsidR="007B5E60" w:rsidRPr="009940F3" w:rsidRDefault="007B5E60" w:rsidP="00E04435">
            <w:pPr>
              <w:spacing w:before="40" w:after="40"/>
              <w:jc w:val="center"/>
              <w:rPr>
                <w:rFonts w:cs="Arial"/>
                <w:b/>
                <w:bCs/>
                <w:color w:val="FFFFFF" w:themeColor="background2"/>
                <w:sz w:val="16"/>
                <w:szCs w:val="16"/>
              </w:rPr>
            </w:pPr>
            <w:r w:rsidRPr="009940F3">
              <w:rPr>
                <w:rFonts w:cs="Arial"/>
                <w:b/>
                <w:bCs/>
                <w:color w:val="FFFFFF" w:themeColor="background2"/>
                <w:sz w:val="16"/>
                <w:szCs w:val="16"/>
                <w:lang w:val="en-US"/>
              </w:rPr>
              <w:t>Activity stream</w:t>
            </w:r>
          </w:p>
        </w:tc>
        <w:tc>
          <w:tcPr>
            <w:tcW w:w="1353" w:type="dxa"/>
            <w:tcBorders>
              <w:left w:val="single" w:sz="4" w:space="0" w:color="FFFFFF" w:themeColor="background2"/>
              <w:bottom w:val="single" w:sz="4" w:space="0" w:color="D9D9D9" w:themeColor="background2" w:themeShade="D9"/>
              <w:right w:val="single" w:sz="4" w:space="0" w:color="FFFFFF" w:themeColor="background2"/>
            </w:tcBorders>
            <w:shd w:val="clear" w:color="auto" w:fill="15272F" w:themeFill="text1"/>
            <w:vAlign w:val="center"/>
          </w:tcPr>
          <w:p w14:paraId="5DE8E563" w14:textId="1F9D796D" w:rsidR="007B5E60" w:rsidRPr="009940F3" w:rsidRDefault="006061C4" w:rsidP="00E04435">
            <w:pPr>
              <w:spacing w:before="40" w:after="40"/>
              <w:jc w:val="center"/>
              <w:rPr>
                <w:rFonts w:cs="Arial"/>
                <w:b/>
                <w:bCs/>
                <w:color w:val="FFFFFF" w:themeColor="background2"/>
                <w:sz w:val="16"/>
                <w:szCs w:val="16"/>
              </w:rPr>
            </w:pPr>
            <w:r>
              <w:rPr>
                <w:rFonts w:cs="Arial"/>
                <w:b/>
                <w:bCs/>
                <w:color w:val="FFFFFF" w:themeColor="background2"/>
                <w:sz w:val="16"/>
                <w:szCs w:val="16"/>
              </w:rPr>
              <w:t>Total</w:t>
            </w:r>
            <w:r w:rsidRPr="009940F3">
              <w:rPr>
                <w:rFonts w:cs="Arial"/>
                <w:b/>
                <w:bCs/>
                <w:color w:val="FFFFFF" w:themeColor="background2"/>
                <w:sz w:val="16"/>
                <w:szCs w:val="16"/>
              </w:rPr>
              <w:t xml:space="preserve"> </w:t>
            </w:r>
            <w:r w:rsidR="00092D16">
              <w:rPr>
                <w:rFonts w:cs="Arial"/>
                <w:b/>
                <w:bCs/>
                <w:color w:val="FFFFFF" w:themeColor="background2"/>
                <w:sz w:val="16"/>
                <w:szCs w:val="16"/>
              </w:rPr>
              <w:t xml:space="preserve">NHCDC </w:t>
            </w:r>
            <w:r w:rsidR="007B5E60" w:rsidRPr="009940F3">
              <w:rPr>
                <w:rFonts w:cs="Arial"/>
                <w:b/>
                <w:bCs/>
                <w:color w:val="FFFFFF" w:themeColor="background2"/>
                <w:sz w:val="16"/>
                <w:szCs w:val="16"/>
              </w:rPr>
              <w:t>records</w:t>
            </w:r>
          </w:p>
        </w:tc>
        <w:tc>
          <w:tcPr>
            <w:tcW w:w="1199" w:type="dxa"/>
            <w:tcBorders>
              <w:left w:val="single" w:sz="4" w:space="0" w:color="FFFFFF" w:themeColor="background2"/>
              <w:bottom w:val="single" w:sz="4" w:space="0" w:color="D9D9D9" w:themeColor="background2" w:themeShade="D9"/>
              <w:right w:val="single" w:sz="4" w:space="0" w:color="FFFFFF" w:themeColor="background2"/>
            </w:tcBorders>
            <w:shd w:val="clear" w:color="auto" w:fill="15272F" w:themeFill="text1"/>
            <w:vAlign w:val="center"/>
          </w:tcPr>
          <w:p w14:paraId="4AB4EEAA" w14:textId="6FBDE515" w:rsidR="007B5E60" w:rsidRPr="009940F3" w:rsidRDefault="00A62703" w:rsidP="00E04435">
            <w:pPr>
              <w:spacing w:before="40" w:after="40"/>
              <w:jc w:val="center"/>
              <w:rPr>
                <w:rFonts w:cs="Arial"/>
                <w:b/>
                <w:bCs/>
                <w:color w:val="FFFFFF" w:themeColor="background2"/>
                <w:sz w:val="16"/>
                <w:szCs w:val="16"/>
              </w:rPr>
            </w:pPr>
            <w:r>
              <w:rPr>
                <w:rFonts w:cs="Arial"/>
                <w:b/>
                <w:bCs/>
                <w:color w:val="FFFFFF" w:themeColor="background2"/>
                <w:sz w:val="16"/>
                <w:szCs w:val="16"/>
              </w:rPr>
              <w:t>Total NHCDC</w:t>
            </w:r>
            <w:r w:rsidR="007B5E60" w:rsidRPr="009940F3">
              <w:rPr>
                <w:rFonts w:cs="Arial"/>
                <w:b/>
                <w:bCs/>
                <w:color w:val="FFFFFF" w:themeColor="background2"/>
                <w:sz w:val="16"/>
                <w:szCs w:val="16"/>
              </w:rPr>
              <w:t xml:space="preserve"> cost ($m)</w:t>
            </w:r>
          </w:p>
        </w:tc>
        <w:tc>
          <w:tcPr>
            <w:tcW w:w="1275" w:type="dxa"/>
            <w:tcBorders>
              <w:left w:val="single" w:sz="4" w:space="0" w:color="FFFFFF" w:themeColor="background2"/>
              <w:bottom w:val="single" w:sz="4" w:space="0" w:color="D9D9D9" w:themeColor="background2" w:themeShade="D9"/>
              <w:right w:val="single" w:sz="4" w:space="0" w:color="FFFFFF" w:themeColor="background2"/>
            </w:tcBorders>
            <w:shd w:val="clear" w:color="auto" w:fill="15272F" w:themeFill="text1"/>
            <w:vAlign w:val="center"/>
          </w:tcPr>
          <w:p w14:paraId="1A34D896" w14:textId="2F20F943" w:rsidR="007B5E60" w:rsidRPr="009940F3" w:rsidRDefault="007B5E60" w:rsidP="00E04435">
            <w:pPr>
              <w:spacing w:before="40" w:after="40"/>
              <w:jc w:val="center"/>
              <w:rPr>
                <w:rFonts w:cs="Arial"/>
                <w:b/>
                <w:bCs/>
                <w:color w:val="FFFFFF" w:themeColor="background2"/>
                <w:sz w:val="16"/>
                <w:szCs w:val="16"/>
                <w:lang w:val="en-US"/>
              </w:rPr>
            </w:pPr>
            <w:r>
              <w:rPr>
                <w:rFonts w:cs="Arial"/>
                <w:b/>
                <w:bCs/>
                <w:color w:val="FFFFFF" w:themeColor="background2"/>
                <w:sz w:val="16"/>
                <w:szCs w:val="16"/>
              </w:rPr>
              <w:t>In-</w:t>
            </w:r>
            <w:r w:rsidR="00A62703">
              <w:rPr>
                <w:rFonts w:cs="Arial"/>
                <w:b/>
                <w:bCs/>
                <w:color w:val="FFFFFF" w:themeColor="background2"/>
                <w:sz w:val="16"/>
                <w:szCs w:val="16"/>
              </w:rPr>
              <w:t>scope</w:t>
            </w:r>
            <w:r w:rsidR="00A62703" w:rsidRPr="009940F3">
              <w:rPr>
                <w:rFonts w:cs="Arial"/>
                <w:b/>
                <w:bCs/>
                <w:color w:val="FFFFFF" w:themeColor="background2"/>
                <w:sz w:val="16"/>
                <w:szCs w:val="16"/>
              </w:rPr>
              <w:t xml:space="preserve"> </w:t>
            </w:r>
            <w:r w:rsidR="00A62703">
              <w:rPr>
                <w:rFonts w:cs="Arial"/>
                <w:b/>
                <w:bCs/>
                <w:color w:val="FFFFFF" w:themeColor="background2"/>
                <w:sz w:val="16"/>
                <w:szCs w:val="16"/>
              </w:rPr>
              <w:t>NHCDC</w:t>
            </w:r>
            <w:r w:rsidR="00092D16">
              <w:rPr>
                <w:rFonts w:cs="Arial"/>
                <w:b/>
                <w:bCs/>
                <w:color w:val="FFFFFF" w:themeColor="background2"/>
                <w:sz w:val="16"/>
                <w:szCs w:val="16"/>
              </w:rPr>
              <w:t xml:space="preserve"> </w:t>
            </w:r>
            <w:r w:rsidRPr="009940F3">
              <w:rPr>
                <w:rFonts w:cs="Arial"/>
                <w:b/>
                <w:bCs/>
                <w:color w:val="FFFFFF" w:themeColor="background2"/>
                <w:sz w:val="16"/>
                <w:szCs w:val="16"/>
              </w:rPr>
              <w:t>records</w:t>
            </w:r>
          </w:p>
        </w:tc>
        <w:tc>
          <w:tcPr>
            <w:tcW w:w="1134" w:type="dxa"/>
            <w:tcBorders>
              <w:left w:val="single" w:sz="4" w:space="0" w:color="FFFFFF" w:themeColor="background2"/>
              <w:bottom w:val="single" w:sz="4" w:space="0" w:color="D9D9D9" w:themeColor="background2" w:themeShade="D9"/>
              <w:right w:val="single" w:sz="4" w:space="0" w:color="FFFFFF" w:themeColor="background2"/>
            </w:tcBorders>
            <w:shd w:val="clear" w:color="auto" w:fill="15272F" w:themeFill="text1"/>
            <w:vAlign w:val="center"/>
          </w:tcPr>
          <w:p w14:paraId="7865AA63" w14:textId="016C60C2" w:rsidR="007B5E60" w:rsidRPr="009940F3" w:rsidRDefault="007B5E60" w:rsidP="00E04435">
            <w:pPr>
              <w:spacing w:before="40" w:after="40"/>
              <w:jc w:val="center"/>
              <w:rPr>
                <w:rFonts w:cs="Arial"/>
                <w:b/>
                <w:bCs/>
                <w:color w:val="FFFFFF" w:themeColor="background2"/>
                <w:sz w:val="16"/>
                <w:szCs w:val="16"/>
                <w:lang w:val="en-US"/>
              </w:rPr>
            </w:pPr>
            <w:r>
              <w:rPr>
                <w:rFonts w:cs="Arial"/>
                <w:b/>
                <w:bCs/>
                <w:color w:val="FFFFFF" w:themeColor="background2"/>
                <w:sz w:val="16"/>
                <w:szCs w:val="16"/>
              </w:rPr>
              <w:t>In-scope</w:t>
            </w:r>
            <w:r w:rsidRPr="009940F3">
              <w:rPr>
                <w:rFonts w:cs="Arial"/>
                <w:b/>
                <w:bCs/>
                <w:color w:val="FFFFFF" w:themeColor="background2"/>
                <w:sz w:val="16"/>
                <w:szCs w:val="16"/>
              </w:rPr>
              <w:t xml:space="preserve"> </w:t>
            </w:r>
            <w:r w:rsidR="00092D16">
              <w:rPr>
                <w:rFonts w:cs="Arial"/>
                <w:b/>
                <w:bCs/>
                <w:color w:val="FFFFFF" w:themeColor="background2"/>
                <w:sz w:val="16"/>
                <w:szCs w:val="16"/>
              </w:rPr>
              <w:t xml:space="preserve">NHCDC </w:t>
            </w:r>
            <w:r w:rsidRPr="009940F3">
              <w:rPr>
                <w:rFonts w:cs="Arial"/>
                <w:b/>
                <w:bCs/>
                <w:color w:val="FFFFFF" w:themeColor="background2"/>
                <w:sz w:val="16"/>
                <w:szCs w:val="16"/>
              </w:rPr>
              <w:t>cost ($m)</w:t>
            </w:r>
          </w:p>
        </w:tc>
        <w:tc>
          <w:tcPr>
            <w:tcW w:w="1134" w:type="dxa"/>
            <w:tcBorders>
              <w:left w:val="single" w:sz="4" w:space="0" w:color="FFFFFF" w:themeColor="background2"/>
              <w:bottom w:val="single" w:sz="4" w:space="0" w:color="D9D9D9" w:themeColor="background2" w:themeShade="D9"/>
              <w:right w:val="single" w:sz="4" w:space="0" w:color="FFFFFF" w:themeColor="background2"/>
            </w:tcBorders>
            <w:shd w:val="clear" w:color="auto" w:fill="15272F" w:themeFill="text1"/>
            <w:vAlign w:val="center"/>
          </w:tcPr>
          <w:p w14:paraId="6F468522" w14:textId="77777777" w:rsidR="007B5E60" w:rsidRPr="009940F3" w:rsidRDefault="007B5E60" w:rsidP="00E04435">
            <w:pPr>
              <w:spacing w:before="40" w:after="40"/>
              <w:jc w:val="center"/>
              <w:rPr>
                <w:rFonts w:cs="Arial"/>
                <w:b/>
                <w:bCs/>
                <w:color w:val="FFFFFF" w:themeColor="background2"/>
                <w:sz w:val="16"/>
                <w:szCs w:val="16"/>
              </w:rPr>
            </w:pPr>
            <w:r w:rsidRPr="009940F3">
              <w:rPr>
                <w:rFonts w:cs="Arial"/>
                <w:b/>
                <w:bCs/>
                <w:color w:val="FFFFFF" w:themeColor="background2"/>
                <w:sz w:val="16"/>
                <w:szCs w:val="16"/>
              </w:rPr>
              <w:t>Average cost ($)</w:t>
            </w:r>
          </w:p>
        </w:tc>
      </w:tr>
      <w:tr w:rsidR="001D16C6" w:rsidRPr="00C219EA" w14:paraId="1B3F7F8A" w14:textId="77777777" w:rsidTr="001D16C6">
        <w:trPr>
          <w:cnfStyle w:val="000000100000" w:firstRow="0" w:lastRow="0" w:firstColumn="0" w:lastColumn="0" w:oddVBand="0" w:evenVBand="0" w:oddHBand="1" w:evenHBand="0" w:firstRowFirstColumn="0" w:firstRowLastColumn="0" w:lastRowFirstColumn="0" w:lastRowLastColumn="0"/>
          <w:cantSplit/>
          <w:trHeight w:val="19"/>
          <w:jc w:val="center"/>
        </w:trPr>
        <w:tc>
          <w:tcPr>
            <w:tcW w:w="2269" w:type="dxa"/>
            <w:tcBorders>
              <w:right w:val="single" w:sz="4" w:space="0" w:color="FFFFFF" w:themeColor="background2"/>
            </w:tcBorders>
            <w:vAlign w:val="center"/>
          </w:tcPr>
          <w:p w14:paraId="417282C6" w14:textId="77777777" w:rsidR="007B5E60" w:rsidRPr="009940F3" w:rsidRDefault="007B5E60" w:rsidP="00E04435">
            <w:pPr>
              <w:spacing w:before="40" w:after="40"/>
              <w:rPr>
                <w:rFonts w:cs="Arial"/>
                <w:color w:val="000000"/>
                <w:sz w:val="16"/>
                <w:szCs w:val="16"/>
                <w:lang w:val="en-US"/>
              </w:rPr>
            </w:pPr>
            <w:r w:rsidRPr="009940F3">
              <w:rPr>
                <w:rFonts w:cs="Arial"/>
                <w:color w:val="1C1C1C"/>
                <w:sz w:val="16"/>
                <w:szCs w:val="16"/>
              </w:rPr>
              <w:t>Admitted acute</w:t>
            </w:r>
          </w:p>
        </w:tc>
        <w:tc>
          <w:tcPr>
            <w:tcW w:w="1275" w:type="dxa"/>
            <w:tcBorders>
              <w:right w:val="single" w:sz="4" w:space="0" w:color="FFFFFF" w:themeColor="background2"/>
            </w:tcBorders>
            <w:shd w:val="clear" w:color="auto" w:fill="auto"/>
          </w:tcPr>
          <w:p w14:paraId="610FC10A" w14:textId="68F81004" w:rsidR="007B5E60" w:rsidRPr="009940F3" w:rsidRDefault="007B5E60" w:rsidP="00E04435">
            <w:pPr>
              <w:spacing w:before="40" w:after="40"/>
              <w:jc w:val="right"/>
              <w:rPr>
                <w:rFonts w:cs="Arial"/>
                <w:color w:val="1C1C1C"/>
                <w:sz w:val="16"/>
                <w:szCs w:val="16"/>
              </w:rPr>
            </w:pPr>
            <w:r w:rsidRPr="009940F3">
              <w:rPr>
                <w:rFonts w:cs="Arial"/>
                <w:color w:val="1C1C1C"/>
                <w:sz w:val="16"/>
                <w:szCs w:val="16"/>
              </w:rPr>
              <w:t>Episode</w:t>
            </w:r>
            <w:r w:rsidR="000D6040">
              <w:rPr>
                <w:rFonts w:cs="Arial"/>
                <w:color w:val="1C1C1C"/>
                <w:sz w:val="16"/>
                <w:szCs w:val="16"/>
              </w:rPr>
              <w:t>s</w:t>
            </w:r>
          </w:p>
        </w:tc>
        <w:tc>
          <w:tcPr>
            <w:tcW w:w="1353" w:type="dxa"/>
            <w:tcBorders>
              <w:left w:val="single" w:sz="4" w:space="0" w:color="FFFFFF" w:themeColor="background2"/>
              <w:right w:val="single" w:sz="4" w:space="0" w:color="FFFFFF" w:themeColor="background2"/>
            </w:tcBorders>
            <w:shd w:val="clear" w:color="auto" w:fill="F2F2F2" w:themeFill="accent6" w:themeFillShade="F2"/>
            <w:vAlign w:val="center"/>
          </w:tcPr>
          <w:p w14:paraId="346D980A" w14:textId="77777777" w:rsidR="007B5E60" w:rsidRPr="0033337C" w:rsidRDefault="007B5E60" w:rsidP="00E04435">
            <w:pPr>
              <w:spacing w:before="40" w:after="40"/>
              <w:jc w:val="right"/>
              <w:rPr>
                <w:rFonts w:cs="Arial"/>
                <w:b/>
                <w:bCs/>
                <w:color w:val="1C1C1C"/>
                <w:sz w:val="16"/>
                <w:szCs w:val="16"/>
              </w:rPr>
            </w:pPr>
            <w:r w:rsidRPr="0090730D">
              <w:rPr>
                <w:rFonts w:cs="Arial"/>
                <w:color w:val="1C1C1C"/>
                <w:sz w:val="16"/>
                <w:szCs w:val="16"/>
              </w:rPr>
              <w:t>6,506,</w:t>
            </w:r>
            <w:r w:rsidRPr="006421E6">
              <w:rPr>
                <w:rFonts w:cs="Arial"/>
                <w:color w:val="1C1C1C"/>
                <w:sz w:val="16"/>
                <w:szCs w:val="16"/>
              </w:rPr>
              <w:t>240</w:t>
            </w:r>
          </w:p>
        </w:tc>
        <w:tc>
          <w:tcPr>
            <w:tcW w:w="1199" w:type="dxa"/>
            <w:tcBorders>
              <w:left w:val="single" w:sz="4" w:space="0" w:color="FFFFFF" w:themeColor="background2"/>
              <w:right w:val="single" w:sz="4" w:space="0" w:color="FFFFFF" w:themeColor="background2"/>
            </w:tcBorders>
            <w:shd w:val="clear" w:color="auto" w:fill="F2F2F2" w:themeFill="accent6" w:themeFillShade="F2"/>
            <w:vAlign w:val="center"/>
          </w:tcPr>
          <w:p w14:paraId="6B6E97B0" w14:textId="77777777" w:rsidR="007B5E60" w:rsidRPr="0033337C" w:rsidRDefault="007B5E60" w:rsidP="00E04435">
            <w:pPr>
              <w:spacing w:before="40" w:after="40"/>
              <w:jc w:val="right"/>
              <w:rPr>
                <w:rFonts w:cs="Arial"/>
                <w:color w:val="1C1C1C"/>
                <w:sz w:val="16"/>
                <w:szCs w:val="16"/>
              </w:rPr>
            </w:pPr>
            <w:r w:rsidRPr="0090730D">
              <w:rPr>
                <w:rFonts w:cs="Arial"/>
                <w:color w:val="1C1C1C"/>
                <w:sz w:val="16"/>
                <w:szCs w:val="16"/>
              </w:rPr>
              <w:t>40,</w:t>
            </w:r>
            <w:r w:rsidRPr="006421E6">
              <w:rPr>
                <w:rFonts w:cs="Arial"/>
                <w:color w:val="1C1C1C"/>
                <w:sz w:val="16"/>
                <w:szCs w:val="16"/>
              </w:rPr>
              <w:t>622</w:t>
            </w:r>
          </w:p>
        </w:tc>
        <w:tc>
          <w:tcPr>
            <w:tcW w:w="1275" w:type="dxa"/>
            <w:tcBorders>
              <w:left w:val="single" w:sz="4" w:space="0" w:color="FFFFFF" w:themeColor="background2"/>
              <w:right w:val="single" w:sz="4" w:space="0" w:color="FFFFFF" w:themeColor="background2"/>
            </w:tcBorders>
            <w:shd w:val="clear" w:color="auto" w:fill="F2F2F2" w:themeFill="accent6" w:themeFillShade="F2"/>
            <w:vAlign w:val="center"/>
          </w:tcPr>
          <w:p w14:paraId="0CBE35E6" w14:textId="77777777" w:rsidR="007B5E60" w:rsidRPr="009940F3" w:rsidRDefault="007B5E60" w:rsidP="00E04435">
            <w:pPr>
              <w:spacing w:before="40" w:after="40"/>
              <w:jc w:val="right"/>
              <w:rPr>
                <w:rFonts w:cs="Arial"/>
                <w:color w:val="000000"/>
                <w:sz w:val="16"/>
                <w:szCs w:val="16"/>
                <w:lang w:val="en-US"/>
              </w:rPr>
            </w:pPr>
            <w:r w:rsidRPr="009940F3">
              <w:rPr>
                <w:rFonts w:cs="Arial"/>
                <w:color w:val="1C1C1C"/>
                <w:sz w:val="16"/>
                <w:szCs w:val="16"/>
              </w:rPr>
              <w:t>6,506,233</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78266EE0" w14:textId="77777777" w:rsidR="007B5E60" w:rsidRPr="009940F3" w:rsidRDefault="007B5E60" w:rsidP="00E04435">
            <w:pPr>
              <w:spacing w:before="40" w:after="40"/>
              <w:jc w:val="right"/>
              <w:rPr>
                <w:rFonts w:cs="Arial"/>
                <w:color w:val="000000"/>
                <w:sz w:val="16"/>
                <w:szCs w:val="16"/>
                <w:lang w:val="en-US"/>
              </w:rPr>
            </w:pPr>
            <w:r w:rsidRPr="009940F3">
              <w:rPr>
                <w:rFonts w:cs="Arial"/>
                <w:color w:val="1C1C1C"/>
                <w:sz w:val="16"/>
                <w:szCs w:val="16"/>
              </w:rPr>
              <w:t>40,595</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75787BA9" w14:textId="77777777" w:rsidR="007B5E60" w:rsidRPr="009940F3" w:rsidRDefault="007B5E60" w:rsidP="00E04435">
            <w:pPr>
              <w:spacing w:before="40" w:after="40"/>
              <w:jc w:val="right"/>
              <w:rPr>
                <w:rFonts w:cs="Arial"/>
                <w:color w:val="1C1C1C"/>
                <w:sz w:val="16"/>
                <w:szCs w:val="16"/>
              </w:rPr>
            </w:pPr>
            <w:r w:rsidRPr="009940F3">
              <w:rPr>
                <w:rFonts w:cs="Arial"/>
                <w:color w:val="1C1C1C"/>
                <w:sz w:val="16"/>
                <w:szCs w:val="16"/>
              </w:rPr>
              <w:t>6,239</w:t>
            </w:r>
          </w:p>
        </w:tc>
      </w:tr>
      <w:tr w:rsidR="001D16C6" w:rsidRPr="00C219EA" w14:paraId="6F345D5F" w14:textId="77777777" w:rsidTr="001D16C6">
        <w:trPr>
          <w:cnfStyle w:val="000000010000" w:firstRow="0" w:lastRow="0" w:firstColumn="0" w:lastColumn="0" w:oddVBand="0" w:evenVBand="0" w:oddHBand="0" w:evenHBand="1" w:firstRowFirstColumn="0" w:firstRowLastColumn="0" w:lastRowFirstColumn="0" w:lastRowLastColumn="0"/>
          <w:cantSplit/>
          <w:trHeight w:val="361"/>
          <w:jc w:val="center"/>
        </w:trPr>
        <w:tc>
          <w:tcPr>
            <w:tcW w:w="2269" w:type="dxa"/>
            <w:vMerge w:val="restart"/>
            <w:tcBorders>
              <w:right w:val="single" w:sz="4" w:space="0" w:color="FFFFFF" w:themeColor="background2"/>
            </w:tcBorders>
            <w:vAlign w:val="center"/>
          </w:tcPr>
          <w:p w14:paraId="6E0C911E" w14:textId="52D6732C" w:rsidR="007B5E60" w:rsidRPr="009940F3" w:rsidRDefault="007B5E60" w:rsidP="00E04435">
            <w:pPr>
              <w:spacing w:before="40" w:after="40"/>
              <w:rPr>
                <w:rFonts w:cs="Arial"/>
                <w:color w:val="000000"/>
                <w:sz w:val="16"/>
                <w:szCs w:val="16"/>
                <w:lang w:val="en-US"/>
              </w:rPr>
            </w:pPr>
            <w:r w:rsidRPr="009940F3">
              <w:rPr>
                <w:rFonts w:cs="Arial"/>
                <w:color w:val="1C1C1C"/>
                <w:sz w:val="16"/>
                <w:szCs w:val="16"/>
              </w:rPr>
              <w:t>Admitted subacute and non</w:t>
            </w:r>
            <w:r w:rsidR="001D16C6">
              <w:rPr>
                <w:rFonts w:cs="Arial"/>
                <w:color w:val="1C1C1C"/>
                <w:sz w:val="16"/>
                <w:szCs w:val="16"/>
              </w:rPr>
              <w:noBreakHyphen/>
            </w:r>
            <w:r w:rsidRPr="009940F3">
              <w:rPr>
                <w:rFonts w:cs="Arial"/>
                <w:color w:val="1C1C1C"/>
                <w:sz w:val="16"/>
                <w:szCs w:val="16"/>
              </w:rPr>
              <w:t>acute</w:t>
            </w:r>
          </w:p>
        </w:tc>
        <w:tc>
          <w:tcPr>
            <w:tcW w:w="1275" w:type="dxa"/>
            <w:tcBorders>
              <w:right w:val="single" w:sz="4" w:space="0" w:color="FFFFFF" w:themeColor="background2"/>
            </w:tcBorders>
            <w:shd w:val="clear" w:color="auto" w:fill="auto"/>
          </w:tcPr>
          <w:p w14:paraId="732830BE" w14:textId="5EF02AA3" w:rsidR="007B5E60" w:rsidRPr="009940F3" w:rsidRDefault="007B5E60" w:rsidP="00E04435">
            <w:pPr>
              <w:spacing w:before="40" w:after="40"/>
              <w:jc w:val="right"/>
              <w:rPr>
                <w:rFonts w:cs="Arial"/>
                <w:color w:val="1C1C1C"/>
                <w:sz w:val="16"/>
                <w:szCs w:val="16"/>
              </w:rPr>
            </w:pPr>
            <w:r w:rsidRPr="009940F3">
              <w:rPr>
                <w:rFonts w:cs="Arial"/>
                <w:color w:val="1C1C1C"/>
                <w:sz w:val="16"/>
                <w:szCs w:val="16"/>
              </w:rPr>
              <w:t>Episode</w:t>
            </w:r>
            <w:r w:rsidR="000D6040">
              <w:rPr>
                <w:rFonts w:cs="Arial"/>
                <w:color w:val="1C1C1C"/>
                <w:sz w:val="16"/>
                <w:szCs w:val="16"/>
              </w:rPr>
              <w:t>s</w:t>
            </w:r>
          </w:p>
        </w:tc>
        <w:tc>
          <w:tcPr>
            <w:tcW w:w="1353"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7E2EB2C" w14:textId="77777777" w:rsidR="007B5E60" w:rsidRPr="009940F3" w:rsidRDefault="007B5E60" w:rsidP="00E04435">
            <w:pPr>
              <w:spacing w:before="40" w:after="40"/>
              <w:jc w:val="right"/>
              <w:rPr>
                <w:rFonts w:cs="Arial"/>
                <w:color w:val="1C1C1C"/>
                <w:sz w:val="16"/>
                <w:szCs w:val="16"/>
              </w:rPr>
            </w:pPr>
            <w:r w:rsidRPr="004855C9">
              <w:rPr>
                <w:rFonts w:cs="Arial"/>
                <w:color w:val="1C1C1C"/>
                <w:sz w:val="16"/>
                <w:szCs w:val="16"/>
              </w:rPr>
              <w:t>164,4</w:t>
            </w:r>
            <w:r w:rsidRPr="006421E6">
              <w:rPr>
                <w:rFonts w:cs="Arial"/>
                <w:color w:val="1C1C1C"/>
                <w:sz w:val="16"/>
                <w:szCs w:val="16"/>
              </w:rPr>
              <w:t>59</w:t>
            </w:r>
          </w:p>
        </w:tc>
        <w:tc>
          <w:tcPr>
            <w:tcW w:w="1199"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0764E475" w14:textId="77777777" w:rsidR="007B5E60" w:rsidRPr="009940F3" w:rsidRDefault="007B5E60" w:rsidP="00E04435">
            <w:pPr>
              <w:spacing w:before="40" w:after="40"/>
              <w:jc w:val="right"/>
              <w:rPr>
                <w:rFonts w:cs="Arial"/>
                <w:color w:val="1C1C1C"/>
                <w:sz w:val="16"/>
                <w:szCs w:val="16"/>
              </w:rPr>
            </w:pPr>
            <w:r w:rsidRPr="004855C9">
              <w:rPr>
                <w:rFonts w:cs="Arial"/>
                <w:color w:val="1C1C1C"/>
                <w:sz w:val="16"/>
                <w:szCs w:val="16"/>
              </w:rPr>
              <w:t>3,8</w:t>
            </w:r>
            <w:r w:rsidRPr="006421E6">
              <w:rPr>
                <w:rFonts w:cs="Arial"/>
                <w:color w:val="1C1C1C"/>
                <w:sz w:val="16"/>
                <w:szCs w:val="16"/>
              </w:rPr>
              <w:t>70</w:t>
            </w:r>
          </w:p>
        </w:tc>
        <w:tc>
          <w:tcPr>
            <w:tcW w:w="127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449D1E71" w14:textId="77777777" w:rsidR="007B5E60" w:rsidRPr="009940F3" w:rsidRDefault="007B5E60" w:rsidP="00E04435">
            <w:pPr>
              <w:spacing w:before="40" w:after="40"/>
              <w:jc w:val="right"/>
              <w:rPr>
                <w:rFonts w:cs="Arial"/>
                <w:b/>
                <w:bCs/>
                <w:color w:val="000000"/>
                <w:sz w:val="16"/>
                <w:szCs w:val="16"/>
                <w:lang w:val="en-US"/>
              </w:rPr>
            </w:pPr>
            <w:r w:rsidRPr="009940F3">
              <w:rPr>
                <w:rFonts w:cs="Arial"/>
                <w:color w:val="1C1C1C"/>
                <w:sz w:val="16"/>
                <w:szCs w:val="16"/>
              </w:rPr>
              <w:t>164,415</w:t>
            </w:r>
          </w:p>
        </w:tc>
        <w:tc>
          <w:tcPr>
            <w:tcW w:w="1134"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5AA5A8E5" w14:textId="77777777" w:rsidR="007B5E60" w:rsidRPr="009940F3" w:rsidRDefault="007B5E60" w:rsidP="00E04435">
            <w:pPr>
              <w:spacing w:before="40" w:after="40"/>
              <w:jc w:val="right"/>
              <w:rPr>
                <w:rFonts w:cs="Arial"/>
                <w:color w:val="000000"/>
                <w:sz w:val="16"/>
                <w:szCs w:val="16"/>
                <w:lang w:val="en-US"/>
              </w:rPr>
            </w:pPr>
            <w:r w:rsidRPr="009940F3">
              <w:rPr>
                <w:rFonts w:cs="Arial"/>
                <w:color w:val="1C1C1C"/>
                <w:sz w:val="16"/>
                <w:szCs w:val="16"/>
              </w:rPr>
              <w:t>3,840</w:t>
            </w:r>
          </w:p>
        </w:tc>
        <w:tc>
          <w:tcPr>
            <w:tcW w:w="1134"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204D3CD9" w14:textId="77777777" w:rsidR="007B5E60" w:rsidRPr="009940F3" w:rsidRDefault="007B5E60" w:rsidP="00E04435">
            <w:pPr>
              <w:spacing w:before="40" w:after="40"/>
              <w:jc w:val="right"/>
              <w:rPr>
                <w:rFonts w:cs="Arial"/>
                <w:color w:val="1C1C1C"/>
                <w:sz w:val="16"/>
                <w:szCs w:val="16"/>
              </w:rPr>
            </w:pPr>
            <w:r w:rsidRPr="009940F3">
              <w:rPr>
                <w:rFonts w:cs="Arial"/>
                <w:color w:val="1C1C1C"/>
                <w:sz w:val="16"/>
                <w:szCs w:val="16"/>
              </w:rPr>
              <w:t>23,356</w:t>
            </w:r>
          </w:p>
        </w:tc>
      </w:tr>
      <w:tr w:rsidR="001D16C6" w:rsidRPr="00C219EA" w14:paraId="4679F846" w14:textId="77777777" w:rsidTr="001D16C6">
        <w:trPr>
          <w:cnfStyle w:val="000000100000" w:firstRow="0" w:lastRow="0" w:firstColumn="0" w:lastColumn="0" w:oddVBand="0" w:evenVBand="0" w:oddHBand="1" w:evenHBand="0" w:firstRowFirstColumn="0" w:firstRowLastColumn="0" w:lastRowFirstColumn="0" w:lastRowLastColumn="0"/>
          <w:cantSplit/>
          <w:trHeight w:val="19"/>
          <w:jc w:val="center"/>
        </w:trPr>
        <w:tc>
          <w:tcPr>
            <w:tcW w:w="2269" w:type="dxa"/>
            <w:vMerge/>
            <w:tcBorders>
              <w:right w:val="single" w:sz="4" w:space="0" w:color="FFFFFF" w:themeColor="background2"/>
            </w:tcBorders>
            <w:vAlign w:val="center"/>
          </w:tcPr>
          <w:p w14:paraId="67328551" w14:textId="77777777" w:rsidR="007B5E60" w:rsidRPr="009940F3" w:rsidRDefault="007B5E60" w:rsidP="00E04435">
            <w:pPr>
              <w:spacing w:before="40" w:after="40"/>
              <w:rPr>
                <w:rFonts w:cs="Arial"/>
                <w:color w:val="1C1C1C"/>
                <w:sz w:val="16"/>
                <w:szCs w:val="16"/>
              </w:rPr>
            </w:pPr>
          </w:p>
        </w:tc>
        <w:tc>
          <w:tcPr>
            <w:tcW w:w="1275" w:type="dxa"/>
            <w:tcBorders>
              <w:right w:val="single" w:sz="4" w:space="0" w:color="FFFFFF" w:themeColor="background2"/>
            </w:tcBorders>
            <w:shd w:val="clear" w:color="auto" w:fill="auto"/>
          </w:tcPr>
          <w:p w14:paraId="18316592" w14:textId="48A90246" w:rsidR="007B5E60" w:rsidRPr="009940F3" w:rsidRDefault="007B5E60" w:rsidP="00E04435">
            <w:pPr>
              <w:spacing w:before="40" w:after="40"/>
              <w:jc w:val="right"/>
              <w:rPr>
                <w:rFonts w:cs="Arial"/>
                <w:color w:val="1C1C1C"/>
                <w:sz w:val="16"/>
                <w:szCs w:val="16"/>
              </w:rPr>
            </w:pPr>
            <w:r w:rsidRPr="009940F3">
              <w:rPr>
                <w:rFonts w:cs="Arial"/>
                <w:color w:val="1C1C1C"/>
                <w:sz w:val="16"/>
                <w:szCs w:val="16"/>
              </w:rPr>
              <w:t>Phase</w:t>
            </w:r>
            <w:r w:rsidR="000D6040">
              <w:rPr>
                <w:rFonts w:cs="Arial"/>
                <w:color w:val="1C1C1C"/>
                <w:sz w:val="16"/>
                <w:szCs w:val="16"/>
              </w:rPr>
              <w:t>s</w:t>
            </w:r>
          </w:p>
        </w:tc>
        <w:tc>
          <w:tcPr>
            <w:tcW w:w="1353" w:type="dxa"/>
            <w:tcBorders>
              <w:left w:val="single" w:sz="4" w:space="0" w:color="FFFFFF" w:themeColor="background2"/>
              <w:right w:val="single" w:sz="4" w:space="0" w:color="FFFFFF" w:themeColor="background2"/>
            </w:tcBorders>
            <w:shd w:val="clear" w:color="auto" w:fill="F2F2F2" w:themeFill="accent6" w:themeFillShade="F2"/>
            <w:vAlign w:val="center"/>
          </w:tcPr>
          <w:p w14:paraId="3A125028" w14:textId="77777777" w:rsidR="007B5E60" w:rsidRPr="009940F3" w:rsidRDefault="007B5E60" w:rsidP="00E04435">
            <w:pPr>
              <w:spacing w:before="40" w:after="40"/>
              <w:jc w:val="right"/>
              <w:rPr>
                <w:rFonts w:cs="Arial"/>
                <w:color w:val="1C1C1C"/>
                <w:sz w:val="16"/>
                <w:szCs w:val="16"/>
              </w:rPr>
            </w:pPr>
            <w:r w:rsidRPr="00B23EA1">
              <w:rPr>
                <w:rFonts w:cs="Arial"/>
                <w:color w:val="1C1C1C"/>
                <w:sz w:val="16"/>
                <w:szCs w:val="16"/>
              </w:rPr>
              <w:t>72,8</w:t>
            </w:r>
            <w:r w:rsidRPr="006421E6">
              <w:rPr>
                <w:rFonts w:cs="Arial"/>
                <w:color w:val="1C1C1C"/>
                <w:sz w:val="16"/>
                <w:szCs w:val="16"/>
              </w:rPr>
              <w:t>90</w:t>
            </w:r>
          </w:p>
        </w:tc>
        <w:tc>
          <w:tcPr>
            <w:tcW w:w="1199" w:type="dxa"/>
            <w:tcBorders>
              <w:left w:val="single" w:sz="4" w:space="0" w:color="FFFFFF" w:themeColor="background2"/>
              <w:right w:val="single" w:sz="4" w:space="0" w:color="FFFFFF" w:themeColor="background2"/>
            </w:tcBorders>
            <w:shd w:val="clear" w:color="auto" w:fill="F2F2F2" w:themeFill="accent6" w:themeFillShade="F2"/>
            <w:vAlign w:val="center"/>
          </w:tcPr>
          <w:p w14:paraId="6B99D842" w14:textId="77777777" w:rsidR="007B5E60" w:rsidRPr="009940F3" w:rsidRDefault="007B5E60" w:rsidP="00E04435">
            <w:pPr>
              <w:spacing w:before="40" w:after="40"/>
              <w:jc w:val="right"/>
              <w:rPr>
                <w:rFonts w:cs="Arial"/>
                <w:color w:val="1C1C1C"/>
                <w:sz w:val="16"/>
                <w:szCs w:val="16"/>
              </w:rPr>
            </w:pPr>
            <w:r w:rsidRPr="00B23EA1">
              <w:rPr>
                <w:rFonts w:cs="Arial"/>
                <w:color w:val="1C1C1C"/>
                <w:sz w:val="16"/>
                <w:szCs w:val="16"/>
              </w:rPr>
              <w:t>54</w:t>
            </w:r>
            <w:r w:rsidRPr="006421E6">
              <w:rPr>
                <w:rFonts w:cs="Arial"/>
                <w:color w:val="1C1C1C"/>
                <w:sz w:val="16"/>
                <w:szCs w:val="16"/>
              </w:rPr>
              <w:t>4</w:t>
            </w:r>
          </w:p>
        </w:tc>
        <w:tc>
          <w:tcPr>
            <w:tcW w:w="1275" w:type="dxa"/>
            <w:tcBorders>
              <w:left w:val="single" w:sz="4" w:space="0" w:color="FFFFFF" w:themeColor="background2"/>
              <w:right w:val="single" w:sz="4" w:space="0" w:color="FFFFFF" w:themeColor="background2"/>
            </w:tcBorders>
            <w:shd w:val="clear" w:color="auto" w:fill="F2F2F2" w:themeFill="accent6" w:themeFillShade="F2"/>
            <w:vAlign w:val="center"/>
          </w:tcPr>
          <w:p w14:paraId="080A51FE" w14:textId="77777777" w:rsidR="007B5E60" w:rsidRPr="009940F3" w:rsidRDefault="007B5E60" w:rsidP="00E04435">
            <w:pPr>
              <w:spacing w:before="40" w:after="40"/>
              <w:jc w:val="right"/>
              <w:rPr>
                <w:rFonts w:cs="Arial"/>
                <w:color w:val="1C1C1C"/>
                <w:sz w:val="16"/>
                <w:szCs w:val="16"/>
              </w:rPr>
            </w:pPr>
            <w:r w:rsidRPr="009940F3">
              <w:rPr>
                <w:rFonts w:cs="Arial"/>
                <w:color w:val="1C1C1C"/>
                <w:sz w:val="16"/>
                <w:szCs w:val="16"/>
              </w:rPr>
              <w:t>72,889</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0EF8340D" w14:textId="77777777" w:rsidR="007B5E60" w:rsidRPr="009940F3" w:rsidRDefault="007B5E60" w:rsidP="00E04435">
            <w:pPr>
              <w:spacing w:before="40" w:after="40"/>
              <w:jc w:val="right"/>
              <w:rPr>
                <w:rFonts w:cs="Arial"/>
                <w:color w:val="1C1C1C"/>
                <w:sz w:val="16"/>
                <w:szCs w:val="16"/>
              </w:rPr>
            </w:pPr>
            <w:r w:rsidRPr="009940F3">
              <w:rPr>
                <w:rFonts w:cs="Arial"/>
                <w:color w:val="1C1C1C"/>
                <w:sz w:val="16"/>
                <w:szCs w:val="16"/>
              </w:rPr>
              <w:t>543</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62F181BB" w14:textId="77777777" w:rsidR="007B5E60" w:rsidRPr="009940F3" w:rsidRDefault="007B5E60" w:rsidP="00E04435">
            <w:pPr>
              <w:spacing w:before="40" w:after="40"/>
              <w:jc w:val="right"/>
              <w:rPr>
                <w:rFonts w:cs="Arial"/>
                <w:color w:val="1C1C1C"/>
                <w:sz w:val="16"/>
                <w:szCs w:val="16"/>
              </w:rPr>
            </w:pPr>
            <w:r>
              <w:rPr>
                <w:rFonts w:cs="Arial"/>
                <w:color w:val="1C1C1C"/>
                <w:sz w:val="16"/>
                <w:szCs w:val="16"/>
              </w:rPr>
              <w:t>7,456</w:t>
            </w:r>
          </w:p>
        </w:tc>
      </w:tr>
      <w:tr w:rsidR="00791FF8" w:rsidRPr="00C219EA" w14:paraId="0CAE20BF" w14:textId="77777777" w:rsidTr="001D16C6">
        <w:trPr>
          <w:cnfStyle w:val="000000010000" w:firstRow="0" w:lastRow="0" w:firstColumn="0" w:lastColumn="0" w:oddVBand="0" w:evenVBand="0" w:oddHBand="0" w:evenHBand="1" w:firstRowFirstColumn="0" w:firstRowLastColumn="0" w:lastRowFirstColumn="0" w:lastRowLastColumn="0"/>
          <w:cantSplit/>
          <w:trHeight w:val="19"/>
          <w:jc w:val="center"/>
        </w:trPr>
        <w:tc>
          <w:tcPr>
            <w:tcW w:w="0" w:type="dxa"/>
            <w:tcBorders>
              <w:bottom w:val="single" w:sz="4" w:space="0" w:color="D9D9D9" w:themeColor="background2" w:themeShade="D9"/>
              <w:right w:val="single" w:sz="4" w:space="0" w:color="FFFFFF" w:themeColor="background2"/>
            </w:tcBorders>
            <w:vAlign w:val="center"/>
          </w:tcPr>
          <w:p w14:paraId="50365FAF" w14:textId="77777777" w:rsidR="007B5E60" w:rsidRPr="009940F3" w:rsidRDefault="007B5E60" w:rsidP="00E04435">
            <w:pPr>
              <w:spacing w:before="40" w:after="40"/>
              <w:rPr>
                <w:rFonts w:cs="Arial"/>
                <w:color w:val="000000"/>
                <w:sz w:val="16"/>
                <w:szCs w:val="16"/>
                <w:lang w:val="en-US"/>
              </w:rPr>
            </w:pPr>
            <w:r w:rsidRPr="009940F3">
              <w:rPr>
                <w:rFonts w:cs="Arial"/>
                <w:color w:val="1C1C1C"/>
                <w:sz w:val="16"/>
                <w:szCs w:val="16"/>
              </w:rPr>
              <w:t>Emergency department</w:t>
            </w:r>
          </w:p>
        </w:tc>
        <w:tc>
          <w:tcPr>
            <w:tcW w:w="0" w:type="dxa"/>
            <w:tcBorders>
              <w:right w:val="single" w:sz="4" w:space="0" w:color="FFFFFF" w:themeColor="background2"/>
            </w:tcBorders>
            <w:shd w:val="clear" w:color="auto" w:fill="auto"/>
          </w:tcPr>
          <w:p w14:paraId="510196A3" w14:textId="0A523F3F" w:rsidR="007B5E60" w:rsidRPr="009940F3" w:rsidRDefault="007B5E60" w:rsidP="00E04435">
            <w:pPr>
              <w:spacing w:before="40" w:after="40"/>
              <w:jc w:val="right"/>
              <w:rPr>
                <w:rFonts w:cs="Arial"/>
                <w:color w:val="1C1C1C"/>
                <w:sz w:val="16"/>
                <w:szCs w:val="16"/>
              </w:rPr>
            </w:pPr>
            <w:r w:rsidRPr="009940F3">
              <w:rPr>
                <w:rFonts w:cs="Arial"/>
                <w:color w:val="1C1C1C"/>
                <w:sz w:val="16"/>
                <w:szCs w:val="16"/>
              </w:rPr>
              <w:t>Presentation</w:t>
            </w:r>
            <w:r w:rsidR="000D6040">
              <w:rPr>
                <w:rFonts w:cs="Arial"/>
                <w:color w:val="1C1C1C"/>
                <w:sz w:val="16"/>
                <w:szCs w:val="16"/>
              </w:rPr>
              <w:t>s</w:t>
            </w:r>
          </w:p>
        </w:tc>
        <w:tc>
          <w:tcPr>
            <w:tcW w:w="0"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44FCD1CB" w14:textId="77777777" w:rsidR="007B5E60" w:rsidRPr="009940F3" w:rsidRDefault="007B5E60" w:rsidP="00E04435">
            <w:pPr>
              <w:spacing w:before="40" w:after="40"/>
              <w:jc w:val="right"/>
              <w:rPr>
                <w:rFonts w:cs="Arial"/>
                <w:color w:val="1C1C1C"/>
                <w:sz w:val="16"/>
                <w:szCs w:val="16"/>
              </w:rPr>
            </w:pPr>
            <w:r w:rsidRPr="00EC7172">
              <w:rPr>
                <w:rFonts w:cs="Arial"/>
                <w:color w:val="1C1C1C"/>
                <w:sz w:val="16"/>
                <w:szCs w:val="16"/>
              </w:rPr>
              <w:t>8,</w:t>
            </w:r>
            <w:r w:rsidRPr="006421E6">
              <w:rPr>
                <w:rFonts w:cs="Arial"/>
                <w:color w:val="1C1C1C"/>
                <w:sz w:val="16"/>
                <w:szCs w:val="16"/>
              </w:rPr>
              <w:t>619,796</w:t>
            </w:r>
          </w:p>
        </w:tc>
        <w:tc>
          <w:tcPr>
            <w:tcW w:w="0"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320925C6" w14:textId="77777777" w:rsidR="007B5E60" w:rsidRPr="009940F3" w:rsidRDefault="007B5E60" w:rsidP="00E04435">
            <w:pPr>
              <w:spacing w:before="40" w:after="40"/>
              <w:jc w:val="right"/>
              <w:rPr>
                <w:rFonts w:cs="Arial"/>
                <w:color w:val="1C1C1C"/>
                <w:sz w:val="16"/>
                <w:szCs w:val="16"/>
              </w:rPr>
            </w:pPr>
            <w:r w:rsidRPr="00EC7172">
              <w:rPr>
                <w:rFonts w:cs="Arial"/>
                <w:color w:val="1C1C1C"/>
                <w:sz w:val="16"/>
                <w:szCs w:val="16"/>
              </w:rPr>
              <w:t>8,</w:t>
            </w:r>
            <w:r w:rsidRPr="006421E6">
              <w:rPr>
                <w:rFonts w:cs="Arial"/>
                <w:color w:val="1C1C1C"/>
                <w:sz w:val="16"/>
                <w:szCs w:val="16"/>
              </w:rPr>
              <w:t>504</w:t>
            </w:r>
          </w:p>
        </w:tc>
        <w:tc>
          <w:tcPr>
            <w:tcW w:w="0"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23FAEC48" w14:textId="77777777" w:rsidR="007B5E60" w:rsidRPr="009940F3" w:rsidRDefault="007B5E60" w:rsidP="00E04435">
            <w:pPr>
              <w:spacing w:before="40" w:after="40"/>
              <w:jc w:val="right"/>
              <w:rPr>
                <w:rFonts w:cs="Arial"/>
                <w:color w:val="000000"/>
                <w:sz w:val="16"/>
                <w:szCs w:val="16"/>
                <w:lang w:val="en-US"/>
              </w:rPr>
            </w:pPr>
            <w:r w:rsidRPr="009940F3">
              <w:rPr>
                <w:rFonts w:cs="Arial"/>
                <w:color w:val="1C1C1C"/>
                <w:sz w:val="16"/>
                <w:szCs w:val="16"/>
              </w:rPr>
              <w:t>8,574,940</w:t>
            </w:r>
          </w:p>
        </w:tc>
        <w:tc>
          <w:tcPr>
            <w:tcW w:w="0"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C474757" w14:textId="77777777" w:rsidR="007B5E60" w:rsidRPr="009940F3" w:rsidRDefault="007B5E60" w:rsidP="00E04435">
            <w:pPr>
              <w:spacing w:before="40" w:after="40"/>
              <w:jc w:val="right"/>
              <w:rPr>
                <w:rFonts w:cs="Arial"/>
                <w:color w:val="000000"/>
                <w:sz w:val="16"/>
                <w:szCs w:val="16"/>
                <w:lang w:val="en-US"/>
              </w:rPr>
            </w:pPr>
            <w:r w:rsidRPr="009940F3">
              <w:rPr>
                <w:rFonts w:cs="Arial"/>
                <w:color w:val="1C1C1C"/>
                <w:sz w:val="16"/>
                <w:szCs w:val="16"/>
              </w:rPr>
              <w:t>8,401</w:t>
            </w:r>
          </w:p>
        </w:tc>
        <w:tc>
          <w:tcPr>
            <w:tcW w:w="1134"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0588D5DC" w14:textId="77777777" w:rsidR="007B5E60" w:rsidRPr="009940F3" w:rsidRDefault="007B5E60" w:rsidP="00E04435">
            <w:pPr>
              <w:spacing w:before="40" w:after="40"/>
              <w:jc w:val="right"/>
              <w:rPr>
                <w:rFonts w:cs="Arial"/>
                <w:color w:val="1C1C1C"/>
                <w:sz w:val="16"/>
                <w:szCs w:val="16"/>
              </w:rPr>
            </w:pPr>
            <w:r w:rsidRPr="009940F3">
              <w:rPr>
                <w:rFonts w:cs="Arial"/>
                <w:color w:val="1C1C1C"/>
                <w:sz w:val="16"/>
                <w:szCs w:val="16"/>
              </w:rPr>
              <w:t>980</w:t>
            </w:r>
          </w:p>
        </w:tc>
      </w:tr>
      <w:tr w:rsidR="001D16C6" w:rsidRPr="00C219EA" w14:paraId="5C6B505D" w14:textId="77777777" w:rsidTr="001D16C6">
        <w:trPr>
          <w:cnfStyle w:val="000000100000" w:firstRow="0" w:lastRow="0" w:firstColumn="0" w:lastColumn="0" w:oddVBand="0" w:evenVBand="0" w:oddHBand="1" w:evenHBand="0" w:firstRowFirstColumn="0" w:firstRowLastColumn="0" w:lastRowFirstColumn="0" w:lastRowLastColumn="0"/>
          <w:cantSplit/>
          <w:trHeight w:val="19"/>
          <w:jc w:val="center"/>
        </w:trPr>
        <w:tc>
          <w:tcPr>
            <w:tcW w:w="2269" w:type="dxa"/>
            <w:tcBorders>
              <w:right w:val="single" w:sz="4" w:space="0" w:color="FFFFFF" w:themeColor="background2"/>
            </w:tcBorders>
            <w:vAlign w:val="center"/>
          </w:tcPr>
          <w:p w14:paraId="0F2AE860" w14:textId="77777777" w:rsidR="007B5E60" w:rsidRPr="009940F3" w:rsidRDefault="007B5E60" w:rsidP="00E04435">
            <w:pPr>
              <w:spacing w:before="40" w:after="40"/>
              <w:rPr>
                <w:rFonts w:cs="Arial"/>
                <w:color w:val="000000"/>
                <w:sz w:val="16"/>
                <w:szCs w:val="16"/>
                <w:lang w:val="en-US"/>
              </w:rPr>
            </w:pPr>
            <w:r w:rsidRPr="009940F3">
              <w:rPr>
                <w:rFonts w:cs="Arial"/>
                <w:color w:val="1C1C1C"/>
                <w:sz w:val="16"/>
                <w:szCs w:val="16"/>
              </w:rPr>
              <w:t>Non-admitted</w:t>
            </w:r>
          </w:p>
        </w:tc>
        <w:tc>
          <w:tcPr>
            <w:tcW w:w="1275" w:type="dxa"/>
            <w:tcBorders>
              <w:right w:val="single" w:sz="4" w:space="0" w:color="FFFFFF" w:themeColor="background2"/>
            </w:tcBorders>
            <w:shd w:val="clear" w:color="auto" w:fill="auto"/>
          </w:tcPr>
          <w:p w14:paraId="7C216C0F" w14:textId="37159707" w:rsidR="007B5E60" w:rsidRPr="009940F3" w:rsidRDefault="007B5E60" w:rsidP="00E04435">
            <w:pPr>
              <w:spacing w:before="40" w:after="40"/>
              <w:jc w:val="right"/>
              <w:rPr>
                <w:rFonts w:cs="Arial"/>
                <w:color w:val="1C1C1C"/>
                <w:sz w:val="16"/>
                <w:szCs w:val="16"/>
              </w:rPr>
            </w:pPr>
            <w:r w:rsidRPr="009940F3">
              <w:rPr>
                <w:rFonts w:cs="Arial"/>
                <w:color w:val="1C1C1C"/>
                <w:sz w:val="16"/>
                <w:szCs w:val="16"/>
              </w:rPr>
              <w:t>Service event</w:t>
            </w:r>
            <w:r w:rsidR="000D6040">
              <w:rPr>
                <w:rFonts w:cs="Arial"/>
                <w:color w:val="1C1C1C"/>
                <w:sz w:val="16"/>
                <w:szCs w:val="16"/>
              </w:rPr>
              <w:t>s</w:t>
            </w:r>
          </w:p>
        </w:tc>
        <w:tc>
          <w:tcPr>
            <w:tcW w:w="1353" w:type="dxa"/>
            <w:tcBorders>
              <w:left w:val="single" w:sz="4" w:space="0" w:color="FFFFFF" w:themeColor="background2"/>
              <w:right w:val="single" w:sz="4" w:space="0" w:color="FFFFFF" w:themeColor="background2"/>
            </w:tcBorders>
            <w:shd w:val="clear" w:color="auto" w:fill="F2F2F2" w:themeFill="accent6" w:themeFillShade="F2"/>
            <w:vAlign w:val="center"/>
          </w:tcPr>
          <w:p w14:paraId="293B7CB4" w14:textId="77777777" w:rsidR="007B5E60" w:rsidRPr="009940F3" w:rsidRDefault="007B5E60" w:rsidP="00E04435">
            <w:pPr>
              <w:spacing w:before="40" w:after="40"/>
              <w:jc w:val="right"/>
              <w:rPr>
                <w:rFonts w:cs="Arial"/>
                <w:color w:val="1C1C1C"/>
                <w:sz w:val="16"/>
                <w:szCs w:val="16"/>
              </w:rPr>
            </w:pPr>
            <w:r w:rsidRPr="006421E6">
              <w:rPr>
                <w:rFonts w:cs="Arial"/>
                <w:color w:val="1C1C1C"/>
                <w:sz w:val="16"/>
                <w:szCs w:val="16"/>
              </w:rPr>
              <w:t>28,999,988</w:t>
            </w:r>
          </w:p>
        </w:tc>
        <w:tc>
          <w:tcPr>
            <w:tcW w:w="1199" w:type="dxa"/>
            <w:tcBorders>
              <w:left w:val="single" w:sz="4" w:space="0" w:color="FFFFFF" w:themeColor="background2"/>
              <w:right w:val="single" w:sz="4" w:space="0" w:color="FFFFFF" w:themeColor="background2"/>
            </w:tcBorders>
            <w:shd w:val="clear" w:color="auto" w:fill="F2F2F2" w:themeFill="accent6" w:themeFillShade="F2"/>
            <w:vAlign w:val="center"/>
          </w:tcPr>
          <w:p w14:paraId="6A2BC59A" w14:textId="77777777" w:rsidR="007B5E60" w:rsidRPr="009940F3" w:rsidRDefault="007B5E60" w:rsidP="00E04435">
            <w:pPr>
              <w:spacing w:before="40" w:after="40"/>
              <w:jc w:val="right"/>
              <w:rPr>
                <w:rFonts w:cs="Arial"/>
                <w:color w:val="1C1C1C"/>
                <w:sz w:val="16"/>
                <w:szCs w:val="16"/>
              </w:rPr>
            </w:pPr>
            <w:r w:rsidRPr="00C2064C">
              <w:rPr>
                <w:rFonts w:cs="Arial"/>
                <w:color w:val="1C1C1C"/>
                <w:sz w:val="16"/>
                <w:szCs w:val="16"/>
              </w:rPr>
              <w:t>11,</w:t>
            </w:r>
            <w:r w:rsidRPr="006421E6">
              <w:rPr>
                <w:rFonts w:cs="Arial"/>
                <w:color w:val="1C1C1C"/>
                <w:sz w:val="16"/>
                <w:szCs w:val="16"/>
              </w:rPr>
              <w:t>570</w:t>
            </w:r>
          </w:p>
        </w:tc>
        <w:tc>
          <w:tcPr>
            <w:tcW w:w="1275" w:type="dxa"/>
            <w:tcBorders>
              <w:left w:val="single" w:sz="4" w:space="0" w:color="FFFFFF" w:themeColor="background2"/>
              <w:right w:val="single" w:sz="4" w:space="0" w:color="FFFFFF" w:themeColor="background2"/>
            </w:tcBorders>
            <w:shd w:val="clear" w:color="auto" w:fill="F2F2F2" w:themeFill="accent6" w:themeFillShade="F2"/>
            <w:vAlign w:val="center"/>
          </w:tcPr>
          <w:p w14:paraId="2C489856" w14:textId="77777777" w:rsidR="007B5E60" w:rsidRPr="009940F3" w:rsidRDefault="007B5E60" w:rsidP="00E04435">
            <w:pPr>
              <w:spacing w:before="40" w:after="40"/>
              <w:jc w:val="right"/>
              <w:rPr>
                <w:rFonts w:cs="Arial"/>
                <w:color w:val="000000"/>
                <w:sz w:val="16"/>
                <w:szCs w:val="16"/>
                <w:lang w:val="en-US"/>
              </w:rPr>
            </w:pPr>
            <w:r w:rsidRPr="009940F3">
              <w:rPr>
                <w:rFonts w:cs="Arial"/>
                <w:color w:val="1C1C1C"/>
                <w:sz w:val="16"/>
                <w:szCs w:val="16"/>
              </w:rPr>
              <w:t>27,799,857</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7808EA97" w14:textId="77777777" w:rsidR="007B5E60" w:rsidRPr="009940F3" w:rsidRDefault="007B5E60" w:rsidP="00E04435">
            <w:pPr>
              <w:spacing w:before="40" w:after="40"/>
              <w:jc w:val="right"/>
              <w:rPr>
                <w:rFonts w:cs="Arial"/>
                <w:color w:val="000000"/>
                <w:sz w:val="16"/>
                <w:szCs w:val="16"/>
                <w:lang w:val="en-US"/>
              </w:rPr>
            </w:pPr>
            <w:r w:rsidRPr="009940F3">
              <w:rPr>
                <w:rFonts w:cs="Arial"/>
                <w:color w:val="1C1C1C"/>
                <w:sz w:val="16"/>
                <w:szCs w:val="16"/>
              </w:rPr>
              <w:t>11,194</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091C8A69" w14:textId="77777777" w:rsidR="007B5E60" w:rsidRPr="009940F3" w:rsidRDefault="007B5E60" w:rsidP="00E04435">
            <w:pPr>
              <w:spacing w:before="40" w:after="40"/>
              <w:jc w:val="right"/>
              <w:rPr>
                <w:rFonts w:cs="Arial"/>
                <w:color w:val="1C1C1C"/>
                <w:sz w:val="16"/>
                <w:szCs w:val="16"/>
              </w:rPr>
            </w:pPr>
            <w:r w:rsidRPr="009940F3">
              <w:rPr>
                <w:rFonts w:cs="Arial"/>
                <w:color w:val="1C1C1C"/>
                <w:sz w:val="16"/>
                <w:szCs w:val="16"/>
              </w:rPr>
              <w:t>403</w:t>
            </w:r>
          </w:p>
        </w:tc>
      </w:tr>
      <w:tr w:rsidR="001D16C6" w:rsidRPr="00C219EA" w14:paraId="3EC59E6C" w14:textId="77777777" w:rsidTr="001D16C6">
        <w:trPr>
          <w:cnfStyle w:val="000000010000" w:firstRow="0" w:lastRow="0" w:firstColumn="0" w:lastColumn="0" w:oddVBand="0" w:evenVBand="0" w:oddHBand="0" w:evenHBand="1" w:firstRowFirstColumn="0" w:firstRowLastColumn="0" w:lastRowFirstColumn="0" w:lastRowLastColumn="0"/>
          <w:cantSplit/>
          <w:trHeight w:val="19"/>
          <w:jc w:val="center"/>
        </w:trPr>
        <w:tc>
          <w:tcPr>
            <w:tcW w:w="2269" w:type="dxa"/>
            <w:vMerge w:val="restart"/>
            <w:tcBorders>
              <w:right w:val="single" w:sz="4" w:space="0" w:color="FFFFFF" w:themeColor="background2"/>
            </w:tcBorders>
            <w:vAlign w:val="center"/>
          </w:tcPr>
          <w:p w14:paraId="1BF6E3F8" w14:textId="77777777" w:rsidR="007B5E60" w:rsidRPr="009940F3" w:rsidRDefault="007B5E60" w:rsidP="00B8220E">
            <w:pPr>
              <w:spacing w:before="40" w:after="40"/>
              <w:rPr>
                <w:rFonts w:cs="Arial"/>
                <w:color w:val="1C1C1C"/>
                <w:sz w:val="16"/>
                <w:szCs w:val="16"/>
              </w:rPr>
            </w:pPr>
            <w:r w:rsidRPr="009940F3">
              <w:rPr>
                <w:rFonts w:cs="Arial"/>
                <w:color w:val="1C1C1C"/>
                <w:sz w:val="16"/>
                <w:szCs w:val="16"/>
              </w:rPr>
              <w:t>Admitted mental health</w:t>
            </w:r>
          </w:p>
        </w:tc>
        <w:tc>
          <w:tcPr>
            <w:tcW w:w="1275" w:type="dxa"/>
            <w:tcBorders>
              <w:right w:val="single" w:sz="4" w:space="0" w:color="FFFFFF" w:themeColor="background2"/>
            </w:tcBorders>
            <w:shd w:val="clear" w:color="auto" w:fill="auto"/>
          </w:tcPr>
          <w:p w14:paraId="69944EF3" w14:textId="72EA889D" w:rsidR="007B5E60" w:rsidRPr="009940F3" w:rsidRDefault="007B5E60" w:rsidP="00B8220E">
            <w:pPr>
              <w:spacing w:before="40" w:after="40"/>
              <w:jc w:val="right"/>
              <w:rPr>
                <w:rFonts w:cs="Arial"/>
                <w:color w:val="1C1C1C"/>
                <w:sz w:val="16"/>
                <w:szCs w:val="16"/>
              </w:rPr>
            </w:pPr>
            <w:r>
              <w:rPr>
                <w:rFonts w:cs="Arial"/>
                <w:color w:val="1C1C1C"/>
                <w:sz w:val="16"/>
                <w:szCs w:val="16"/>
              </w:rPr>
              <w:t>Phase</w:t>
            </w:r>
            <w:r w:rsidR="000D6040">
              <w:rPr>
                <w:rFonts w:cs="Arial"/>
                <w:color w:val="1C1C1C"/>
                <w:sz w:val="16"/>
                <w:szCs w:val="16"/>
              </w:rPr>
              <w:t>s</w:t>
            </w:r>
          </w:p>
        </w:tc>
        <w:tc>
          <w:tcPr>
            <w:tcW w:w="1353"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79A5A068" w14:textId="68629EA7" w:rsidR="007B5E60" w:rsidRPr="009940F3" w:rsidRDefault="007B5E60" w:rsidP="00B8220E">
            <w:pPr>
              <w:spacing w:before="40" w:after="40"/>
              <w:jc w:val="right"/>
              <w:rPr>
                <w:rFonts w:cs="Arial"/>
                <w:color w:val="1C1C1C"/>
                <w:sz w:val="16"/>
                <w:szCs w:val="16"/>
              </w:rPr>
            </w:pPr>
            <w:r w:rsidRPr="00322EC1">
              <w:rPr>
                <w:rFonts w:cs="Arial"/>
                <w:color w:val="1C1C1C"/>
                <w:sz w:val="16"/>
                <w:szCs w:val="16"/>
              </w:rPr>
              <w:t>9</w:t>
            </w:r>
            <w:r w:rsidR="003C1653">
              <w:rPr>
                <w:rFonts w:cs="Arial"/>
                <w:color w:val="1C1C1C"/>
                <w:sz w:val="16"/>
                <w:szCs w:val="16"/>
              </w:rPr>
              <w:t>3,013</w:t>
            </w:r>
          </w:p>
        </w:tc>
        <w:tc>
          <w:tcPr>
            <w:tcW w:w="1199"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207B7B5" w14:textId="2A6D66F4" w:rsidR="007B5E60" w:rsidRPr="009940F3" w:rsidRDefault="007B5E60" w:rsidP="00B8220E">
            <w:pPr>
              <w:spacing w:before="40" w:after="40"/>
              <w:jc w:val="right"/>
              <w:rPr>
                <w:rFonts w:cs="Arial"/>
                <w:color w:val="1C1C1C"/>
                <w:sz w:val="16"/>
                <w:szCs w:val="16"/>
              </w:rPr>
            </w:pPr>
            <w:r w:rsidRPr="00322EC1">
              <w:rPr>
                <w:rFonts w:cs="Arial"/>
                <w:color w:val="1C1C1C"/>
                <w:sz w:val="16"/>
                <w:szCs w:val="16"/>
              </w:rPr>
              <w:t>2,</w:t>
            </w:r>
            <w:r w:rsidRPr="006421E6">
              <w:rPr>
                <w:rFonts w:cs="Arial"/>
                <w:color w:val="1C1C1C"/>
                <w:sz w:val="16"/>
                <w:szCs w:val="16"/>
              </w:rPr>
              <w:t>44</w:t>
            </w:r>
            <w:r w:rsidR="0043061C">
              <w:rPr>
                <w:rFonts w:cs="Arial"/>
                <w:color w:val="1C1C1C"/>
                <w:sz w:val="16"/>
                <w:szCs w:val="16"/>
              </w:rPr>
              <w:t>5</w:t>
            </w:r>
          </w:p>
        </w:tc>
        <w:tc>
          <w:tcPr>
            <w:tcW w:w="127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5D1F7365" w14:textId="7CC5FD99"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92,</w:t>
            </w:r>
            <w:r w:rsidR="0033417D">
              <w:rPr>
                <w:rFonts w:cs="Arial"/>
                <w:color w:val="1C1C1C"/>
                <w:sz w:val="16"/>
                <w:szCs w:val="16"/>
              </w:rPr>
              <w:t>898</w:t>
            </w:r>
          </w:p>
        </w:tc>
        <w:tc>
          <w:tcPr>
            <w:tcW w:w="1134"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1A9ABEF6" w14:textId="529ED3F0"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2,3</w:t>
            </w:r>
            <w:r w:rsidR="00C02814">
              <w:rPr>
                <w:rFonts w:cs="Arial"/>
                <w:color w:val="1C1C1C"/>
                <w:sz w:val="16"/>
                <w:szCs w:val="16"/>
              </w:rPr>
              <w:t>8</w:t>
            </w:r>
            <w:r w:rsidRPr="009940F3">
              <w:rPr>
                <w:rFonts w:cs="Arial"/>
                <w:color w:val="1C1C1C"/>
                <w:sz w:val="16"/>
                <w:szCs w:val="16"/>
              </w:rPr>
              <w:t>9</w:t>
            </w:r>
          </w:p>
        </w:tc>
        <w:tc>
          <w:tcPr>
            <w:tcW w:w="1134"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3D9CB1F8" w14:textId="323573AF"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25,</w:t>
            </w:r>
            <w:r w:rsidR="009F1093">
              <w:rPr>
                <w:rFonts w:cs="Arial"/>
                <w:color w:val="1C1C1C"/>
                <w:sz w:val="16"/>
                <w:szCs w:val="16"/>
              </w:rPr>
              <w:t>720</w:t>
            </w:r>
          </w:p>
        </w:tc>
      </w:tr>
      <w:tr w:rsidR="001D16C6" w:rsidRPr="00C219EA" w14:paraId="7EC1B5C6" w14:textId="77777777" w:rsidTr="001D16C6">
        <w:trPr>
          <w:cnfStyle w:val="000000100000" w:firstRow="0" w:lastRow="0" w:firstColumn="0" w:lastColumn="0" w:oddVBand="0" w:evenVBand="0" w:oddHBand="1" w:evenHBand="0" w:firstRowFirstColumn="0" w:firstRowLastColumn="0" w:lastRowFirstColumn="0" w:lastRowLastColumn="0"/>
          <w:cantSplit/>
          <w:trHeight w:val="19"/>
          <w:jc w:val="center"/>
        </w:trPr>
        <w:tc>
          <w:tcPr>
            <w:tcW w:w="2269" w:type="dxa"/>
            <w:vMerge/>
            <w:tcBorders>
              <w:right w:val="single" w:sz="4" w:space="0" w:color="FFFFFF" w:themeColor="background2"/>
            </w:tcBorders>
            <w:vAlign w:val="center"/>
          </w:tcPr>
          <w:p w14:paraId="7E065738" w14:textId="77777777" w:rsidR="007B5E60" w:rsidRPr="009940F3" w:rsidRDefault="007B5E60" w:rsidP="00B8220E">
            <w:pPr>
              <w:spacing w:before="40" w:after="40"/>
              <w:rPr>
                <w:rFonts w:cs="Arial"/>
                <w:color w:val="1C1C1C"/>
                <w:sz w:val="16"/>
                <w:szCs w:val="16"/>
              </w:rPr>
            </w:pPr>
          </w:p>
        </w:tc>
        <w:tc>
          <w:tcPr>
            <w:tcW w:w="1275" w:type="dxa"/>
            <w:tcBorders>
              <w:right w:val="single" w:sz="4" w:space="0" w:color="FFFFFF" w:themeColor="background2"/>
            </w:tcBorders>
            <w:shd w:val="clear" w:color="auto" w:fill="auto"/>
          </w:tcPr>
          <w:p w14:paraId="544CE89E" w14:textId="6E0B883E" w:rsidR="007B5E60" w:rsidRPr="009940F3" w:rsidRDefault="007B5E60" w:rsidP="00B8220E">
            <w:pPr>
              <w:spacing w:before="40" w:after="40"/>
              <w:jc w:val="right"/>
              <w:rPr>
                <w:rFonts w:cs="Arial"/>
                <w:color w:val="1C1C1C"/>
                <w:sz w:val="16"/>
                <w:szCs w:val="16"/>
              </w:rPr>
            </w:pPr>
            <w:r>
              <w:rPr>
                <w:rFonts w:cs="Arial"/>
                <w:color w:val="1C1C1C"/>
                <w:sz w:val="16"/>
                <w:szCs w:val="16"/>
              </w:rPr>
              <w:t>Episode</w:t>
            </w:r>
            <w:r w:rsidR="000D6040">
              <w:rPr>
                <w:rFonts w:cs="Arial"/>
                <w:color w:val="1C1C1C"/>
                <w:sz w:val="16"/>
                <w:szCs w:val="16"/>
              </w:rPr>
              <w:t>s</w:t>
            </w:r>
          </w:p>
        </w:tc>
        <w:tc>
          <w:tcPr>
            <w:tcW w:w="1353" w:type="dxa"/>
            <w:tcBorders>
              <w:left w:val="single" w:sz="4" w:space="0" w:color="FFFFFF" w:themeColor="background2"/>
              <w:right w:val="single" w:sz="4" w:space="0" w:color="FFFFFF" w:themeColor="background2"/>
            </w:tcBorders>
            <w:shd w:val="clear" w:color="auto" w:fill="F2F2F2" w:themeFill="accent6" w:themeFillShade="F2"/>
            <w:vAlign w:val="center"/>
          </w:tcPr>
          <w:p w14:paraId="2584D72F" w14:textId="6C4B42E5" w:rsidR="007B5E60" w:rsidRPr="009940F3" w:rsidRDefault="007B5E60" w:rsidP="00B8220E">
            <w:pPr>
              <w:spacing w:before="40" w:after="40"/>
              <w:jc w:val="right"/>
              <w:rPr>
                <w:rFonts w:cs="Arial"/>
                <w:color w:val="1C1C1C"/>
                <w:sz w:val="16"/>
                <w:szCs w:val="16"/>
              </w:rPr>
            </w:pPr>
            <w:r w:rsidRPr="00BB7723">
              <w:rPr>
                <w:rFonts w:cs="Arial"/>
                <w:color w:val="1C1C1C"/>
                <w:sz w:val="16"/>
                <w:szCs w:val="16"/>
              </w:rPr>
              <w:t>29,8</w:t>
            </w:r>
            <w:r w:rsidRPr="006421E6">
              <w:rPr>
                <w:rFonts w:cs="Arial"/>
                <w:color w:val="1C1C1C"/>
                <w:sz w:val="16"/>
                <w:szCs w:val="16"/>
              </w:rPr>
              <w:t>72</w:t>
            </w:r>
          </w:p>
        </w:tc>
        <w:tc>
          <w:tcPr>
            <w:tcW w:w="1199" w:type="dxa"/>
            <w:tcBorders>
              <w:left w:val="single" w:sz="4" w:space="0" w:color="FFFFFF" w:themeColor="background2"/>
              <w:right w:val="single" w:sz="4" w:space="0" w:color="FFFFFF" w:themeColor="background2"/>
            </w:tcBorders>
            <w:shd w:val="clear" w:color="auto" w:fill="F2F2F2" w:themeFill="accent6" w:themeFillShade="F2"/>
            <w:vAlign w:val="center"/>
          </w:tcPr>
          <w:p w14:paraId="743FDB1F" w14:textId="3F7ECB54" w:rsidR="007B5E60" w:rsidRPr="009940F3" w:rsidRDefault="007B5E60" w:rsidP="00B8220E">
            <w:pPr>
              <w:spacing w:before="40" w:after="40"/>
              <w:jc w:val="right"/>
              <w:rPr>
                <w:rFonts w:cs="Arial"/>
                <w:color w:val="1C1C1C"/>
                <w:sz w:val="16"/>
                <w:szCs w:val="16"/>
              </w:rPr>
            </w:pPr>
            <w:r w:rsidRPr="006421E6">
              <w:rPr>
                <w:rFonts w:cs="Arial"/>
                <w:color w:val="1C1C1C"/>
                <w:sz w:val="16"/>
                <w:szCs w:val="16"/>
              </w:rPr>
              <w:t>701</w:t>
            </w:r>
          </w:p>
        </w:tc>
        <w:tc>
          <w:tcPr>
            <w:tcW w:w="1275" w:type="dxa"/>
            <w:tcBorders>
              <w:left w:val="single" w:sz="4" w:space="0" w:color="FFFFFF" w:themeColor="background2"/>
              <w:right w:val="single" w:sz="4" w:space="0" w:color="FFFFFF" w:themeColor="background2"/>
            </w:tcBorders>
            <w:shd w:val="clear" w:color="auto" w:fill="F2F2F2" w:themeFill="accent6" w:themeFillShade="F2"/>
            <w:vAlign w:val="center"/>
          </w:tcPr>
          <w:p w14:paraId="50C6252E" w14:textId="248FD14D"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29,812</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5C8D255C" w14:textId="6296115F"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625</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2DDF177C" w14:textId="5D08492C"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20,975</w:t>
            </w:r>
          </w:p>
        </w:tc>
      </w:tr>
      <w:tr w:rsidR="001D16C6" w:rsidRPr="00C219EA" w14:paraId="5919097D" w14:textId="77777777" w:rsidTr="001D16C6">
        <w:trPr>
          <w:cnfStyle w:val="000000010000" w:firstRow="0" w:lastRow="0" w:firstColumn="0" w:lastColumn="0" w:oddVBand="0" w:evenVBand="0" w:oddHBand="0" w:evenHBand="1" w:firstRowFirstColumn="0" w:firstRowLastColumn="0" w:lastRowFirstColumn="0" w:lastRowLastColumn="0"/>
          <w:cantSplit/>
          <w:trHeight w:val="19"/>
          <w:jc w:val="center"/>
        </w:trPr>
        <w:tc>
          <w:tcPr>
            <w:tcW w:w="2269" w:type="dxa"/>
            <w:vMerge w:val="restart"/>
            <w:tcBorders>
              <w:right w:val="single" w:sz="4" w:space="0" w:color="FFFFFF" w:themeColor="background2"/>
            </w:tcBorders>
            <w:vAlign w:val="center"/>
          </w:tcPr>
          <w:p w14:paraId="686771A0" w14:textId="77777777" w:rsidR="007B5E60" w:rsidRPr="009940F3" w:rsidRDefault="007B5E60" w:rsidP="00B8220E">
            <w:pPr>
              <w:spacing w:before="40" w:after="40"/>
              <w:rPr>
                <w:rFonts w:cs="Arial"/>
                <w:color w:val="1C1C1C"/>
                <w:sz w:val="16"/>
                <w:szCs w:val="16"/>
              </w:rPr>
            </w:pPr>
            <w:r w:rsidRPr="009940F3">
              <w:rPr>
                <w:rFonts w:cs="Arial"/>
                <w:color w:val="1C1C1C"/>
                <w:sz w:val="16"/>
                <w:szCs w:val="16"/>
              </w:rPr>
              <w:t>Community mental health</w:t>
            </w:r>
          </w:p>
        </w:tc>
        <w:tc>
          <w:tcPr>
            <w:tcW w:w="1275" w:type="dxa"/>
            <w:tcBorders>
              <w:right w:val="single" w:sz="4" w:space="0" w:color="FFFFFF" w:themeColor="background2"/>
            </w:tcBorders>
            <w:shd w:val="clear" w:color="auto" w:fill="auto"/>
          </w:tcPr>
          <w:p w14:paraId="637EFB56" w14:textId="16445DAB" w:rsidR="007B5E60" w:rsidRPr="009940F3" w:rsidRDefault="007B5E60" w:rsidP="00B8220E">
            <w:pPr>
              <w:spacing w:before="40" w:after="40"/>
              <w:jc w:val="right"/>
              <w:rPr>
                <w:rFonts w:cs="Arial"/>
                <w:color w:val="1C1C1C"/>
                <w:sz w:val="16"/>
                <w:szCs w:val="16"/>
              </w:rPr>
            </w:pPr>
            <w:r>
              <w:rPr>
                <w:rFonts w:cs="Arial"/>
                <w:color w:val="1C1C1C"/>
                <w:sz w:val="16"/>
                <w:szCs w:val="16"/>
              </w:rPr>
              <w:t>Phase</w:t>
            </w:r>
            <w:r w:rsidR="000D6040">
              <w:rPr>
                <w:rFonts w:cs="Arial"/>
                <w:color w:val="1C1C1C"/>
                <w:sz w:val="16"/>
                <w:szCs w:val="16"/>
              </w:rPr>
              <w:t>s</w:t>
            </w:r>
          </w:p>
        </w:tc>
        <w:tc>
          <w:tcPr>
            <w:tcW w:w="1353"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197D07E2" w14:textId="62E326AE" w:rsidR="007B5E60" w:rsidRPr="009940F3" w:rsidRDefault="007B5E60" w:rsidP="00B8220E">
            <w:pPr>
              <w:spacing w:before="40" w:after="40"/>
              <w:jc w:val="right"/>
              <w:rPr>
                <w:rFonts w:cs="Arial"/>
                <w:color w:val="1C1C1C"/>
                <w:sz w:val="16"/>
                <w:szCs w:val="16"/>
              </w:rPr>
            </w:pPr>
            <w:r w:rsidRPr="00F8189C">
              <w:rPr>
                <w:rFonts w:cs="Arial"/>
                <w:color w:val="1C1C1C"/>
                <w:sz w:val="16"/>
                <w:szCs w:val="16"/>
              </w:rPr>
              <w:t>729,442</w:t>
            </w:r>
          </w:p>
        </w:tc>
        <w:tc>
          <w:tcPr>
            <w:tcW w:w="1199"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CA42352" w14:textId="3F4FD5E0" w:rsidR="007B5E60" w:rsidRPr="009940F3" w:rsidRDefault="007B5E60" w:rsidP="00B8220E">
            <w:pPr>
              <w:spacing w:before="40" w:after="40"/>
              <w:jc w:val="right"/>
              <w:rPr>
                <w:rFonts w:cs="Arial"/>
                <w:color w:val="1C1C1C"/>
                <w:sz w:val="16"/>
                <w:szCs w:val="16"/>
              </w:rPr>
            </w:pPr>
            <w:r w:rsidRPr="00F8189C">
              <w:rPr>
                <w:rFonts w:cs="Arial"/>
                <w:color w:val="1C1C1C"/>
                <w:sz w:val="16"/>
                <w:szCs w:val="16"/>
              </w:rPr>
              <w:t>1,65</w:t>
            </w:r>
            <w:r w:rsidRPr="006421E6">
              <w:rPr>
                <w:rFonts w:cs="Arial"/>
                <w:color w:val="1C1C1C"/>
                <w:sz w:val="16"/>
                <w:szCs w:val="16"/>
              </w:rPr>
              <w:t>9</w:t>
            </w:r>
          </w:p>
        </w:tc>
        <w:tc>
          <w:tcPr>
            <w:tcW w:w="127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FEBDFCC" w14:textId="74CCC518"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729,442</w:t>
            </w:r>
          </w:p>
        </w:tc>
        <w:tc>
          <w:tcPr>
            <w:tcW w:w="1134"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46F57B3D" w14:textId="6EB217F0"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1,658</w:t>
            </w:r>
          </w:p>
        </w:tc>
        <w:tc>
          <w:tcPr>
            <w:tcW w:w="1134"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52859CD0" w14:textId="414D3385"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2,273</w:t>
            </w:r>
          </w:p>
        </w:tc>
      </w:tr>
      <w:tr w:rsidR="001D16C6" w:rsidRPr="00C219EA" w14:paraId="4E66D98F" w14:textId="77777777" w:rsidTr="001D16C6">
        <w:trPr>
          <w:cnfStyle w:val="000000100000" w:firstRow="0" w:lastRow="0" w:firstColumn="0" w:lastColumn="0" w:oddVBand="0" w:evenVBand="0" w:oddHBand="1" w:evenHBand="0" w:firstRowFirstColumn="0" w:firstRowLastColumn="0" w:lastRowFirstColumn="0" w:lastRowLastColumn="0"/>
          <w:cantSplit/>
          <w:trHeight w:val="19"/>
          <w:jc w:val="center"/>
        </w:trPr>
        <w:tc>
          <w:tcPr>
            <w:tcW w:w="2269" w:type="dxa"/>
            <w:vMerge/>
            <w:tcBorders>
              <w:right w:val="single" w:sz="4" w:space="0" w:color="FFFFFF" w:themeColor="background2"/>
            </w:tcBorders>
            <w:vAlign w:val="center"/>
          </w:tcPr>
          <w:p w14:paraId="308DF0E1" w14:textId="77777777" w:rsidR="007B5E60" w:rsidRPr="009940F3" w:rsidRDefault="007B5E60" w:rsidP="00B8220E">
            <w:pPr>
              <w:spacing w:before="40" w:after="40"/>
              <w:rPr>
                <w:rFonts w:cs="Arial"/>
                <w:color w:val="1C1C1C"/>
                <w:sz w:val="16"/>
                <w:szCs w:val="16"/>
              </w:rPr>
            </w:pPr>
          </w:p>
        </w:tc>
        <w:tc>
          <w:tcPr>
            <w:tcW w:w="1275" w:type="dxa"/>
            <w:tcBorders>
              <w:right w:val="single" w:sz="4" w:space="0" w:color="FFFFFF" w:themeColor="background2"/>
            </w:tcBorders>
            <w:shd w:val="clear" w:color="auto" w:fill="auto"/>
          </w:tcPr>
          <w:p w14:paraId="505EB3DD" w14:textId="1F074C98" w:rsidR="007B5E60" w:rsidRPr="009940F3" w:rsidRDefault="00CE5E1A" w:rsidP="00B8220E">
            <w:pPr>
              <w:spacing w:before="40" w:after="40"/>
              <w:jc w:val="right"/>
              <w:rPr>
                <w:rFonts w:cs="Arial"/>
                <w:color w:val="1C1C1C"/>
                <w:sz w:val="16"/>
                <w:szCs w:val="16"/>
              </w:rPr>
            </w:pPr>
            <w:r>
              <w:rPr>
                <w:rFonts w:cs="Arial"/>
                <w:color w:val="1C1C1C"/>
                <w:sz w:val="16"/>
                <w:szCs w:val="16"/>
              </w:rPr>
              <w:t>Other</w:t>
            </w:r>
          </w:p>
        </w:tc>
        <w:tc>
          <w:tcPr>
            <w:tcW w:w="1353" w:type="dxa"/>
            <w:tcBorders>
              <w:left w:val="single" w:sz="4" w:space="0" w:color="FFFFFF" w:themeColor="background2"/>
              <w:right w:val="single" w:sz="4" w:space="0" w:color="FFFFFF" w:themeColor="background2"/>
            </w:tcBorders>
            <w:shd w:val="clear" w:color="auto" w:fill="F2F2F2" w:themeFill="accent6" w:themeFillShade="F2"/>
            <w:vAlign w:val="center"/>
          </w:tcPr>
          <w:p w14:paraId="5C27141A" w14:textId="3EF3A057" w:rsidR="007B5E60" w:rsidRPr="009940F3" w:rsidRDefault="007B5E60" w:rsidP="00B8220E">
            <w:pPr>
              <w:spacing w:before="40" w:after="40"/>
              <w:jc w:val="right"/>
              <w:rPr>
                <w:rFonts w:cs="Arial"/>
                <w:color w:val="1C1C1C"/>
                <w:sz w:val="16"/>
                <w:szCs w:val="16"/>
              </w:rPr>
            </w:pPr>
            <w:r w:rsidRPr="00322EC1">
              <w:rPr>
                <w:rFonts w:cs="Arial"/>
                <w:color w:val="1C1C1C"/>
                <w:sz w:val="16"/>
                <w:szCs w:val="16"/>
              </w:rPr>
              <w:t>216,179</w:t>
            </w:r>
          </w:p>
        </w:tc>
        <w:tc>
          <w:tcPr>
            <w:tcW w:w="1199" w:type="dxa"/>
            <w:tcBorders>
              <w:left w:val="single" w:sz="4" w:space="0" w:color="FFFFFF" w:themeColor="background2"/>
              <w:right w:val="single" w:sz="4" w:space="0" w:color="FFFFFF" w:themeColor="background2"/>
            </w:tcBorders>
            <w:shd w:val="clear" w:color="auto" w:fill="F2F2F2" w:themeFill="accent6" w:themeFillShade="F2"/>
            <w:vAlign w:val="center"/>
          </w:tcPr>
          <w:p w14:paraId="623B1C15" w14:textId="490CF56E" w:rsidR="007B5E60" w:rsidRPr="009940F3" w:rsidRDefault="007B5E60" w:rsidP="00B8220E">
            <w:pPr>
              <w:spacing w:before="40" w:after="40"/>
              <w:jc w:val="right"/>
              <w:rPr>
                <w:rFonts w:cs="Arial"/>
                <w:color w:val="1C1C1C"/>
                <w:sz w:val="16"/>
                <w:szCs w:val="16"/>
              </w:rPr>
            </w:pPr>
            <w:r w:rsidRPr="00322EC1">
              <w:rPr>
                <w:rFonts w:cs="Arial"/>
                <w:color w:val="1C1C1C"/>
                <w:sz w:val="16"/>
                <w:szCs w:val="16"/>
              </w:rPr>
              <w:t>613</w:t>
            </w:r>
          </w:p>
        </w:tc>
        <w:tc>
          <w:tcPr>
            <w:tcW w:w="1275" w:type="dxa"/>
            <w:tcBorders>
              <w:left w:val="single" w:sz="4" w:space="0" w:color="FFFFFF" w:themeColor="background2"/>
              <w:right w:val="single" w:sz="4" w:space="0" w:color="FFFFFF" w:themeColor="background2"/>
            </w:tcBorders>
            <w:shd w:val="clear" w:color="auto" w:fill="F2F2F2" w:themeFill="accent6" w:themeFillShade="F2"/>
            <w:vAlign w:val="center"/>
          </w:tcPr>
          <w:p w14:paraId="10B14E63" w14:textId="07E8F7DA"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216,179</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7D18EFFF" w14:textId="36758F27"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613</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40BC0724" w14:textId="04D60D0D" w:rsidR="007B5E60" w:rsidRPr="009940F3" w:rsidRDefault="007B5E60" w:rsidP="00B8220E">
            <w:pPr>
              <w:spacing w:before="40" w:after="40"/>
              <w:jc w:val="right"/>
              <w:rPr>
                <w:rFonts w:cs="Arial"/>
                <w:color w:val="1C1C1C"/>
                <w:sz w:val="16"/>
                <w:szCs w:val="16"/>
              </w:rPr>
            </w:pPr>
            <w:r>
              <w:rPr>
                <w:rFonts w:cs="Arial"/>
                <w:color w:val="1C1C1C"/>
                <w:sz w:val="16"/>
                <w:szCs w:val="16"/>
              </w:rPr>
              <w:t>N/A</w:t>
            </w:r>
            <w:r w:rsidR="00111566">
              <w:rPr>
                <w:rFonts w:cs="Arial"/>
                <w:color w:val="1C1C1C"/>
                <w:sz w:val="16"/>
                <w:szCs w:val="16"/>
              </w:rPr>
              <w:t>*</w:t>
            </w:r>
            <w:r w:rsidR="00E47F82">
              <w:rPr>
                <w:rFonts w:cs="Arial"/>
                <w:color w:val="1C1C1C"/>
                <w:sz w:val="16"/>
                <w:szCs w:val="16"/>
              </w:rPr>
              <w:t>*</w:t>
            </w:r>
          </w:p>
        </w:tc>
      </w:tr>
      <w:tr w:rsidR="001D16C6" w:rsidRPr="00C219EA" w14:paraId="2FF9A470" w14:textId="77777777" w:rsidTr="001D16C6">
        <w:trPr>
          <w:cnfStyle w:val="000000010000" w:firstRow="0" w:lastRow="0" w:firstColumn="0" w:lastColumn="0" w:oddVBand="0" w:evenVBand="0" w:oddHBand="0" w:evenHBand="1" w:firstRowFirstColumn="0" w:firstRowLastColumn="0" w:lastRowFirstColumn="0" w:lastRowLastColumn="0"/>
          <w:cantSplit/>
          <w:trHeight w:val="19"/>
          <w:jc w:val="center"/>
        </w:trPr>
        <w:tc>
          <w:tcPr>
            <w:tcW w:w="2269" w:type="dxa"/>
            <w:vMerge w:val="restart"/>
            <w:tcBorders>
              <w:right w:val="single" w:sz="4" w:space="0" w:color="FFFFFF" w:themeColor="background2"/>
            </w:tcBorders>
            <w:vAlign w:val="center"/>
          </w:tcPr>
          <w:p w14:paraId="29498764" w14:textId="576750B2" w:rsidR="007B5E60" w:rsidRPr="009940F3" w:rsidRDefault="007B5E60" w:rsidP="009C4ECB">
            <w:pPr>
              <w:spacing w:before="40" w:after="40"/>
              <w:rPr>
                <w:rFonts w:cs="Arial"/>
                <w:color w:val="1C1C1C"/>
                <w:sz w:val="16"/>
                <w:szCs w:val="16"/>
              </w:rPr>
            </w:pPr>
            <w:r>
              <w:rPr>
                <w:rFonts w:cs="Arial"/>
                <w:color w:val="1C1C1C"/>
                <w:sz w:val="16"/>
                <w:szCs w:val="16"/>
              </w:rPr>
              <w:t>Ungroupable mental health</w:t>
            </w:r>
            <w:r w:rsidR="00301224">
              <w:rPr>
                <w:rFonts w:cs="Arial"/>
                <w:color w:val="1C1C1C"/>
                <w:sz w:val="16"/>
                <w:szCs w:val="16"/>
              </w:rPr>
              <w:t>*</w:t>
            </w:r>
          </w:p>
        </w:tc>
        <w:tc>
          <w:tcPr>
            <w:tcW w:w="1275" w:type="dxa"/>
            <w:tcBorders>
              <w:right w:val="single" w:sz="4" w:space="0" w:color="FFFFFF" w:themeColor="background2"/>
            </w:tcBorders>
            <w:shd w:val="clear" w:color="auto" w:fill="auto"/>
          </w:tcPr>
          <w:p w14:paraId="04DBDF26" w14:textId="0B779196" w:rsidR="007B5E60" w:rsidRPr="00BB3221" w:rsidRDefault="007B5E60" w:rsidP="009C4ECB">
            <w:pPr>
              <w:spacing w:before="40" w:after="40"/>
              <w:jc w:val="right"/>
              <w:rPr>
                <w:rFonts w:cs="Arial"/>
                <w:b/>
                <w:bCs/>
                <w:color w:val="1C1C1C"/>
                <w:sz w:val="16"/>
                <w:szCs w:val="16"/>
              </w:rPr>
            </w:pPr>
            <w:r>
              <w:rPr>
                <w:rFonts w:cs="Arial"/>
                <w:color w:val="1C1C1C"/>
                <w:sz w:val="16"/>
                <w:szCs w:val="16"/>
              </w:rPr>
              <w:t>Phase</w:t>
            </w:r>
            <w:r w:rsidR="000D6040">
              <w:rPr>
                <w:rFonts w:cs="Arial"/>
                <w:color w:val="1C1C1C"/>
                <w:sz w:val="16"/>
                <w:szCs w:val="16"/>
              </w:rPr>
              <w:t>s</w:t>
            </w:r>
          </w:p>
        </w:tc>
        <w:tc>
          <w:tcPr>
            <w:tcW w:w="1353"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020C63CA" w14:textId="47A3BDB7" w:rsidR="007B5E60" w:rsidRPr="009940F3" w:rsidRDefault="007B5E60" w:rsidP="009C4ECB">
            <w:pPr>
              <w:spacing w:before="40" w:after="40"/>
              <w:jc w:val="right"/>
              <w:rPr>
                <w:rFonts w:cs="Arial"/>
                <w:color w:val="1C1C1C"/>
                <w:sz w:val="16"/>
                <w:szCs w:val="16"/>
              </w:rPr>
            </w:pPr>
            <w:r w:rsidRPr="00BB3221">
              <w:rPr>
                <w:rFonts w:cs="Arial"/>
                <w:color w:val="1C1C1C"/>
                <w:sz w:val="16"/>
                <w:szCs w:val="16"/>
              </w:rPr>
              <w:t>3,</w:t>
            </w:r>
            <w:r w:rsidR="00017781">
              <w:rPr>
                <w:rFonts w:cs="Arial"/>
                <w:color w:val="1C1C1C"/>
                <w:sz w:val="16"/>
                <w:szCs w:val="16"/>
              </w:rPr>
              <w:t>733</w:t>
            </w:r>
          </w:p>
        </w:tc>
        <w:tc>
          <w:tcPr>
            <w:tcW w:w="1199"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305CEB97" w14:textId="6FB1F7B5" w:rsidR="007B5E60" w:rsidRPr="009940F3" w:rsidRDefault="007B5E60" w:rsidP="009C4ECB">
            <w:pPr>
              <w:spacing w:before="40" w:after="40"/>
              <w:jc w:val="right"/>
              <w:rPr>
                <w:rFonts w:cs="Arial"/>
                <w:color w:val="1C1C1C"/>
                <w:sz w:val="16"/>
                <w:szCs w:val="16"/>
              </w:rPr>
            </w:pPr>
            <w:r>
              <w:rPr>
                <w:rFonts w:cs="Arial"/>
                <w:color w:val="1C1C1C"/>
                <w:sz w:val="16"/>
                <w:szCs w:val="16"/>
              </w:rPr>
              <w:t>3</w:t>
            </w:r>
            <w:r w:rsidR="004B00CE">
              <w:rPr>
                <w:rFonts w:cs="Arial"/>
                <w:color w:val="1C1C1C"/>
                <w:sz w:val="16"/>
                <w:szCs w:val="16"/>
              </w:rPr>
              <w:t>0</w:t>
            </w:r>
          </w:p>
        </w:tc>
        <w:tc>
          <w:tcPr>
            <w:tcW w:w="127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77C6C3F7" w14:textId="1978DFFB" w:rsidR="007B5E60" w:rsidRPr="009940F3" w:rsidRDefault="007B5E60" w:rsidP="009C4ECB">
            <w:pPr>
              <w:spacing w:before="40" w:after="40"/>
              <w:jc w:val="right"/>
              <w:rPr>
                <w:rFonts w:cs="Arial"/>
                <w:color w:val="1C1C1C"/>
                <w:sz w:val="16"/>
                <w:szCs w:val="16"/>
              </w:rPr>
            </w:pPr>
            <w:r>
              <w:rPr>
                <w:rFonts w:cs="Arial"/>
                <w:color w:val="1C1C1C"/>
                <w:sz w:val="16"/>
                <w:szCs w:val="16"/>
              </w:rPr>
              <w:t>14</w:t>
            </w:r>
            <w:r w:rsidR="00C76C65">
              <w:rPr>
                <w:rFonts w:cs="Arial"/>
                <w:color w:val="1C1C1C"/>
                <w:sz w:val="16"/>
                <w:szCs w:val="16"/>
              </w:rPr>
              <w:t>1</w:t>
            </w:r>
          </w:p>
        </w:tc>
        <w:tc>
          <w:tcPr>
            <w:tcW w:w="1134"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1F58CFD9" w14:textId="325464F9" w:rsidR="007B5E60" w:rsidRPr="009940F3" w:rsidRDefault="007B5E60" w:rsidP="009C4ECB">
            <w:pPr>
              <w:spacing w:before="40" w:after="40"/>
              <w:jc w:val="right"/>
              <w:rPr>
                <w:rFonts w:cs="Arial"/>
                <w:color w:val="1C1C1C"/>
                <w:sz w:val="16"/>
                <w:szCs w:val="16"/>
              </w:rPr>
            </w:pPr>
            <w:r>
              <w:rPr>
                <w:rFonts w:cs="Arial"/>
                <w:color w:val="1C1C1C"/>
                <w:sz w:val="16"/>
                <w:szCs w:val="16"/>
              </w:rPr>
              <w:t>1</w:t>
            </w:r>
          </w:p>
        </w:tc>
        <w:tc>
          <w:tcPr>
            <w:tcW w:w="1134"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2D2A67B6" w14:textId="40B1F9FE" w:rsidR="007B5E60" w:rsidRPr="009940F3" w:rsidRDefault="007B5E60" w:rsidP="009C4ECB">
            <w:pPr>
              <w:spacing w:before="40" w:after="40"/>
              <w:jc w:val="right"/>
              <w:rPr>
                <w:rFonts w:cs="Arial"/>
                <w:color w:val="1C1C1C"/>
                <w:sz w:val="16"/>
                <w:szCs w:val="16"/>
              </w:rPr>
            </w:pPr>
            <w:r>
              <w:rPr>
                <w:rFonts w:cs="Arial"/>
                <w:color w:val="1C1C1C"/>
                <w:sz w:val="16"/>
                <w:szCs w:val="16"/>
              </w:rPr>
              <w:t>N/A</w:t>
            </w:r>
            <w:r w:rsidR="00111566">
              <w:rPr>
                <w:rFonts w:cs="Arial"/>
                <w:color w:val="1C1C1C"/>
                <w:sz w:val="16"/>
                <w:szCs w:val="16"/>
              </w:rPr>
              <w:t>*</w:t>
            </w:r>
            <w:r w:rsidR="00E47F82">
              <w:rPr>
                <w:rFonts w:cs="Arial"/>
                <w:color w:val="1C1C1C"/>
                <w:sz w:val="16"/>
                <w:szCs w:val="16"/>
              </w:rPr>
              <w:t>*</w:t>
            </w:r>
          </w:p>
        </w:tc>
      </w:tr>
      <w:tr w:rsidR="001D16C6" w:rsidRPr="00C219EA" w14:paraId="3346C348" w14:textId="77777777" w:rsidTr="001D16C6">
        <w:trPr>
          <w:cnfStyle w:val="000000100000" w:firstRow="0" w:lastRow="0" w:firstColumn="0" w:lastColumn="0" w:oddVBand="0" w:evenVBand="0" w:oddHBand="1" w:evenHBand="0" w:firstRowFirstColumn="0" w:firstRowLastColumn="0" w:lastRowFirstColumn="0" w:lastRowLastColumn="0"/>
          <w:trHeight w:val="19"/>
          <w:jc w:val="center"/>
        </w:trPr>
        <w:tc>
          <w:tcPr>
            <w:tcW w:w="2269" w:type="dxa"/>
            <w:vMerge/>
            <w:tcBorders>
              <w:right w:val="single" w:sz="4" w:space="0" w:color="FFFFFF" w:themeColor="background2"/>
            </w:tcBorders>
            <w:vAlign w:val="center"/>
          </w:tcPr>
          <w:p w14:paraId="63A50269" w14:textId="77777777" w:rsidR="007B5E60" w:rsidRPr="009940F3" w:rsidRDefault="007B5E60" w:rsidP="009C4ECB">
            <w:pPr>
              <w:spacing w:before="40" w:after="40"/>
              <w:rPr>
                <w:rFonts w:cs="Arial"/>
                <w:color w:val="1C1C1C"/>
                <w:sz w:val="16"/>
                <w:szCs w:val="16"/>
              </w:rPr>
            </w:pPr>
          </w:p>
        </w:tc>
        <w:tc>
          <w:tcPr>
            <w:tcW w:w="1275" w:type="dxa"/>
            <w:tcBorders>
              <w:right w:val="single" w:sz="4" w:space="0" w:color="FFFFFF" w:themeColor="background2"/>
            </w:tcBorders>
            <w:shd w:val="clear" w:color="auto" w:fill="auto"/>
          </w:tcPr>
          <w:p w14:paraId="4C5A517B" w14:textId="0438E681" w:rsidR="007B5E60" w:rsidRPr="00BB3221" w:rsidRDefault="007B5E60" w:rsidP="009C4ECB">
            <w:pPr>
              <w:spacing w:before="40" w:after="40"/>
              <w:jc w:val="right"/>
              <w:rPr>
                <w:rFonts w:cs="Arial"/>
                <w:b/>
                <w:bCs/>
                <w:color w:val="1C1C1C"/>
                <w:sz w:val="16"/>
                <w:szCs w:val="16"/>
              </w:rPr>
            </w:pPr>
            <w:r>
              <w:rPr>
                <w:rFonts w:cs="Arial"/>
                <w:color w:val="1C1C1C"/>
                <w:sz w:val="16"/>
                <w:szCs w:val="16"/>
              </w:rPr>
              <w:t>Episode</w:t>
            </w:r>
            <w:r w:rsidR="000D6040">
              <w:rPr>
                <w:rFonts w:cs="Arial"/>
                <w:color w:val="1C1C1C"/>
                <w:sz w:val="16"/>
                <w:szCs w:val="16"/>
              </w:rPr>
              <w:t>s</w:t>
            </w:r>
          </w:p>
        </w:tc>
        <w:tc>
          <w:tcPr>
            <w:tcW w:w="1353" w:type="dxa"/>
            <w:tcBorders>
              <w:left w:val="single" w:sz="4" w:space="0" w:color="FFFFFF" w:themeColor="background2"/>
              <w:right w:val="single" w:sz="4" w:space="0" w:color="FFFFFF" w:themeColor="background2"/>
            </w:tcBorders>
            <w:shd w:val="clear" w:color="auto" w:fill="F2F2F2" w:themeFill="accent6" w:themeFillShade="F2"/>
            <w:vAlign w:val="center"/>
          </w:tcPr>
          <w:p w14:paraId="3FF4C5A2" w14:textId="0F914E51" w:rsidR="007B5E60" w:rsidRPr="00BB3221" w:rsidRDefault="007B5E60" w:rsidP="009C4ECB">
            <w:pPr>
              <w:spacing w:line="240" w:lineRule="auto"/>
              <w:jc w:val="right"/>
              <w:rPr>
                <w:rFonts w:cs="Arial"/>
                <w:b/>
                <w:bCs/>
                <w:color w:val="auto"/>
                <w:sz w:val="18"/>
                <w:szCs w:val="18"/>
              </w:rPr>
            </w:pPr>
            <w:r>
              <w:rPr>
                <w:rFonts w:cs="Arial"/>
                <w:color w:val="1C1C1C"/>
                <w:sz w:val="16"/>
                <w:szCs w:val="16"/>
              </w:rPr>
              <w:t>145</w:t>
            </w:r>
          </w:p>
        </w:tc>
        <w:tc>
          <w:tcPr>
            <w:tcW w:w="1199" w:type="dxa"/>
            <w:tcBorders>
              <w:left w:val="single" w:sz="4" w:space="0" w:color="FFFFFF" w:themeColor="background2"/>
              <w:right w:val="single" w:sz="4" w:space="0" w:color="FFFFFF" w:themeColor="background2"/>
            </w:tcBorders>
            <w:shd w:val="clear" w:color="auto" w:fill="F2F2F2" w:themeFill="accent6" w:themeFillShade="F2"/>
            <w:vAlign w:val="center"/>
          </w:tcPr>
          <w:p w14:paraId="2C4EAB8C" w14:textId="3A871E3C" w:rsidR="007B5E60" w:rsidRPr="009940F3" w:rsidRDefault="007B5E60" w:rsidP="009C4ECB">
            <w:pPr>
              <w:spacing w:before="40" w:after="40"/>
              <w:jc w:val="right"/>
              <w:rPr>
                <w:rFonts w:cs="Arial"/>
                <w:color w:val="1C1C1C"/>
                <w:sz w:val="16"/>
                <w:szCs w:val="16"/>
              </w:rPr>
            </w:pPr>
            <w:r>
              <w:rPr>
                <w:rFonts w:cs="Arial"/>
                <w:color w:val="1C1C1C"/>
                <w:sz w:val="16"/>
                <w:szCs w:val="16"/>
              </w:rPr>
              <w:t>2</w:t>
            </w:r>
          </w:p>
        </w:tc>
        <w:tc>
          <w:tcPr>
            <w:tcW w:w="1275" w:type="dxa"/>
            <w:tcBorders>
              <w:left w:val="single" w:sz="4" w:space="0" w:color="FFFFFF" w:themeColor="background2"/>
              <w:right w:val="single" w:sz="4" w:space="0" w:color="FFFFFF" w:themeColor="background2"/>
            </w:tcBorders>
            <w:shd w:val="clear" w:color="auto" w:fill="F2F2F2" w:themeFill="accent6" w:themeFillShade="F2"/>
            <w:vAlign w:val="center"/>
          </w:tcPr>
          <w:p w14:paraId="6117EF93" w14:textId="697BD2E7" w:rsidR="007B5E60" w:rsidRPr="009940F3" w:rsidRDefault="007B5E60" w:rsidP="009C4ECB">
            <w:pPr>
              <w:spacing w:before="40" w:after="40"/>
              <w:jc w:val="right"/>
              <w:rPr>
                <w:rFonts w:cs="Arial"/>
                <w:color w:val="1C1C1C"/>
                <w:sz w:val="16"/>
                <w:szCs w:val="16"/>
              </w:rPr>
            </w:pPr>
            <w:r>
              <w:rPr>
                <w:rFonts w:cs="Arial"/>
                <w:color w:val="1C1C1C"/>
                <w:sz w:val="16"/>
                <w:szCs w:val="16"/>
              </w:rPr>
              <w:t>141</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6E4ED2CF" w14:textId="0F70683C" w:rsidR="007B5E60" w:rsidRPr="009940F3" w:rsidRDefault="007B5E60" w:rsidP="009C4ECB">
            <w:pPr>
              <w:spacing w:before="40" w:after="40"/>
              <w:jc w:val="right"/>
              <w:rPr>
                <w:rFonts w:cs="Arial"/>
                <w:color w:val="1C1C1C"/>
                <w:sz w:val="16"/>
                <w:szCs w:val="16"/>
              </w:rPr>
            </w:pPr>
            <w:r>
              <w:rPr>
                <w:rFonts w:cs="Arial"/>
                <w:color w:val="1C1C1C"/>
                <w:sz w:val="16"/>
                <w:szCs w:val="16"/>
              </w:rPr>
              <w:t>2</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60FA4B6E" w14:textId="48B96789" w:rsidR="007B5E60" w:rsidRPr="009940F3" w:rsidRDefault="007B5E60" w:rsidP="009C4ECB">
            <w:pPr>
              <w:spacing w:before="40" w:after="40"/>
              <w:jc w:val="right"/>
              <w:rPr>
                <w:rFonts w:cs="Arial"/>
                <w:color w:val="1C1C1C"/>
                <w:sz w:val="16"/>
                <w:szCs w:val="16"/>
              </w:rPr>
            </w:pPr>
            <w:r>
              <w:rPr>
                <w:rFonts w:cs="Arial"/>
                <w:color w:val="1C1C1C"/>
                <w:sz w:val="16"/>
                <w:szCs w:val="16"/>
              </w:rPr>
              <w:t>N/A</w:t>
            </w:r>
            <w:r w:rsidR="00111566">
              <w:rPr>
                <w:rFonts w:cs="Arial"/>
                <w:color w:val="1C1C1C"/>
                <w:sz w:val="16"/>
                <w:szCs w:val="16"/>
              </w:rPr>
              <w:t>*</w:t>
            </w:r>
            <w:r w:rsidR="00E47F82">
              <w:rPr>
                <w:rFonts w:cs="Arial"/>
                <w:color w:val="1C1C1C"/>
                <w:sz w:val="16"/>
                <w:szCs w:val="16"/>
              </w:rPr>
              <w:t>*</w:t>
            </w:r>
          </w:p>
        </w:tc>
      </w:tr>
      <w:tr w:rsidR="001D16C6" w:rsidRPr="00C219EA" w14:paraId="78AE151E" w14:textId="77777777" w:rsidTr="001D16C6">
        <w:trPr>
          <w:cnfStyle w:val="000000010000" w:firstRow="0" w:lastRow="0" w:firstColumn="0" w:lastColumn="0" w:oddVBand="0" w:evenVBand="0" w:oddHBand="0" w:evenHBand="1" w:firstRowFirstColumn="0" w:firstRowLastColumn="0" w:lastRowFirstColumn="0" w:lastRowLastColumn="0"/>
          <w:trHeight w:val="19"/>
          <w:jc w:val="center"/>
        </w:trPr>
        <w:tc>
          <w:tcPr>
            <w:tcW w:w="2269" w:type="dxa"/>
            <w:vMerge w:val="restart"/>
            <w:tcBorders>
              <w:right w:val="single" w:sz="4" w:space="0" w:color="FFFFFF" w:themeColor="background2"/>
            </w:tcBorders>
            <w:vAlign w:val="center"/>
          </w:tcPr>
          <w:p w14:paraId="2B9DF0DB" w14:textId="112D365B" w:rsidR="007B5E60" w:rsidRPr="009940F3" w:rsidRDefault="007B5E60" w:rsidP="00B8220E">
            <w:pPr>
              <w:spacing w:before="40" w:after="40"/>
              <w:rPr>
                <w:rFonts w:cs="Arial"/>
                <w:color w:val="1C1C1C"/>
                <w:sz w:val="16"/>
                <w:szCs w:val="16"/>
              </w:rPr>
            </w:pPr>
            <w:r w:rsidRPr="00FF6940">
              <w:rPr>
                <w:rFonts w:cs="Arial"/>
                <w:color w:val="1C1C1C"/>
                <w:sz w:val="16"/>
                <w:szCs w:val="16"/>
              </w:rPr>
              <w:t>Other</w:t>
            </w:r>
            <w:r w:rsidR="0005691A">
              <w:rPr>
                <w:rFonts w:cs="Arial"/>
                <w:color w:val="1C1C1C"/>
                <w:sz w:val="16"/>
                <w:szCs w:val="16"/>
              </w:rPr>
              <w:t>*</w:t>
            </w:r>
          </w:p>
        </w:tc>
        <w:tc>
          <w:tcPr>
            <w:tcW w:w="1275" w:type="dxa"/>
            <w:tcBorders>
              <w:right w:val="single" w:sz="4" w:space="0" w:color="FFFFFF" w:themeColor="background2"/>
            </w:tcBorders>
            <w:shd w:val="clear" w:color="auto" w:fill="auto"/>
          </w:tcPr>
          <w:p w14:paraId="652DC2E5" w14:textId="3E5D21E4"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Episode</w:t>
            </w:r>
            <w:r w:rsidR="000D6040">
              <w:rPr>
                <w:rFonts w:cs="Arial"/>
                <w:color w:val="1C1C1C"/>
                <w:sz w:val="16"/>
                <w:szCs w:val="16"/>
              </w:rPr>
              <w:t>s</w:t>
            </w:r>
          </w:p>
        </w:tc>
        <w:tc>
          <w:tcPr>
            <w:tcW w:w="1353" w:type="dxa"/>
            <w:tcBorders>
              <w:left w:val="single" w:sz="4" w:space="0" w:color="FFFFFF" w:themeColor="background2"/>
              <w:right w:val="single" w:sz="4" w:space="0" w:color="FFFFFF" w:themeColor="background2"/>
            </w:tcBorders>
            <w:shd w:val="clear" w:color="auto" w:fill="F2F2F2" w:themeFill="accent6" w:themeFillShade="F2"/>
            <w:vAlign w:val="center"/>
          </w:tcPr>
          <w:p w14:paraId="279AB405" w14:textId="3CF7E9A6" w:rsidR="007B5E60" w:rsidRPr="008D2075" w:rsidRDefault="007B5E60" w:rsidP="00B8220E">
            <w:pPr>
              <w:spacing w:before="40" w:after="40"/>
              <w:jc w:val="right"/>
              <w:rPr>
                <w:rFonts w:cs="Arial"/>
                <w:color w:val="1C1C1C"/>
                <w:sz w:val="16"/>
                <w:szCs w:val="16"/>
              </w:rPr>
            </w:pPr>
            <w:r w:rsidRPr="008D2075">
              <w:rPr>
                <w:rFonts w:cs="Arial"/>
                <w:color w:val="1C1C1C"/>
                <w:sz w:val="16"/>
                <w:szCs w:val="16"/>
              </w:rPr>
              <w:t>32,280</w:t>
            </w:r>
          </w:p>
        </w:tc>
        <w:tc>
          <w:tcPr>
            <w:tcW w:w="1199" w:type="dxa"/>
            <w:tcBorders>
              <w:left w:val="single" w:sz="4" w:space="0" w:color="FFFFFF" w:themeColor="background2"/>
              <w:right w:val="single" w:sz="4" w:space="0" w:color="FFFFFF" w:themeColor="background2"/>
            </w:tcBorders>
            <w:shd w:val="clear" w:color="auto" w:fill="F2F2F2" w:themeFill="accent6" w:themeFillShade="F2"/>
            <w:vAlign w:val="center"/>
          </w:tcPr>
          <w:p w14:paraId="74F8DBB6" w14:textId="0DCB5BDA" w:rsidR="007B5E60" w:rsidRPr="008D2075" w:rsidRDefault="007B5E60" w:rsidP="00B8220E">
            <w:pPr>
              <w:spacing w:before="40" w:after="40"/>
              <w:jc w:val="right"/>
              <w:rPr>
                <w:rFonts w:cs="Arial"/>
                <w:color w:val="1C1C1C"/>
                <w:sz w:val="16"/>
                <w:szCs w:val="16"/>
              </w:rPr>
            </w:pPr>
            <w:r w:rsidRPr="008D2075">
              <w:rPr>
                <w:rFonts w:cs="Arial"/>
                <w:color w:val="1C1C1C"/>
                <w:sz w:val="16"/>
                <w:szCs w:val="16"/>
              </w:rPr>
              <w:t>105</w:t>
            </w:r>
          </w:p>
        </w:tc>
        <w:tc>
          <w:tcPr>
            <w:tcW w:w="1275" w:type="dxa"/>
            <w:tcBorders>
              <w:left w:val="single" w:sz="4" w:space="0" w:color="FFFFFF" w:themeColor="background2"/>
              <w:right w:val="single" w:sz="4" w:space="0" w:color="FFFFFF" w:themeColor="background2"/>
            </w:tcBorders>
            <w:shd w:val="clear" w:color="auto" w:fill="F2F2F2" w:themeFill="accent6" w:themeFillShade="F2"/>
            <w:vAlign w:val="center"/>
          </w:tcPr>
          <w:p w14:paraId="0A11C24B" w14:textId="4D8F65CE" w:rsidR="007B5E60" w:rsidRPr="009940F3" w:rsidRDefault="007B5E60" w:rsidP="00B8220E">
            <w:pPr>
              <w:spacing w:before="40" w:after="40"/>
              <w:jc w:val="right"/>
              <w:rPr>
                <w:rFonts w:cs="Arial"/>
                <w:color w:val="1C1C1C"/>
                <w:sz w:val="16"/>
                <w:szCs w:val="16"/>
              </w:rPr>
            </w:pPr>
            <w:r w:rsidRPr="004716F4">
              <w:rPr>
                <w:rFonts w:cs="Arial"/>
                <w:color w:val="1C1C1C"/>
                <w:sz w:val="16"/>
                <w:szCs w:val="16"/>
              </w:rPr>
              <w:t>15,6</w:t>
            </w:r>
            <w:r w:rsidRPr="006421E6">
              <w:rPr>
                <w:rFonts w:cs="Arial"/>
                <w:color w:val="1C1C1C"/>
                <w:sz w:val="16"/>
                <w:szCs w:val="16"/>
              </w:rPr>
              <w:t>64</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66575D62" w14:textId="11415EBD" w:rsidR="007B5E60" w:rsidRPr="009940F3" w:rsidRDefault="007B5E60" w:rsidP="00B8220E">
            <w:pPr>
              <w:spacing w:before="40" w:after="40"/>
              <w:jc w:val="right"/>
              <w:rPr>
                <w:rFonts w:cs="Arial"/>
                <w:color w:val="1C1C1C"/>
                <w:sz w:val="16"/>
                <w:szCs w:val="16"/>
              </w:rPr>
            </w:pPr>
            <w:r w:rsidRPr="004716F4">
              <w:rPr>
                <w:rFonts w:cs="Arial"/>
                <w:color w:val="1C1C1C"/>
                <w:sz w:val="16"/>
                <w:szCs w:val="16"/>
              </w:rPr>
              <w:t>1</w:t>
            </w:r>
            <w:r w:rsidRPr="006421E6">
              <w:rPr>
                <w:rFonts w:cs="Arial"/>
                <w:color w:val="1C1C1C"/>
                <w:sz w:val="16"/>
                <w:szCs w:val="16"/>
              </w:rPr>
              <w:t>9</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40A663E6" w14:textId="1B89ED54"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1,</w:t>
            </w:r>
            <w:r>
              <w:rPr>
                <w:rFonts w:cs="Arial"/>
                <w:color w:val="1C1C1C"/>
                <w:sz w:val="16"/>
                <w:szCs w:val="16"/>
              </w:rPr>
              <w:t>215</w:t>
            </w:r>
            <w:r w:rsidR="00111566">
              <w:rPr>
                <w:rFonts w:cs="Arial"/>
                <w:color w:val="1C1C1C"/>
                <w:sz w:val="16"/>
                <w:szCs w:val="16"/>
              </w:rPr>
              <w:t>*</w:t>
            </w:r>
          </w:p>
        </w:tc>
      </w:tr>
      <w:tr w:rsidR="001D16C6" w:rsidRPr="00C219EA" w14:paraId="25B964CE" w14:textId="77777777" w:rsidTr="001D16C6">
        <w:trPr>
          <w:cnfStyle w:val="000000100000" w:firstRow="0" w:lastRow="0" w:firstColumn="0" w:lastColumn="0" w:oddVBand="0" w:evenVBand="0" w:oddHBand="1" w:evenHBand="0" w:firstRowFirstColumn="0" w:firstRowLastColumn="0" w:lastRowFirstColumn="0" w:lastRowLastColumn="0"/>
          <w:trHeight w:val="19"/>
          <w:jc w:val="center"/>
        </w:trPr>
        <w:tc>
          <w:tcPr>
            <w:tcW w:w="2269" w:type="dxa"/>
            <w:vMerge/>
            <w:tcBorders>
              <w:right w:val="single" w:sz="4" w:space="0" w:color="FFFFFF" w:themeColor="background2"/>
            </w:tcBorders>
            <w:vAlign w:val="center"/>
          </w:tcPr>
          <w:p w14:paraId="184B3406" w14:textId="77777777" w:rsidR="007B5E60" w:rsidRPr="009940F3" w:rsidRDefault="007B5E60" w:rsidP="00B8220E">
            <w:pPr>
              <w:spacing w:before="40" w:after="40"/>
              <w:rPr>
                <w:rFonts w:cs="Arial"/>
                <w:color w:val="1C1C1C"/>
                <w:sz w:val="16"/>
                <w:szCs w:val="16"/>
              </w:rPr>
            </w:pPr>
          </w:p>
        </w:tc>
        <w:tc>
          <w:tcPr>
            <w:tcW w:w="1275" w:type="dxa"/>
            <w:tcBorders>
              <w:right w:val="single" w:sz="4" w:space="0" w:color="FFFFFF" w:themeColor="background2"/>
            </w:tcBorders>
            <w:shd w:val="clear" w:color="auto" w:fill="auto"/>
          </w:tcPr>
          <w:p w14:paraId="181783E1" w14:textId="4992FAE4"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Phase</w:t>
            </w:r>
            <w:r w:rsidR="000D6040">
              <w:rPr>
                <w:rFonts w:cs="Arial"/>
                <w:color w:val="1C1C1C"/>
                <w:sz w:val="16"/>
                <w:szCs w:val="16"/>
              </w:rPr>
              <w:t>s</w:t>
            </w:r>
          </w:p>
        </w:tc>
        <w:tc>
          <w:tcPr>
            <w:tcW w:w="1353" w:type="dxa"/>
            <w:tcBorders>
              <w:left w:val="single" w:sz="4" w:space="0" w:color="FFFFFF" w:themeColor="background2"/>
              <w:right w:val="single" w:sz="4" w:space="0" w:color="FFFFFF" w:themeColor="background2"/>
            </w:tcBorders>
            <w:shd w:val="clear" w:color="auto" w:fill="F2F2F2" w:themeFill="accent6" w:themeFillShade="F2"/>
            <w:vAlign w:val="center"/>
          </w:tcPr>
          <w:p w14:paraId="592AFCF8" w14:textId="1B14B661" w:rsidR="007B5E60" w:rsidRPr="008D2075" w:rsidRDefault="007B5E60" w:rsidP="00B8220E">
            <w:pPr>
              <w:spacing w:before="40" w:after="40"/>
              <w:jc w:val="right"/>
              <w:rPr>
                <w:rFonts w:cs="Arial"/>
                <w:color w:val="1C1C1C"/>
                <w:sz w:val="16"/>
                <w:szCs w:val="16"/>
              </w:rPr>
            </w:pPr>
            <w:r w:rsidRPr="008D2075">
              <w:rPr>
                <w:rFonts w:cs="Arial"/>
                <w:color w:val="1C1C1C"/>
                <w:sz w:val="16"/>
                <w:szCs w:val="16"/>
              </w:rPr>
              <w:t>121</w:t>
            </w:r>
          </w:p>
        </w:tc>
        <w:tc>
          <w:tcPr>
            <w:tcW w:w="1199" w:type="dxa"/>
            <w:tcBorders>
              <w:left w:val="single" w:sz="4" w:space="0" w:color="FFFFFF" w:themeColor="background2"/>
              <w:right w:val="single" w:sz="4" w:space="0" w:color="FFFFFF" w:themeColor="background2"/>
            </w:tcBorders>
            <w:shd w:val="clear" w:color="auto" w:fill="F2F2F2" w:themeFill="accent6" w:themeFillShade="F2"/>
            <w:vAlign w:val="center"/>
          </w:tcPr>
          <w:p w14:paraId="613792B4" w14:textId="04A55C12" w:rsidR="007B5E60" w:rsidRPr="008D2075" w:rsidRDefault="007B5E60" w:rsidP="00B8220E">
            <w:pPr>
              <w:spacing w:before="40" w:after="40"/>
              <w:jc w:val="right"/>
              <w:rPr>
                <w:rFonts w:cs="Arial"/>
                <w:color w:val="1C1C1C"/>
                <w:sz w:val="16"/>
                <w:szCs w:val="16"/>
              </w:rPr>
            </w:pPr>
            <w:r w:rsidRPr="008D2075">
              <w:rPr>
                <w:rFonts w:cs="Arial"/>
                <w:color w:val="1C1C1C"/>
                <w:sz w:val="16"/>
                <w:szCs w:val="16"/>
              </w:rPr>
              <w:t>0.4</w:t>
            </w:r>
          </w:p>
        </w:tc>
        <w:tc>
          <w:tcPr>
            <w:tcW w:w="1275" w:type="dxa"/>
            <w:tcBorders>
              <w:left w:val="single" w:sz="4" w:space="0" w:color="FFFFFF" w:themeColor="background2"/>
              <w:right w:val="single" w:sz="4" w:space="0" w:color="FFFFFF" w:themeColor="background2"/>
            </w:tcBorders>
            <w:shd w:val="clear" w:color="auto" w:fill="F2F2F2" w:themeFill="accent6" w:themeFillShade="F2"/>
            <w:vAlign w:val="center"/>
          </w:tcPr>
          <w:p w14:paraId="2C03F0B6" w14:textId="56C9C4D4"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0</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2E36507B" w14:textId="1590CBE4"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0</w:t>
            </w:r>
          </w:p>
        </w:tc>
        <w:tc>
          <w:tcPr>
            <w:tcW w:w="1134" w:type="dxa"/>
            <w:tcBorders>
              <w:left w:val="single" w:sz="4" w:space="0" w:color="FFFFFF" w:themeColor="background2"/>
              <w:right w:val="single" w:sz="4" w:space="0" w:color="FFFFFF" w:themeColor="background2"/>
            </w:tcBorders>
            <w:shd w:val="clear" w:color="auto" w:fill="F2F2F2" w:themeFill="accent6" w:themeFillShade="F2"/>
            <w:vAlign w:val="center"/>
          </w:tcPr>
          <w:p w14:paraId="74BA5AC4" w14:textId="6EEA9941" w:rsidR="007B5E60" w:rsidRPr="009940F3" w:rsidRDefault="007B5E60" w:rsidP="00B8220E">
            <w:pPr>
              <w:spacing w:before="40" w:after="40"/>
              <w:jc w:val="right"/>
              <w:rPr>
                <w:rFonts w:cs="Arial"/>
                <w:color w:val="1C1C1C"/>
                <w:sz w:val="16"/>
                <w:szCs w:val="16"/>
              </w:rPr>
            </w:pPr>
            <w:r w:rsidRPr="009940F3">
              <w:rPr>
                <w:rFonts w:cs="Arial"/>
                <w:color w:val="1C1C1C"/>
                <w:sz w:val="16"/>
                <w:szCs w:val="16"/>
              </w:rPr>
              <w:t>0</w:t>
            </w:r>
          </w:p>
        </w:tc>
      </w:tr>
    </w:tbl>
    <w:p w14:paraId="16E7C353" w14:textId="398FD248" w:rsidR="00356E77" w:rsidRPr="00F25099" w:rsidRDefault="0005691A" w:rsidP="000F6E8B">
      <w:pPr>
        <w:spacing w:before="40"/>
        <w:rPr>
          <w:rFonts w:cs="Arial"/>
          <w:sz w:val="18"/>
          <w:szCs w:val="18"/>
        </w:rPr>
      </w:pPr>
      <w:r>
        <w:rPr>
          <w:rFonts w:cs="Arial"/>
          <w:i/>
          <w:iCs/>
          <w:sz w:val="18"/>
          <w:szCs w:val="18"/>
        </w:rPr>
        <w:t>*</w:t>
      </w:r>
      <w:r w:rsidR="001D16C6" w:rsidRPr="00F25099">
        <w:rPr>
          <w:rFonts w:cs="Arial"/>
          <w:i/>
          <w:iCs/>
          <w:sz w:val="18"/>
          <w:szCs w:val="18"/>
        </w:rPr>
        <w:t>Note:</w:t>
      </w:r>
      <w:r w:rsidR="001D16C6">
        <w:rPr>
          <w:rFonts w:cs="Arial"/>
          <w:sz w:val="18"/>
          <w:szCs w:val="18"/>
        </w:rPr>
        <w:t xml:space="preserve"> T</w:t>
      </w:r>
      <w:r w:rsidR="001D16C6" w:rsidRPr="00F25099">
        <w:rPr>
          <w:rFonts w:cs="Arial"/>
          <w:sz w:val="18"/>
          <w:szCs w:val="18"/>
        </w:rPr>
        <w:t xml:space="preserve">he ‘other’ includes research, teaching and training, other admitted patient care, and organ procurement. The ‘ungroupable mental health’ refers to record without a valid end-class. </w:t>
      </w:r>
      <w:r w:rsidR="00E47F82">
        <w:rPr>
          <w:rFonts w:cs="Arial"/>
          <w:sz w:val="18"/>
          <w:szCs w:val="18"/>
        </w:rPr>
        <w:t>**</w:t>
      </w:r>
      <w:r w:rsidR="00111566">
        <w:rPr>
          <w:rFonts w:cs="Arial"/>
          <w:sz w:val="18"/>
          <w:szCs w:val="18"/>
        </w:rPr>
        <w:t>Further information is provided in chapter 7</w:t>
      </w:r>
      <w:r w:rsidR="00E47F82">
        <w:rPr>
          <w:rFonts w:cs="Arial"/>
          <w:sz w:val="18"/>
          <w:szCs w:val="18"/>
        </w:rPr>
        <w:t>.</w:t>
      </w:r>
    </w:p>
    <w:p w14:paraId="21BAD588" w14:textId="46095A71" w:rsidR="007261EA" w:rsidRDefault="007261EA" w:rsidP="00A47745">
      <w:pPr>
        <w:pStyle w:val="Heading3"/>
        <w:rPr>
          <w:sz w:val="28"/>
          <w:szCs w:val="28"/>
        </w:rPr>
      </w:pPr>
      <w:r w:rsidRPr="000F21B4">
        <w:rPr>
          <w:sz w:val="28"/>
          <w:szCs w:val="28"/>
        </w:rPr>
        <w:lastRenderedPageBreak/>
        <w:t>Activity stream summary</w:t>
      </w:r>
      <w:bookmarkEnd w:id="20"/>
      <w:bookmarkEnd w:id="21"/>
      <w:bookmarkEnd w:id="22"/>
      <w:bookmarkEnd w:id="23"/>
      <w:bookmarkEnd w:id="24"/>
    </w:p>
    <w:p w14:paraId="094BCCE0" w14:textId="4380C50B" w:rsidR="0087038A" w:rsidRPr="0087038A" w:rsidRDefault="00E6386A" w:rsidP="0087038A">
      <w:r>
        <w:rPr>
          <w:rFonts w:cs="Arial"/>
        </w:rPr>
        <w:t>Data that is</w:t>
      </w:r>
      <w:r w:rsidR="006061C4" w:rsidRPr="00A42FF4">
        <w:rPr>
          <w:rFonts w:cs="Arial"/>
        </w:rPr>
        <w:t xml:space="preserve"> in</w:t>
      </w:r>
      <w:r w:rsidR="00CF761A">
        <w:rPr>
          <w:rFonts w:cs="Arial"/>
        </w:rPr>
        <w:t xml:space="preserve"> </w:t>
      </w:r>
      <w:r w:rsidR="006061C4" w:rsidRPr="00A42FF4">
        <w:rPr>
          <w:rFonts w:cs="Arial"/>
        </w:rPr>
        <w:t xml:space="preserve">scope for the NHCDC </w:t>
      </w:r>
      <w:r w:rsidR="006061C4" w:rsidRPr="00A42FF4">
        <w:rPr>
          <w:rFonts w:cstheme="majorBidi"/>
          <w:lang w:val="en-PH"/>
        </w:rPr>
        <w:t>2022-23</w:t>
      </w:r>
      <w:r w:rsidR="006061C4" w:rsidRPr="00A42FF4">
        <w:rPr>
          <w:rFonts w:cs="Arial"/>
        </w:rPr>
        <w:t xml:space="preserve"> includes all patient level activity for publicly funded services, provided in public or private hospitals. For all </w:t>
      </w:r>
      <w:r w:rsidR="004C2C17">
        <w:t xml:space="preserve">in-scope </w:t>
      </w:r>
      <w:r w:rsidR="006061C4" w:rsidRPr="00A42FF4">
        <w:rPr>
          <w:rFonts w:cs="Arial"/>
        </w:rPr>
        <w:t xml:space="preserve">admitted activity, </w:t>
      </w:r>
      <w:r w:rsidR="006061C4" w:rsidRPr="001D16C6">
        <w:rPr>
          <w:rFonts w:cs="Arial"/>
        </w:rPr>
        <w:t xml:space="preserve">the episode or phase of care must </w:t>
      </w:r>
      <w:r w:rsidR="001D16C6" w:rsidRPr="00F25099">
        <w:rPr>
          <w:rFonts w:cs="Arial"/>
        </w:rPr>
        <w:t xml:space="preserve">be admitted from </w:t>
      </w:r>
      <w:r w:rsidR="001D16C6" w:rsidRPr="001D16C6">
        <w:rPr>
          <w:rFonts w:cs="Arial"/>
        </w:rPr>
        <w:t>1 July 2021</w:t>
      </w:r>
      <w:r w:rsidR="001B4A76">
        <w:rPr>
          <w:rFonts w:cs="Arial"/>
        </w:rPr>
        <w:t xml:space="preserve"> onwards</w:t>
      </w:r>
      <w:r w:rsidR="001D16C6" w:rsidRPr="001D16C6">
        <w:rPr>
          <w:rFonts w:cs="Arial"/>
        </w:rPr>
        <w:t xml:space="preserve"> and discharged</w:t>
      </w:r>
      <w:r w:rsidR="001D16C6" w:rsidRPr="00F25099">
        <w:rPr>
          <w:rFonts w:cs="Arial"/>
        </w:rPr>
        <w:t xml:space="preserve"> </w:t>
      </w:r>
      <w:r w:rsidR="006061C4" w:rsidRPr="001D16C6">
        <w:rPr>
          <w:rFonts w:cs="Arial"/>
        </w:rPr>
        <w:t xml:space="preserve">within the </w:t>
      </w:r>
      <w:r w:rsidR="006061C4" w:rsidRPr="001D16C6">
        <w:rPr>
          <w:rFonts w:cstheme="majorBidi"/>
          <w:lang w:val="en-PH"/>
        </w:rPr>
        <w:t>2022-23</w:t>
      </w:r>
      <w:r w:rsidR="006061C4" w:rsidRPr="001D16C6">
        <w:rPr>
          <w:rFonts w:cs="Arial"/>
        </w:rPr>
        <w:t xml:space="preserve"> financial year.</w:t>
      </w:r>
      <w:r w:rsidR="006061C4" w:rsidRPr="00A42FF4">
        <w:rPr>
          <w:rFonts w:cs="Arial"/>
        </w:rPr>
        <w:t xml:space="preserve"> </w:t>
      </w:r>
      <w:r w:rsidR="006F24F8" w:rsidRPr="006F24F8">
        <w:rPr>
          <w:rFonts w:cs="Arial"/>
        </w:rPr>
        <w:t xml:space="preserve">Admitted work in progress (WIP) episodes </w:t>
      </w:r>
      <w:r w:rsidR="00D33980">
        <w:rPr>
          <w:rFonts w:cs="Arial"/>
        </w:rPr>
        <w:t xml:space="preserve">with </w:t>
      </w:r>
      <w:r w:rsidR="006F24F8" w:rsidRPr="006F24F8">
        <w:rPr>
          <w:rFonts w:cs="Arial"/>
        </w:rPr>
        <w:t xml:space="preserve">an </w:t>
      </w:r>
      <w:r w:rsidR="000C540A">
        <w:rPr>
          <w:rFonts w:cs="Arial"/>
        </w:rPr>
        <w:t xml:space="preserve">admission </w:t>
      </w:r>
      <w:r w:rsidR="006F24F8" w:rsidRPr="006F24F8">
        <w:rPr>
          <w:rFonts w:cs="Arial"/>
        </w:rPr>
        <w:t xml:space="preserve">date before </w:t>
      </w:r>
      <w:r w:rsidR="000C540A">
        <w:rPr>
          <w:rFonts w:cs="Arial"/>
        </w:rPr>
        <w:t xml:space="preserve">1 July </w:t>
      </w:r>
      <w:r w:rsidR="006F24F8" w:rsidRPr="006F24F8">
        <w:rPr>
          <w:rFonts w:cs="Arial"/>
        </w:rPr>
        <w:t>202</w:t>
      </w:r>
      <w:r w:rsidR="000C540A">
        <w:rPr>
          <w:rFonts w:cs="Arial"/>
        </w:rPr>
        <w:t>1</w:t>
      </w:r>
      <w:r w:rsidR="006F24F8" w:rsidRPr="006F24F8">
        <w:rPr>
          <w:rFonts w:cs="Arial"/>
        </w:rPr>
        <w:t xml:space="preserve"> </w:t>
      </w:r>
      <w:r w:rsidR="00D33980">
        <w:rPr>
          <w:rFonts w:cs="Arial"/>
        </w:rPr>
        <w:t>and discharge date within the 2022-23 financial year are out of scope</w:t>
      </w:r>
      <w:r w:rsidR="00E623BE">
        <w:rPr>
          <w:rFonts w:cs="Arial"/>
        </w:rPr>
        <w:t xml:space="preserve"> for reporting. </w:t>
      </w:r>
      <w:r w:rsidR="001D16C6">
        <w:rPr>
          <w:rFonts w:cs="Arial"/>
        </w:rPr>
        <w:t>All c</w:t>
      </w:r>
      <w:r w:rsidR="001D16C6" w:rsidRPr="006F24F8">
        <w:rPr>
          <w:rFonts w:cs="Arial"/>
        </w:rPr>
        <w:t>ost</w:t>
      </w:r>
      <w:r w:rsidR="001D16C6">
        <w:rPr>
          <w:rFonts w:cs="Arial"/>
        </w:rPr>
        <w:t>s in the ‘exclude’ line item are</w:t>
      </w:r>
      <w:r w:rsidR="001D16C6" w:rsidRPr="006F24F8">
        <w:rPr>
          <w:rFonts w:cs="Arial"/>
        </w:rPr>
        <w:t xml:space="preserve"> out</w:t>
      </w:r>
      <w:r w:rsidR="001D16C6">
        <w:rPr>
          <w:rFonts w:cs="Arial"/>
        </w:rPr>
        <w:t xml:space="preserve"> </w:t>
      </w:r>
      <w:r w:rsidR="001D16C6" w:rsidRPr="006F24F8">
        <w:rPr>
          <w:rFonts w:cs="Arial"/>
        </w:rPr>
        <w:t>of</w:t>
      </w:r>
      <w:r w:rsidR="001D16C6">
        <w:rPr>
          <w:rFonts w:cs="Arial"/>
        </w:rPr>
        <w:t xml:space="preserve"> </w:t>
      </w:r>
      <w:r w:rsidR="001D16C6" w:rsidRPr="006F24F8">
        <w:rPr>
          <w:rFonts w:cs="Arial"/>
        </w:rPr>
        <w:t>scope for reporting</w:t>
      </w:r>
      <w:r w:rsidR="001D16C6">
        <w:rPr>
          <w:rFonts w:cs="Arial"/>
        </w:rPr>
        <w:t xml:space="preserve">, including </w:t>
      </w:r>
      <w:r w:rsidR="0005691A">
        <w:rPr>
          <w:rFonts w:cs="Arial"/>
        </w:rPr>
        <w:t>‘</w:t>
      </w:r>
      <w:r w:rsidR="001D16C6">
        <w:rPr>
          <w:rFonts w:cs="Arial"/>
        </w:rPr>
        <w:t>exclude</w:t>
      </w:r>
      <w:r w:rsidR="0005691A">
        <w:rPr>
          <w:rFonts w:cs="Arial"/>
        </w:rPr>
        <w:t>’</w:t>
      </w:r>
      <w:r w:rsidR="001D16C6">
        <w:rPr>
          <w:rFonts w:cs="Arial"/>
        </w:rPr>
        <w:t xml:space="preserve"> cost </w:t>
      </w:r>
      <w:r w:rsidR="0005691A">
        <w:rPr>
          <w:rFonts w:cs="Arial"/>
        </w:rPr>
        <w:t xml:space="preserve">associated with </w:t>
      </w:r>
      <w:r w:rsidR="001D16C6">
        <w:rPr>
          <w:rFonts w:cs="Arial"/>
        </w:rPr>
        <w:t xml:space="preserve">linked records. </w:t>
      </w:r>
      <w:r w:rsidR="0087038A">
        <w:t>The results that are in</w:t>
      </w:r>
      <w:r w:rsidR="000C540A">
        <w:t xml:space="preserve"> </w:t>
      </w:r>
      <w:r w:rsidR="0087038A">
        <w:t>scope are as follows.</w:t>
      </w:r>
    </w:p>
    <w:p w14:paraId="1AA1DEE8" w14:textId="254E5A59" w:rsidR="00923930" w:rsidRPr="00A42FF4" w:rsidRDefault="00923930" w:rsidP="008E788E">
      <w:pPr>
        <w:spacing w:line="276" w:lineRule="auto"/>
        <w:rPr>
          <w:rFonts w:cs="Arial"/>
        </w:rPr>
      </w:pPr>
      <w:r w:rsidRPr="00A42FF4">
        <w:rPr>
          <w:rFonts w:cs="Arial"/>
        </w:rPr>
        <w:t xml:space="preserve">The admitted acute stream </w:t>
      </w:r>
      <w:r w:rsidR="00204E81">
        <w:rPr>
          <w:rFonts w:cs="Arial"/>
        </w:rPr>
        <w:t>included</w:t>
      </w:r>
      <w:r w:rsidR="00204E81" w:rsidRPr="00A42FF4">
        <w:rPr>
          <w:rFonts w:cs="Arial"/>
        </w:rPr>
        <w:t xml:space="preserve"> </w:t>
      </w:r>
      <w:r w:rsidR="003D7F83" w:rsidRPr="00A42FF4">
        <w:rPr>
          <w:rFonts w:cs="Arial"/>
        </w:rPr>
        <w:t xml:space="preserve">6.5 </w:t>
      </w:r>
      <w:r w:rsidR="00AB625F" w:rsidRPr="00A42FF4">
        <w:rPr>
          <w:rFonts w:cs="Arial"/>
        </w:rPr>
        <w:t>million</w:t>
      </w:r>
      <w:r w:rsidRPr="00A42FF4">
        <w:rPr>
          <w:rFonts w:cs="Arial"/>
        </w:rPr>
        <w:t xml:space="preserve"> separations</w:t>
      </w:r>
      <w:r w:rsidR="00AB625F" w:rsidRPr="00A42FF4">
        <w:rPr>
          <w:rFonts w:cs="Arial"/>
        </w:rPr>
        <w:t xml:space="preserve"> with a cost of $</w:t>
      </w:r>
      <w:r w:rsidR="003D7F83" w:rsidRPr="00A42FF4">
        <w:rPr>
          <w:rFonts w:cs="Arial"/>
        </w:rPr>
        <w:t>40.</w:t>
      </w:r>
      <w:r w:rsidR="00D65648">
        <w:rPr>
          <w:rFonts w:cs="Arial"/>
        </w:rPr>
        <w:t>6</w:t>
      </w:r>
      <w:r w:rsidR="00AB625F" w:rsidRPr="00A42FF4">
        <w:rPr>
          <w:rFonts w:cs="Arial"/>
        </w:rPr>
        <w:t xml:space="preserve"> billion </w:t>
      </w:r>
      <w:r w:rsidRPr="00A42FF4">
        <w:rPr>
          <w:rFonts w:cs="Arial"/>
        </w:rPr>
        <w:t>nationally</w:t>
      </w:r>
      <w:r w:rsidR="00AB625F" w:rsidRPr="00A42FF4">
        <w:rPr>
          <w:rFonts w:cs="Arial"/>
        </w:rPr>
        <w:t xml:space="preserve"> in </w:t>
      </w:r>
      <w:r w:rsidR="003220FC" w:rsidRPr="00A42FF4">
        <w:rPr>
          <w:rFonts w:cstheme="majorBidi"/>
          <w:lang w:val="en-PH"/>
        </w:rPr>
        <w:t>2022</w:t>
      </w:r>
      <w:r w:rsidR="005F3987" w:rsidRPr="00A42FF4">
        <w:rPr>
          <w:rFonts w:cstheme="majorBidi"/>
          <w:lang w:val="en-PH"/>
        </w:rPr>
        <w:noBreakHyphen/>
      </w:r>
      <w:r w:rsidR="003220FC" w:rsidRPr="00A42FF4">
        <w:rPr>
          <w:rFonts w:cstheme="majorBidi"/>
          <w:lang w:val="en-PH"/>
        </w:rPr>
        <w:t>23</w:t>
      </w:r>
      <w:r w:rsidRPr="00A42FF4">
        <w:rPr>
          <w:rFonts w:cs="Arial"/>
        </w:rPr>
        <w:t xml:space="preserve">, </w:t>
      </w:r>
      <w:r w:rsidR="009A42AD" w:rsidRPr="00A42FF4">
        <w:rPr>
          <w:rFonts w:cs="Arial"/>
        </w:rPr>
        <w:t xml:space="preserve">a </w:t>
      </w:r>
      <w:r w:rsidR="00EF1660" w:rsidRPr="00A42FF4">
        <w:rPr>
          <w:rFonts w:cs="Arial"/>
        </w:rPr>
        <w:t>5</w:t>
      </w:r>
      <w:r w:rsidR="00897090" w:rsidRPr="00A42FF4">
        <w:rPr>
          <w:rFonts w:cs="Arial"/>
        </w:rPr>
        <w:t>%</w:t>
      </w:r>
      <w:r w:rsidR="00AB625F" w:rsidRPr="00A42FF4">
        <w:rPr>
          <w:rFonts w:cs="Arial"/>
        </w:rPr>
        <w:t xml:space="preserve"> </w:t>
      </w:r>
      <w:r w:rsidR="00EF1660" w:rsidRPr="00A42FF4">
        <w:rPr>
          <w:rFonts w:cs="Arial"/>
        </w:rPr>
        <w:t>in</w:t>
      </w:r>
      <w:r w:rsidR="00AB625F" w:rsidRPr="00A42FF4">
        <w:rPr>
          <w:rFonts w:cs="Arial"/>
        </w:rPr>
        <w:t xml:space="preserve">crease and </w:t>
      </w:r>
      <w:r w:rsidR="009A42AD" w:rsidRPr="00A42FF4">
        <w:rPr>
          <w:rFonts w:cs="Arial"/>
        </w:rPr>
        <w:t xml:space="preserve">a </w:t>
      </w:r>
      <w:r w:rsidR="00EF1660" w:rsidRPr="00A42FF4">
        <w:rPr>
          <w:rFonts w:cs="Arial"/>
        </w:rPr>
        <w:t>12</w:t>
      </w:r>
      <w:r w:rsidR="00897090" w:rsidRPr="00A42FF4">
        <w:rPr>
          <w:rFonts w:cs="Arial"/>
        </w:rPr>
        <w:t>%</w:t>
      </w:r>
      <w:r w:rsidR="00AB625F" w:rsidRPr="00A42FF4">
        <w:rPr>
          <w:rFonts w:cs="Arial"/>
        </w:rPr>
        <w:t xml:space="preserve"> </w:t>
      </w:r>
      <w:r w:rsidR="00EF1660" w:rsidRPr="00A42FF4">
        <w:rPr>
          <w:rFonts w:cs="Arial"/>
        </w:rPr>
        <w:t>in</w:t>
      </w:r>
      <w:r w:rsidR="00AB625F" w:rsidRPr="00A42FF4">
        <w:rPr>
          <w:rFonts w:cs="Arial"/>
        </w:rPr>
        <w:t xml:space="preserve">crease </w:t>
      </w:r>
      <w:r w:rsidRPr="00A42FF4">
        <w:rPr>
          <w:rFonts w:cs="Arial"/>
        </w:rPr>
        <w:t xml:space="preserve">from </w:t>
      </w:r>
      <w:r w:rsidR="00A85636" w:rsidRPr="00A42FF4">
        <w:rPr>
          <w:rFonts w:cs="Arial"/>
        </w:rPr>
        <w:t>2021-22</w:t>
      </w:r>
      <w:r w:rsidR="00AB625F" w:rsidRPr="00A42FF4">
        <w:rPr>
          <w:rFonts w:cs="Arial"/>
        </w:rPr>
        <w:t xml:space="preserve"> respectively</w:t>
      </w:r>
      <w:r w:rsidRPr="00A42FF4">
        <w:rPr>
          <w:rFonts w:cs="Arial"/>
        </w:rPr>
        <w:t xml:space="preserve">. </w:t>
      </w:r>
      <w:r w:rsidR="000B34D1" w:rsidRPr="00A42FF4">
        <w:rPr>
          <w:rFonts w:cs="Arial"/>
        </w:rPr>
        <w:t>T</w:t>
      </w:r>
      <w:r w:rsidR="00AF3468" w:rsidRPr="00A42FF4">
        <w:rPr>
          <w:rFonts w:cs="Arial"/>
        </w:rPr>
        <w:t>he</w:t>
      </w:r>
      <w:r w:rsidRPr="00A42FF4">
        <w:rPr>
          <w:rFonts w:cs="Arial"/>
        </w:rPr>
        <w:t xml:space="preserve"> national average cost </w:t>
      </w:r>
      <w:r w:rsidR="003C1301">
        <w:rPr>
          <w:rFonts w:cs="Arial"/>
        </w:rPr>
        <w:t xml:space="preserve">per separation </w:t>
      </w:r>
      <w:r w:rsidRPr="00A42FF4">
        <w:rPr>
          <w:rFonts w:cs="Arial"/>
        </w:rPr>
        <w:t>was $</w:t>
      </w:r>
      <w:r w:rsidR="0065035C" w:rsidRPr="00A42FF4">
        <w:rPr>
          <w:rFonts w:cs="Arial"/>
        </w:rPr>
        <w:t>6,</w:t>
      </w:r>
      <w:r w:rsidR="00584ECA" w:rsidRPr="00A42FF4">
        <w:rPr>
          <w:rFonts w:cs="Arial"/>
        </w:rPr>
        <w:t>239</w:t>
      </w:r>
      <w:r w:rsidR="00AB625F" w:rsidRPr="00A42FF4">
        <w:rPr>
          <w:rFonts w:cs="Arial"/>
        </w:rPr>
        <w:t xml:space="preserve"> in </w:t>
      </w:r>
      <w:r w:rsidR="00741BA0" w:rsidRPr="00A42FF4">
        <w:rPr>
          <w:rFonts w:cstheme="majorBidi"/>
          <w:lang w:val="en-PH"/>
        </w:rPr>
        <w:t>2022-23</w:t>
      </w:r>
      <w:r w:rsidRPr="00A42FF4">
        <w:rPr>
          <w:rFonts w:cs="Arial"/>
        </w:rPr>
        <w:t xml:space="preserve">, a </w:t>
      </w:r>
      <w:r w:rsidR="00EF1660" w:rsidRPr="00A42FF4">
        <w:rPr>
          <w:rFonts w:cs="Arial"/>
        </w:rPr>
        <w:t>7</w:t>
      </w:r>
      <w:r w:rsidR="00897090" w:rsidRPr="00A42FF4">
        <w:rPr>
          <w:rFonts w:cs="Arial"/>
        </w:rPr>
        <w:t>%</w:t>
      </w:r>
      <w:r w:rsidRPr="00A42FF4">
        <w:rPr>
          <w:rFonts w:cs="Arial"/>
        </w:rPr>
        <w:t xml:space="preserve"> increase</w:t>
      </w:r>
      <w:r w:rsidR="00F16C30" w:rsidRPr="00A42FF4">
        <w:rPr>
          <w:rFonts w:cs="Arial"/>
        </w:rPr>
        <w:t xml:space="preserve"> </w:t>
      </w:r>
      <w:r w:rsidRPr="00A42FF4">
        <w:rPr>
          <w:rFonts w:cs="Arial"/>
        </w:rPr>
        <w:t xml:space="preserve">from </w:t>
      </w:r>
      <w:r w:rsidR="009108FF" w:rsidRPr="00A42FF4">
        <w:rPr>
          <w:rFonts w:cs="Arial"/>
        </w:rPr>
        <w:t>2021-22</w:t>
      </w:r>
      <w:r w:rsidRPr="00A42FF4">
        <w:rPr>
          <w:rFonts w:cs="Arial"/>
        </w:rPr>
        <w:t>.</w:t>
      </w:r>
    </w:p>
    <w:p w14:paraId="38DDD0BF" w14:textId="2D55557F" w:rsidR="00D464DE" w:rsidRPr="006F64A7" w:rsidRDefault="00EF1660" w:rsidP="006061C4">
      <w:pPr>
        <w:spacing w:line="276" w:lineRule="auto"/>
        <w:rPr>
          <w:rFonts w:cs="Arial"/>
        </w:rPr>
      </w:pPr>
      <w:r w:rsidRPr="00A42FF4">
        <w:rPr>
          <w:rFonts w:cs="Arial"/>
        </w:rPr>
        <w:t xml:space="preserve">The admitted subacute and non-acute stream </w:t>
      </w:r>
      <w:r w:rsidR="00204E81">
        <w:rPr>
          <w:rFonts w:cs="Arial"/>
        </w:rPr>
        <w:t xml:space="preserve">included </w:t>
      </w:r>
      <w:r w:rsidRPr="006F64A7">
        <w:rPr>
          <w:rFonts w:cs="Arial"/>
        </w:rPr>
        <w:t xml:space="preserve">164,415 episodes with a cost of $3.8 billion nationally in </w:t>
      </w:r>
      <w:r w:rsidRPr="006F64A7">
        <w:rPr>
          <w:rFonts w:cstheme="majorBidi"/>
          <w:lang w:val="en-PH"/>
        </w:rPr>
        <w:t>2022-23</w:t>
      </w:r>
      <w:r w:rsidRPr="006F64A7">
        <w:rPr>
          <w:rFonts w:cs="Arial"/>
        </w:rPr>
        <w:t>, a</w:t>
      </w:r>
      <w:r w:rsidR="001B0A2E" w:rsidRPr="006F64A7">
        <w:rPr>
          <w:rFonts w:cs="Arial"/>
        </w:rPr>
        <w:t>n 8</w:t>
      </w:r>
      <w:r w:rsidRPr="006F64A7">
        <w:rPr>
          <w:rFonts w:cs="Arial"/>
        </w:rPr>
        <w:t xml:space="preserve">% and </w:t>
      </w:r>
      <w:r w:rsidR="001B0A2E" w:rsidRPr="006F64A7">
        <w:rPr>
          <w:rFonts w:cs="Arial"/>
        </w:rPr>
        <w:t>18</w:t>
      </w:r>
      <w:r w:rsidRPr="006F64A7">
        <w:rPr>
          <w:rFonts w:cs="Arial"/>
        </w:rPr>
        <w:t xml:space="preserve">% </w:t>
      </w:r>
      <w:r w:rsidR="001B0A2E" w:rsidRPr="006F64A7">
        <w:rPr>
          <w:rFonts w:cs="Arial"/>
        </w:rPr>
        <w:t>in</w:t>
      </w:r>
      <w:r w:rsidRPr="006F64A7">
        <w:rPr>
          <w:rFonts w:cs="Arial"/>
        </w:rPr>
        <w:t>crease from 2021-22</w:t>
      </w:r>
      <w:r w:rsidR="000C540A">
        <w:rPr>
          <w:rFonts w:cs="Arial"/>
        </w:rPr>
        <w:t>,</w:t>
      </w:r>
      <w:r w:rsidR="00ED6AA2" w:rsidRPr="006F64A7">
        <w:rPr>
          <w:rFonts w:cs="Arial"/>
        </w:rPr>
        <w:t xml:space="preserve"> respectively</w:t>
      </w:r>
      <w:r w:rsidRPr="006F64A7">
        <w:rPr>
          <w:rFonts w:cs="Arial"/>
        </w:rPr>
        <w:t xml:space="preserve">. The national average cost per </w:t>
      </w:r>
      <w:r w:rsidR="001B0A2E" w:rsidRPr="006F64A7">
        <w:rPr>
          <w:rFonts w:eastAsia="Arial" w:cs="Arial"/>
        </w:rPr>
        <w:t>episode was $23,356</w:t>
      </w:r>
      <w:r w:rsidRPr="006F64A7">
        <w:rPr>
          <w:rFonts w:cs="Arial"/>
        </w:rPr>
        <w:t xml:space="preserve">, a </w:t>
      </w:r>
      <w:r w:rsidR="001B0A2E" w:rsidRPr="006F64A7">
        <w:rPr>
          <w:rFonts w:cs="Arial"/>
        </w:rPr>
        <w:t>9</w:t>
      </w:r>
      <w:r w:rsidRPr="006F64A7">
        <w:rPr>
          <w:rFonts w:cs="Arial"/>
        </w:rPr>
        <w:t>% increase from 2021-22.</w:t>
      </w:r>
    </w:p>
    <w:p w14:paraId="5B07C570" w14:textId="3DBDB138" w:rsidR="001B0A2E" w:rsidRPr="006F64A7" w:rsidRDefault="006F64A7" w:rsidP="006061C4">
      <w:pPr>
        <w:spacing w:line="276" w:lineRule="auto"/>
        <w:rPr>
          <w:rFonts w:cs="Arial"/>
        </w:rPr>
      </w:pPr>
      <w:r w:rsidRPr="006F64A7">
        <w:rPr>
          <w:rFonts w:cs="Arial"/>
        </w:rPr>
        <w:t xml:space="preserve">The admitted subacute </w:t>
      </w:r>
      <w:r>
        <w:rPr>
          <w:rFonts w:cs="Arial"/>
        </w:rPr>
        <w:t xml:space="preserve">stream </w:t>
      </w:r>
      <w:r w:rsidR="00204E81">
        <w:rPr>
          <w:rFonts w:cs="Arial"/>
        </w:rPr>
        <w:t xml:space="preserve">included </w:t>
      </w:r>
      <w:r w:rsidR="001B0A2E" w:rsidRPr="006F64A7">
        <w:rPr>
          <w:rFonts w:cs="Arial"/>
        </w:rPr>
        <w:t xml:space="preserve">72,889 phases with a cost of $543.5 million nationally in </w:t>
      </w:r>
      <w:r w:rsidR="001B0A2E" w:rsidRPr="006F64A7">
        <w:rPr>
          <w:rFonts w:cstheme="majorBidi"/>
          <w:lang w:val="en-PH"/>
        </w:rPr>
        <w:t>2022</w:t>
      </w:r>
      <w:r w:rsidR="00092D16">
        <w:rPr>
          <w:rFonts w:cstheme="majorBidi"/>
          <w:lang w:val="en-PH"/>
        </w:rPr>
        <w:noBreakHyphen/>
      </w:r>
      <w:r w:rsidR="001B0A2E" w:rsidRPr="006F64A7">
        <w:rPr>
          <w:rFonts w:cstheme="majorBidi"/>
          <w:lang w:val="en-PH"/>
        </w:rPr>
        <w:t>23</w:t>
      </w:r>
      <w:r w:rsidR="001B0A2E" w:rsidRPr="006F64A7">
        <w:rPr>
          <w:rFonts w:cs="Arial"/>
        </w:rPr>
        <w:t>, a 13% and 16% increase from 2021-22</w:t>
      </w:r>
      <w:r w:rsidR="00ED6AA2" w:rsidRPr="006F64A7">
        <w:rPr>
          <w:rFonts w:cs="Arial"/>
        </w:rPr>
        <w:t xml:space="preserve"> respectively</w:t>
      </w:r>
      <w:r w:rsidR="001B0A2E" w:rsidRPr="006F64A7">
        <w:rPr>
          <w:rFonts w:cs="Arial"/>
        </w:rPr>
        <w:t xml:space="preserve">. The national average cost per </w:t>
      </w:r>
      <w:r w:rsidR="001B0A2E" w:rsidRPr="006F64A7">
        <w:rPr>
          <w:rFonts w:eastAsia="Arial" w:cs="Arial"/>
        </w:rPr>
        <w:t>phase was $7,456</w:t>
      </w:r>
      <w:r w:rsidR="001B0A2E" w:rsidRPr="006F64A7">
        <w:rPr>
          <w:rFonts w:cs="Arial"/>
        </w:rPr>
        <w:t>, a 3% increase from 2021</w:t>
      </w:r>
      <w:r w:rsidR="003C1301" w:rsidRPr="006F64A7">
        <w:rPr>
          <w:rFonts w:cs="Arial"/>
        </w:rPr>
        <w:noBreakHyphen/>
      </w:r>
      <w:r w:rsidR="001B0A2E" w:rsidRPr="006F64A7">
        <w:rPr>
          <w:rFonts w:cs="Arial"/>
        </w:rPr>
        <w:t>22.</w:t>
      </w:r>
    </w:p>
    <w:p w14:paraId="1237D6DA" w14:textId="31448125" w:rsidR="00923930" w:rsidRPr="00A42FF4" w:rsidRDefault="00923930" w:rsidP="00923930">
      <w:pPr>
        <w:spacing w:line="276" w:lineRule="auto"/>
        <w:rPr>
          <w:rFonts w:cs="Arial"/>
        </w:rPr>
      </w:pPr>
      <w:r w:rsidRPr="00A42FF4">
        <w:rPr>
          <w:rFonts w:cs="Arial"/>
        </w:rPr>
        <w:t>The emergency department st</w:t>
      </w:r>
      <w:r w:rsidR="00AB625F" w:rsidRPr="00A42FF4">
        <w:rPr>
          <w:rFonts w:cs="Arial"/>
        </w:rPr>
        <w:t>r</w:t>
      </w:r>
      <w:r w:rsidRPr="00A42FF4">
        <w:rPr>
          <w:rFonts w:cs="Arial"/>
        </w:rPr>
        <w:t xml:space="preserve">eam </w:t>
      </w:r>
      <w:r w:rsidR="00204E81">
        <w:rPr>
          <w:rFonts w:cs="Arial"/>
        </w:rPr>
        <w:t xml:space="preserve">included </w:t>
      </w:r>
      <w:r w:rsidR="000A45B6" w:rsidRPr="00A42FF4">
        <w:rPr>
          <w:rFonts w:cs="Arial"/>
        </w:rPr>
        <w:t>8.6</w:t>
      </w:r>
      <w:r w:rsidRPr="00A42FF4">
        <w:rPr>
          <w:rFonts w:cs="Arial"/>
        </w:rPr>
        <w:t xml:space="preserve"> million presentations </w:t>
      </w:r>
      <w:r w:rsidR="00AB625F" w:rsidRPr="00A42FF4">
        <w:rPr>
          <w:rFonts w:cs="Arial"/>
        </w:rPr>
        <w:t>with a cost of $</w:t>
      </w:r>
      <w:r w:rsidR="000A45B6" w:rsidRPr="00A42FF4">
        <w:rPr>
          <w:rFonts w:cs="Arial"/>
        </w:rPr>
        <w:t>8.4</w:t>
      </w:r>
      <w:r w:rsidR="00AB625F" w:rsidRPr="00A42FF4">
        <w:rPr>
          <w:rFonts w:cs="Arial"/>
        </w:rPr>
        <w:t xml:space="preserve"> billion </w:t>
      </w:r>
      <w:r w:rsidRPr="00A42FF4">
        <w:rPr>
          <w:rFonts w:cs="Arial"/>
        </w:rPr>
        <w:t>nationally</w:t>
      </w:r>
      <w:r w:rsidR="00AB625F" w:rsidRPr="00A42FF4">
        <w:rPr>
          <w:rFonts w:cs="Arial"/>
        </w:rPr>
        <w:t xml:space="preserve"> in </w:t>
      </w:r>
      <w:r w:rsidR="003220FC" w:rsidRPr="00A42FF4">
        <w:rPr>
          <w:rFonts w:cstheme="majorBidi"/>
          <w:lang w:val="en-PH"/>
        </w:rPr>
        <w:t>2022-23</w:t>
      </w:r>
      <w:r w:rsidRPr="00A42FF4">
        <w:rPr>
          <w:rFonts w:cs="Arial"/>
        </w:rPr>
        <w:t xml:space="preserve">, a </w:t>
      </w:r>
      <w:r w:rsidR="008578DD">
        <w:rPr>
          <w:rFonts w:cs="Arial"/>
        </w:rPr>
        <w:t>4</w:t>
      </w:r>
      <w:r w:rsidR="00897090" w:rsidRPr="00A42FF4">
        <w:rPr>
          <w:rFonts w:cs="Arial"/>
        </w:rPr>
        <w:t>%</w:t>
      </w:r>
      <w:r w:rsidRPr="00A42FF4">
        <w:rPr>
          <w:rFonts w:cs="Arial"/>
        </w:rPr>
        <w:t xml:space="preserve"> </w:t>
      </w:r>
      <w:r w:rsidR="008578DD">
        <w:rPr>
          <w:rFonts w:cs="Arial"/>
        </w:rPr>
        <w:t xml:space="preserve">increase </w:t>
      </w:r>
      <w:r w:rsidR="00AB625F" w:rsidRPr="00A42FF4">
        <w:rPr>
          <w:rFonts w:cs="Arial"/>
        </w:rPr>
        <w:t xml:space="preserve">and </w:t>
      </w:r>
      <w:r w:rsidRPr="00A42FF4">
        <w:rPr>
          <w:rFonts w:cs="Arial"/>
        </w:rPr>
        <w:t xml:space="preserve">a </w:t>
      </w:r>
      <w:r w:rsidR="008578DD">
        <w:rPr>
          <w:rFonts w:cs="Arial"/>
        </w:rPr>
        <w:t>14</w:t>
      </w:r>
      <w:r w:rsidR="00897090" w:rsidRPr="00A42FF4">
        <w:rPr>
          <w:rFonts w:cs="Arial"/>
        </w:rPr>
        <w:t>%</w:t>
      </w:r>
      <w:r w:rsidRPr="00A42FF4">
        <w:rPr>
          <w:rFonts w:cs="Arial"/>
        </w:rPr>
        <w:t xml:space="preserve"> </w:t>
      </w:r>
      <w:r w:rsidR="008578DD">
        <w:rPr>
          <w:rFonts w:cs="Arial"/>
        </w:rPr>
        <w:t xml:space="preserve">increase </w:t>
      </w:r>
      <w:r w:rsidR="00AB625F" w:rsidRPr="00A42FF4">
        <w:rPr>
          <w:rFonts w:cs="Arial"/>
        </w:rPr>
        <w:t xml:space="preserve">from </w:t>
      </w:r>
      <w:r w:rsidR="00A85636" w:rsidRPr="00A42FF4">
        <w:rPr>
          <w:rFonts w:cs="Arial"/>
        </w:rPr>
        <w:t>2021-22</w:t>
      </w:r>
      <w:r w:rsidR="000C540A">
        <w:rPr>
          <w:rFonts w:cs="Arial"/>
        </w:rPr>
        <w:t>,</w:t>
      </w:r>
      <w:r w:rsidR="003C1301">
        <w:rPr>
          <w:rFonts w:cs="Arial"/>
        </w:rPr>
        <w:t xml:space="preserve"> respectively</w:t>
      </w:r>
      <w:r w:rsidRPr="00A42FF4">
        <w:rPr>
          <w:rFonts w:cs="Arial"/>
        </w:rPr>
        <w:t>. The national average cost per presentation was $</w:t>
      </w:r>
      <w:r w:rsidR="00B459E1" w:rsidRPr="00A42FF4">
        <w:rPr>
          <w:rFonts w:cs="Arial"/>
        </w:rPr>
        <w:t>98</w:t>
      </w:r>
      <w:r w:rsidR="000A45B6" w:rsidRPr="00A42FF4">
        <w:rPr>
          <w:rFonts w:cs="Arial"/>
        </w:rPr>
        <w:t>0</w:t>
      </w:r>
      <w:r w:rsidRPr="00A42FF4">
        <w:rPr>
          <w:rFonts w:cs="Arial"/>
        </w:rPr>
        <w:t>, a 1</w:t>
      </w:r>
      <w:r w:rsidR="00EA2C06">
        <w:rPr>
          <w:rFonts w:cs="Arial"/>
        </w:rPr>
        <w:t>0</w:t>
      </w:r>
      <w:r w:rsidR="00897090" w:rsidRPr="00A42FF4">
        <w:rPr>
          <w:rFonts w:cs="Arial"/>
        </w:rPr>
        <w:t>%</w:t>
      </w:r>
      <w:r w:rsidRPr="00A42FF4">
        <w:rPr>
          <w:rFonts w:cs="Arial"/>
        </w:rPr>
        <w:t xml:space="preserve"> increase</w:t>
      </w:r>
      <w:r w:rsidR="00F16C30" w:rsidRPr="00A42FF4">
        <w:rPr>
          <w:rFonts w:cs="Arial"/>
        </w:rPr>
        <w:t xml:space="preserve"> </w:t>
      </w:r>
      <w:r w:rsidRPr="00A42FF4">
        <w:rPr>
          <w:rFonts w:cs="Arial"/>
        </w:rPr>
        <w:t xml:space="preserve">from </w:t>
      </w:r>
      <w:r w:rsidR="00B459E1" w:rsidRPr="00A42FF4">
        <w:rPr>
          <w:rFonts w:cs="Arial"/>
        </w:rPr>
        <w:t>2021-22</w:t>
      </w:r>
      <w:r w:rsidRPr="00A42FF4">
        <w:rPr>
          <w:rFonts w:cs="Arial"/>
        </w:rPr>
        <w:t>.</w:t>
      </w:r>
    </w:p>
    <w:p w14:paraId="033A1E66" w14:textId="2452D4E4" w:rsidR="00923930" w:rsidRPr="00A42FF4" w:rsidRDefault="000A45B6" w:rsidP="00AB625F">
      <w:pPr>
        <w:spacing w:line="276" w:lineRule="auto"/>
        <w:rPr>
          <w:rFonts w:cs="Arial"/>
        </w:rPr>
      </w:pPr>
      <w:r w:rsidRPr="00A42FF4">
        <w:rPr>
          <w:rFonts w:cs="Arial"/>
        </w:rPr>
        <w:t xml:space="preserve">The non-admitted stream </w:t>
      </w:r>
      <w:r w:rsidR="00204E81">
        <w:rPr>
          <w:rFonts w:cs="Arial"/>
        </w:rPr>
        <w:t xml:space="preserve">included </w:t>
      </w:r>
      <w:r w:rsidRPr="00A42FF4">
        <w:rPr>
          <w:rFonts w:cs="Arial"/>
        </w:rPr>
        <w:t xml:space="preserve">27.8 million service events with a cost of $11.2 billion nationally in </w:t>
      </w:r>
      <w:r w:rsidRPr="00A42FF4">
        <w:rPr>
          <w:rFonts w:cstheme="majorBidi"/>
          <w:lang w:val="en-PH"/>
        </w:rPr>
        <w:t>2022-23</w:t>
      </w:r>
      <w:r w:rsidRPr="00A42FF4">
        <w:rPr>
          <w:rFonts w:cs="Arial"/>
        </w:rPr>
        <w:t>, a 1</w:t>
      </w:r>
      <w:r w:rsidR="00323D79">
        <w:rPr>
          <w:rFonts w:cs="Arial"/>
        </w:rPr>
        <w:t>4</w:t>
      </w:r>
      <w:r w:rsidRPr="00A42FF4">
        <w:rPr>
          <w:rFonts w:cs="Arial"/>
        </w:rPr>
        <w:t xml:space="preserve">% decrease and a </w:t>
      </w:r>
      <w:r w:rsidR="00323D79">
        <w:rPr>
          <w:rFonts w:cs="Arial"/>
        </w:rPr>
        <w:t>7</w:t>
      </w:r>
      <w:r w:rsidRPr="00A42FF4">
        <w:rPr>
          <w:rFonts w:cs="Arial"/>
        </w:rPr>
        <w:t xml:space="preserve">% </w:t>
      </w:r>
      <w:r w:rsidR="00323D79">
        <w:rPr>
          <w:rFonts w:cs="Arial"/>
        </w:rPr>
        <w:t>in</w:t>
      </w:r>
      <w:r w:rsidRPr="00A42FF4">
        <w:rPr>
          <w:rFonts w:cs="Arial"/>
        </w:rPr>
        <w:t>crease from 2021-22</w:t>
      </w:r>
      <w:r w:rsidR="000C540A">
        <w:rPr>
          <w:rFonts w:cs="Arial"/>
        </w:rPr>
        <w:t>,</w:t>
      </w:r>
      <w:r w:rsidR="003C1301">
        <w:rPr>
          <w:rFonts w:cs="Arial"/>
        </w:rPr>
        <w:t xml:space="preserve"> respectively</w:t>
      </w:r>
      <w:r w:rsidRPr="00A42FF4">
        <w:rPr>
          <w:rFonts w:cs="Arial"/>
        </w:rPr>
        <w:t xml:space="preserve">. </w:t>
      </w:r>
      <w:r w:rsidR="009765DB" w:rsidRPr="009765DB">
        <w:rPr>
          <w:rFonts w:cs="Arial"/>
        </w:rPr>
        <w:t xml:space="preserve">The decrease was </w:t>
      </w:r>
      <w:r w:rsidR="009765DB">
        <w:rPr>
          <w:rFonts w:cs="Arial"/>
        </w:rPr>
        <w:t xml:space="preserve">largely </w:t>
      </w:r>
      <w:r w:rsidR="009765DB" w:rsidRPr="009765DB">
        <w:rPr>
          <w:rFonts w:cs="Arial"/>
        </w:rPr>
        <w:t xml:space="preserve">driven by </w:t>
      </w:r>
      <w:r w:rsidR="009765DB">
        <w:rPr>
          <w:rFonts w:cs="Arial"/>
        </w:rPr>
        <w:t>a decrease in</w:t>
      </w:r>
      <w:r w:rsidR="003A549C">
        <w:rPr>
          <w:rFonts w:cs="Arial"/>
        </w:rPr>
        <w:t xml:space="preserve"> services for</w:t>
      </w:r>
      <w:r w:rsidR="009765DB" w:rsidRPr="009765DB">
        <w:rPr>
          <w:rFonts w:cs="Arial"/>
        </w:rPr>
        <w:t xml:space="preserve"> COVID-19 treatment</w:t>
      </w:r>
      <w:r w:rsidR="009765DB">
        <w:rPr>
          <w:rFonts w:cs="Arial"/>
        </w:rPr>
        <w:t xml:space="preserve">. </w:t>
      </w:r>
      <w:r w:rsidRPr="00A42FF4">
        <w:rPr>
          <w:rFonts w:cs="Arial"/>
        </w:rPr>
        <w:t xml:space="preserve">The national average cost per service event was $403, a </w:t>
      </w:r>
      <w:r w:rsidR="00323D79">
        <w:rPr>
          <w:rFonts w:cs="Arial"/>
        </w:rPr>
        <w:t>24</w:t>
      </w:r>
      <w:r w:rsidRPr="00A42FF4">
        <w:rPr>
          <w:rFonts w:cs="Arial"/>
        </w:rPr>
        <w:t>% increase from 2021-22.</w:t>
      </w:r>
    </w:p>
    <w:p w14:paraId="7C5FB3BC" w14:textId="299D1A6E" w:rsidR="00D464DE" w:rsidRPr="00A42FF4" w:rsidRDefault="001B0A2E" w:rsidP="001B0A2E">
      <w:pPr>
        <w:spacing w:line="276" w:lineRule="auto"/>
        <w:rPr>
          <w:rFonts w:cs="Arial"/>
        </w:rPr>
      </w:pPr>
      <w:r w:rsidRPr="00A42FF4">
        <w:rPr>
          <w:rFonts w:cs="Arial"/>
        </w:rPr>
        <w:t xml:space="preserve">The admitted mental health stream </w:t>
      </w:r>
      <w:r w:rsidR="00204E81">
        <w:rPr>
          <w:rFonts w:cs="Arial"/>
        </w:rPr>
        <w:t>included</w:t>
      </w:r>
      <w:r w:rsidR="00D464DE" w:rsidRPr="00A42FF4">
        <w:rPr>
          <w:rFonts w:cs="Arial"/>
        </w:rPr>
        <w:t>:</w:t>
      </w:r>
    </w:p>
    <w:p w14:paraId="69B604A3" w14:textId="6E0DBBC0" w:rsidR="00D464DE" w:rsidRPr="00A42FF4" w:rsidRDefault="001B0A2E" w:rsidP="00923930">
      <w:pPr>
        <w:pStyle w:val="ListParagraph"/>
        <w:numPr>
          <w:ilvl w:val="0"/>
          <w:numId w:val="46"/>
        </w:numPr>
        <w:spacing w:line="276" w:lineRule="auto"/>
        <w:rPr>
          <w:rFonts w:cs="Arial"/>
        </w:rPr>
      </w:pPr>
      <w:r w:rsidRPr="00A42FF4">
        <w:rPr>
          <w:rFonts w:cs="Arial"/>
        </w:rPr>
        <w:t>92,</w:t>
      </w:r>
      <w:r w:rsidR="00EF520C">
        <w:rPr>
          <w:rFonts w:cs="Arial"/>
        </w:rPr>
        <w:t>898</w:t>
      </w:r>
      <w:r w:rsidRPr="00A42FF4">
        <w:rPr>
          <w:rFonts w:cs="Arial"/>
        </w:rPr>
        <w:t xml:space="preserve"> phases with a cost of $2.4 billion nationally in </w:t>
      </w:r>
      <w:r w:rsidRPr="00A42FF4">
        <w:rPr>
          <w:rFonts w:cstheme="majorBidi"/>
          <w:lang w:val="en-PH"/>
        </w:rPr>
        <w:t>2022</w:t>
      </w:r>
      <w:r w:rsidR="005F3987" w:rsidRPr="00A42FF4">
        <w:rPr>
          <w:rFonts w:cstheme="majorBidi"/>
          <w:lang w:val="en-PH"/>
        </w:rPr>
        <w:noBreakHyphen/>
      </w:r>
      <w:r w:rsidRPr="00A42FF4">
        <w:rPr>
          <w:rFonts w:cstheme="majorBidi"/>
          <w:lang w:val="en-PH"/>
        </w:rPr>
        <w:t>23</w:t>
      </w:r>
      <w:r w:rsidRPr="00A42FF4">
        <w:rPr>
          <w:rFonts w:cs="Arial"/>
        </w:rPr>
        <w:t>, a 16% and 2</w:t>
      </w:r>
      <w:r w:rsidR="00435BB6">
        <w:rPr>
          <w:rFonts w:cs="Arial"/>
        </w:rPr>
        <w:t>5</w:t>
      </w:r>
      <w:r w:rsidRPr="00A42FF4">
        <w:rPr>
          <w:rFonts w:cs="Arial"/>
        </w:rPr>
        <w:t>% increase from 2021-22</w:t>
      </w:r>
      <w:r w:rsidR="00FB301F">
        <w:rPr>
          <w:rFonts w:cs="Arial"/>
        </w:rPr>
        <w:t>,</w:t>
      </w:r>
      <w:r w:rsidR="00F6256C">
        <w:rPr>
          <w:rFonts w:cs="Arial"/>
        </w:rPr>
        <w:t xml:space="preserve"> respectively</w:t>
      </w:r>
      <w:r w:rsidRPr="00A42FF4">
        <w:rPr>
          <w:rFonts w:cs="Arial"/>
        </w:rPr>
        <w:t xml:space="preserve">. The national average cost per </w:t>
      </w:r>
      <w:r w:rsidRPr="00A42FF4">
        <w:rPr>
          <w:rFonts w:eastAsia="Arial" w:cs="Arial"/>
        </w:rPr>
        <w:t>phase was $</w:t>
      </w:r>
      <w:r w:rsidRPr="00A42FF4">
        <w:rPr>
          <w:rFonts w:cs="Arial"/>
        </w:rPr>
        <w:t>25,</w:t>
      </w:r>
      <w:r w:rsidR="00966B01">
        <w:rPr>
          <w:rFonts w:cs="Arial"/>
        </w:rPr>
        <w:t>720</w:t>
      </w:r>
      <w:r w:rsidRPr="00A42FF4">
        <w:rPr>
          <w:rFonts w:cs="Arial"/>
        </w:rPr>
        <w:t>, an 8% increase from 2021-22.</w:t>
      </w:r>
    </w:p>
    <w:p w14:paraId="1DB3F5D6" w14:textId="10E053F1" w:rsidR="001B0A2E" w:rsidRPr="00A42FF4" w:rsidRDefault="001B0A2E" w:rsidP="00F44DA7">
      <w:pPr>
        <w:pStyle w:val="ListParagraph"/>
        <w:numPr>
          <w:ilvl w:val="0"/>
          <w:numId w:val="46"/>
        </w:numPr>
        <w:spacing w:line="276" w:lineRule="auto"/>
        <w:rPr>
          <w:rFonts w:cs="Arial"/>
        </w:rPr>
      </w:pPr>
      <w:r w:rsidRPr="00A42FF4">
        <w:rPr>
          <w:rFonts w:cs="Arial"/>
        </w:rPr>
        <w:t xml:space="preserve">29,812 episodes with a cost of $625.3 million nationally in </w:t>
      </w:r>
      <w:r w:rsidRPr="00A42FF4">
        <w:rPr>
          <w:rFonts w:cstheme="majorBidi"/>
          <w:lang w:val="en-PH"/>
        </w:rPr>
        <w:t>2022-23</w:t>
      </w:r>
      <w:r w:rsidRPr="00A42FF4">
        <w:rPr>
          <w:rFonts w:cs="Arial"/>
        </w:rPr>
        <w:t xml:space="preserve">, a 7% </w:t>
      </w:r>
      <w:r w:rsidR="005F3987" w:rsidRPr="00A42FF4">
        <w:rPr>
          <w:rFonts w:cs="Arial"/>
        </w:rPr>
        <w:t xml:space="preserve">increase </w:t>
      </w:r>
      <w:r w:rsidRPr="00A42FF4">
        <w:rPr>
          <w:rFonts w:cs="Arial"/>
        </w:rPr>
        <w:t xml:space="preserve">and </w:t>
      </w:r>
      <w:r w:rsidR="005F3987" w:rsidRPr="00A42FF4">
        <w:rPr>
          <w:rFonts w:cs="Arial"/>
        </w:rPr>
        <w:t>6</w:t>
      </w:r>
      <w:r w:rsidRPr="00A42FF4">
        <w:rPr>
          <w:rFonts w:cs="Arial"/>
        </w:rPr>
        <w:t xml:space="preserve">% </w:t>
      </w:r>
      <w:r w:rsidR="005F3987" w:rsidRPr="00A42FF4">
        <w:rPr>
          <w:rFonts w:cs="Arial"/>
        </w:rPr>
        <w:t>de</w:t>
      </w:r>
      <w:r w:rsidRPr="00A42FF4">
        <w:rPr>
          <w:rFonts w:cs="Arial"/>
        </w:rPr>
        <w:t>crease from 2021-22</w:t>
      </w:r>
      <w:r w:rsidR="00FB301F">
        <w:rPr>
          <w:rFonts w:cs="Arial"/>
        </w:rPr>
        <w:t>,</w:t>
      </w:r>
      <w:r w:rsidR="00F6256C">
        <w:rPr>
          <w:rFonts w:cs="Arial"/>
        </w:rPr>
        <w:t xml:space="preserve"> respectively</w:t>
      </w:r>
      <w:r w:rsidRPr="00A42FF4">
        <w:rPr>
          <w:rFonts w:cs="Arial"/>
        </w:rPr>
        <w:t xml:space="preserve">. The national average cost per </w:t>
      </w:r>
      <w:r w:rsidRPr="00A42FF4">
        <w:rPr>
          <w:rFonts w:eastAsia="Arial" w:cs="Arial"/>
        </w:rPr>
        <w:t xml:space="preserve">episode was </w:t>
      </w:r>
      <w:r w:rsidRPr="00A42FF4">
        <w:rPr>
          <w:rFonts w:cs="Arial"/>
        </w:rPr>
        <w:t>$20,97</w:t>
      </w:r>
      <w:r w:rsidR="00D65648">
        <w:rPr>
          <w:rFonts w:cs="Arial"/>
        </w:rPr>
        <w:t>5</w:t>
      </w:r>
      <w:r w:rsidRPr="00A42FF4">
        <w:rPr>
          <w:rFonts w:cs="Arial"/>
        </w:rPr>
        <w:t xml:space="preserve">, a </w:t>
      </w:r>
      <w:r w:rsidR="005F3987" w:rsidRPr="00A42FF4">
        <w:rPr>
          <w:rFonts w:cs="Arial"/>
        </w:rPr>
        <w:t>12</w:t>
      </w:r>
      <w:r w:rsidRPr="00A42FF4">
        <w:rPr>
          <w:rFonts w:cs="Arial"/>
        </w:rPr>
        <w:t xml:space="preserve">% </w:t>
      </w:r>
      <w:r w:rsidR="005F3987" w:rsidRPr="00A42FF4">
        <w:rPr>
          <w:rFonts w:cs="Arial"/>
        </w:rPr>
        <w:t>de</w:t>
      </w:r>
      <w:r w:rsidRPr="00A42FF4">
        <w:rPr>
          <w:rFonts w:cs="Arial"/>
        </w:rPr>
        <w:t>crease from 2021-22.</w:t>
      </w:r>
    </w:p>
    <w:p w14:paraId="3BF44938" w14:textId="0B0BB05A" w:rsidR="00D464DE" w:rsidRPr="00A42FF4" w:rsidRDefault="00923930" w:rsidP="00AE4E40">
      <w:pPr>
        <w:rPr>
          <w:rFonts w:cs="Arial"/>
        </w:rPr>
      </w:pPr>
      <w:r w:rsidRPr="00A42FF4">
        <w:rPr>
          <w:rFonts w:cs="Arial"/>
        </w:rPr>
        <w:t xml:space="preserve">The community mental health stream </w:t>
      </w:r>
      <w:r w:rsidR="00204E81">
        <w:rPr>
          <w:rFonts w:cs="Arial"/>
        </w:rPr>
        <w:t>included</w:t>
      </w:r>
      <w:r w:rsidR="00E45937" w:rsidRPr="00A42FF4">
        <w:rPr>
          <w:rFonts w:cs="Arial"/>
        </w:rPr>
        <w:t>:</w:t>
      </w:r>
    </w:p>
    <w:p w14:paraId="0C3DF043" w14:textId="1751A381" w:rsidR="00F44DA7" w:rsidRPr="00A42FF4" w:rsidRDefault="00B459E1" w:rsidP="00F44DA7">
      <w:pPr>
        <w:pStyle w:val="ListParagraph"/>
        <w:numPr>
          <w:ilvl w:val="0"/>
          <w:numId w:val="46"/>
        </w:numPr>
        <w:spacing w:line="276" w:lineRule="auto"/>
        <w:rPr>
          <w:rFonts w:cs="Arial"/>
        </w:rPr>
      </w:pPr>
      <w:r w:rsidRPr="00A42FF4">
        <w:rPr>
          <w:rFonts w:cs="Arial"/>
        </w:rPr>
        <w:t>729,442</w:t>
      </w:r>
      <w:r w:rsidR="00EE31DC" w:rsidRPr="00A42FF4">
        <w:rPr>
          <w:rFonts w:cs="Arial"/>
        </w:rPr>
        <w:t xml:space="preserve"> </w:t>
      </w:r>
      <w:r w:rsidR="00923930" w:rsidRPr="00A42FF4">
        <w:rPr>
          <w:rFonts w:cs="Arial"/>
        </w:rPr>
        <w:t>phases</w:t>
      </w:r>
      <w:r w:rsidR="00D464DE" w:rsidRPr="00A42FF4">
        <w:rPr>
          <w:rFonts w:cs="Arial"/>
        </w:rPr>
        <w:t xml:space="preserve"> with a cost of $1.7 billion nationally in 2022-23, a </w:t>
      </w:r>
      <w:r w:rsidR="00814842">
        <w:rPr>
          <w:rFonts w:cs="Arial"/>
        </w:rPr>
        <w:t>3</w:t>
      </w:r>
      <w:r w:rsidR="00814842" w:rsidRPr="00814842">
        <w:rPr>
          <w:rFonts w:cs="Arial"/>
        </w:rPr>
        <w:t>1</w:t>
      </w:r>
      <w:r w:rsidR="00D464DE" w:rsidRPr="00814842">
        <w:rPr>
          <w:rFonts w:cs="Arial"/>
        </w:rPr>
        <w:t xml:space="preserve">% and </w:t>
      </w:r>
      <w:r w:rsidR="00814842" w:rsidRPr="00814842">
        <w:rPr>
          <w:rFonts w:cs="Arial"/>
        </w:rPr>
        <w:t>10</w:t>
      </w:r>
      <w:r w:rsidR="00D464DE" w:rsidRPr="00814842">
        <w:rPr>
          <w:rFonts w:cs="Arial"/>
        </w:rPr>
        <w:t>% increase</w:t>
      </w:r>
      <w:r w:rsidR="00D464DE" w:rsidRPr="00A42FF4">
        <w:rPr>
          <w:rFonts w:cs="Arial"/>
        </w:rPr>
        <w:t xml:space="preserve"> from</w:t>
      </w:r>
      <w:r w:rsidR="00653082">
        <w:rPr>
          <w:rFonts w:cs="Arial"/>
        </w:rPr>
        <w:t xml:space="preserve"> </w:t>
      </w:r>
      <w:r w:rsidR="00D464DE" w:rsidRPr="00A42FF4">
        <w:rPr>
          <w:rFonts w:cs="Arial"/>
        </w:rPr>
        <w:t>2021</w:t>
      </w:r>
      <w:r w:rsidR="00653082">
        <w:rPr>
          <w:rFonts w:cs="Arial"/>
        </w:rPr>
        <w:noBreakHyphen/>
      </w:r>
      <w:r w:rsidR="00D464DE" w:rsidRPr="00A42FF4">
        <w:rPr>
          <w:rFonts w:cs="Arial"/>
        </w:rPr>
        <w:t>22. The national average cost per phase was $2,273</w:t>
      </w:r>
      <w:r w:rsidR="009B1A40" w:rsidRPr="00A42FF4">
        <w:rPr>
          <w:rFonts w:cs="Arial"/>
        </w:rPr>
        <w:t>,</w:t>
      </w:r>
      <w:r w:rsidR="00D464DE" w:rsidRPr="00A42FF4">
        <w:rPr>
          <w:rFonts w:cs="Arial"/>
        </w:rPr>
        <w:t xml:space="preserve"> </w:t>
      </w:r>
      <w:r w:rsidR="009B1A40" w:rsidRPr="00A42FF4">
        <w:rPr>
          <w:rFonts w:cs="Arial"/>
        </w:rPr>
        <w:t>a 16% decrease from 2021</w:t>
      </w:r>
      <w:r w:rsidR="00653082">
        <w:rPr>
          <w:rFonts w:cs="Arial"/>
        </w:rPr>
        <w:noBreakHyphen/>
      </w:r>
      <w:r w:rsidR="009B1A40" w:rsidRPr="00A42FF4">
        <w:rPr>
          <w:rFonts w:cs="Arial"/>
        </w:rPr>
        <w:t>22.</w:t>
      </w:r>
    </w:p>
    <w:p w14:paraId="1AD65F4C" w14:textId="28D7B9B0" w:rsidR="00EE31DC" w:rsidRPr="00A42FF4" w:rsidRDefault="005F5A2E" w:rsidP="00A42FF4">
      <w:pPr>
        <w:pStyle w:val="ListParagraph"/>
        <w:numPr>
          <w:ilvl w:val="0"/>
          <w:numId w:val="46"/>
        </w:numPr>
        <w:spacing w:line="276" w:lineRule="auto"/>
      </w:pPr>
      <w:r w:rsidRPr="00A42FF4">
        <w:rPr>
          <w:rFonts w:cs="Arial"/>
        </w:rPr>
        <w:t>$</w:t>
      </w:r>
      <w:r w:rsidR="00B459E1" w:rsidRPr="00814842">
        <w:rPr>
          <w:rFonts w:cs="Arial"/>
        </w:rPr>
        <w:t>612.9</w:t>
      </w:r>
      <w:r w:rsidRPr="00814842">
        <w:rPr>
          <w:rFonts w:cs="Arial"/>
        </w:rPr>
        <w:t xml:space="preserve"> million </w:t>
      </w:r>
      <w:r w:rsidR="00F84809">
        <w:rPr>
          <w:rFonts w:cs="Arial"/>
        </w:rPr>
        <w:t xml:space="preserve">associated with </w:t>
      </w:r>
      <w:r w:rsidR="00224B54">
        <w:rPr>
          <w:rFonts w:cs="Arial"/>
        </w:rPr>
        <w:t>community mental health</w:t>
      </w:r>
      <w:r w:rsidR="006B30A5">
        <w:rPr>
          <w:rFonts w:cs="Arial"/>
        </w:rPr>
        <w:t xml:space="preserve"> records</w:t>
      </w:r>
      <w:r w:rsidR="00224B54">
        <w:rPr>
          <w:rFonts w:cs="Arial"/>
        </w:rPr>
        <w:t xml:space="preserve"> that</w:t>
      </w:r>
      <w:r w:rsidR="00F84809">
        <w:rPr>
          <w:rFonts w:cs="Arial"/>
        </w:rPr>
        <w:t xml:space="preserve"> could not be grouped to a </w:t>
      </w:r>
      <w:r w:rsidR="001D16C6">
        <w:rPr>
          <w:rFonts w:cs="Arial"/>
        </w:rPr>
        <w:t xml:space="preserve">valid </w:t>
      </w:r>
      <w:r w:rsidR="00315B1B">
        <w:rPr>
          <w:rFonts w:cs="Arial"/>
        </w:rPr>
        <w:t xml:space="preserve">phase </w:t>
      </w:r>
      <w:r w:rsidR="001D16C6">
        <w:rPr>
          <w:rFonts w:cs="Arial"/>
        </w:rPr>
        <w:t xml:space="preserve">end-class </w:t>
      </w:r>
      <w:r w:rsidR="00204E81">
        <w:rPr>
          <w:rFonts w:cs="Arial"/>
        </w:rPr>
        <w:t>using</w:t>
      </w:r>
      <w:r w:rsidR="003B3BF1">
        <w:rPr>
          <w:rFonts w:cs="Arial"/>
        </w:rPr>
        <w:t xml:space="preserve"> </w:t>
      </w:r>
      <w:r w:rsidR="00E6386A">
        <w:rPr>
          <w:rFonts w:cs="Arial"/>
        </w:rPr>
        <w:t>the Australian Mental Health Care Classification (</w:t>
      </w:r>
      <w:r w:rsidR="00F84809">
        <w:rPr>
          <w:rFonts w:cs="Arial"/>
        </w:rPr>
        <w:t>AMHCC</w:t>
      </w:r>
      <w:r w:rsidR="00E6386A">
        <w:rPr>
          <w:rFonts w:cs="Arial"/>
        </w:rPr>
        <w:t>)</w:t>
      </w:r>
      <w:r w:rsidR="004C2C17" w:rsidRPr="00A022A3">
        <w:rPr>
          <w:rFonts w:cs="Arial"/>
        </w:rPr>
        <w:t>.</w:t>
      </w:r>
      <w:r w:rsidR="00EE31DC" w:rsidRPr="00A42FF4">
        <w:br w:type="page"/>
      </w:r>
    </w:p>
    <w:p w14:paraId="762A3579" w14:textId="61D4256E" w:rsidR="001118E1" w:rsidRPr="00CE058E" w:rsidRDefault="001118E1" w:rsidP="00A32EB6">
      <w:pPr>
        <w:pStyle w:val="Heading1"/>
        <w:numPr>
          <w:ilvl w:val="0"/>
          <w:numId w:val="45"/>
        </w:numPr>
        <w:rPr>
          <w:rFonts w:cs="Arial"/>
        </w:rPr>
      </w:pPr>
      <w:bookmarkStart w:id="25" w:name="_Toc158882592"/>
      <w:r w:rsidRPr="00CE058E">
        <w:rPr>
          <w:rFonts w:cs="Arial"/>
        </w:rPr>
        <w:lastRenderedPageBreak/>
        <w:t>Introduction</w:t>
      </w:r>
      <w:bookmarkEnd w:id="25"/>
      <w:bookmarkEnd w:id="3"/>
      <w:bookmarkEnd w:id="2"/>
    </w:p>
    <w:p w14:paraId="65D3FC38" w14:textId="77777777" w:rsidR="000C1990" w:rsidRPr="00CE058E" w:rsidRDefault="000C1990" w:rsidP="000C1990">
      <w:pPr>
        <w:pStyle w:val="Heading2"/>
      </w:pPr>
      <w:bookmarkStart w:id="26" w:name="_Toc151129681"/>
      <w:bookmarkStart w:id="27" w:name="_Toc158882532"/>
      <w:bookmarkStart w:id="28" w:name="_Toc158882593"/>
      <w:bookmarkStart w:id="29" w:name="_Toc144215421"/>
      <w:bookmarkStart w:id="30" w:name="_Toc144967621"/>
      <w:r w:rsidRPr="00CE058E">
        <w:t>National Hospital Cost Data Collection (NHCDC)</w:t>
      </w:r>
      <w:bookmarkEnd w:id="26"/>
      <w:bookmarkEnd w:id="27"/>
      <w:bookmarkEnd w:id="28"/>
    </w:p>
    <w:p w14:paraId="1276537F" w14:textId="1B93DE42" w:rsidR="000C1990" w:rsidRPr="00CE058E" w:rsidRDefault="000C1990" w:rsidP="00A32EB6">
      <w:pPr>
        <w:spacing w:line="276" w:lineRule="auto"/>
        <w:rPr>
          <w:rFonts w:cs="Arial"/>
        </w:rPr>
      </w:pPr>
      <w:r w:rsidRPr="00A42FF4">
        <w:rPr>
          <w:rFonts w:cs="Arial"/>
        </w:rPr>
        <w:t>The NHCDC Public Sector is an annual collection of Australian public hospital cost data that is the primary source of information about the cost of treating patients in Australian public hospitals. The NHCDC is a unique collection and valuable evidence base that is used across the Australian health system, link</w:t>
      </w:r>
      <w:r w:rsidR="00342139" w:rsidRPr="00A42FF4">
        <w:rPr>
          <w:rFonts w:cs="Arial"/>
        </w:rPr>
        <w:t>ing</w:t>
      </w:r>
      <w:r w:rsidRPr="00A42FF4">
        <w:rPr>
          <w:rFonts w:cs="Arial"/>
        </w:rPr>
        <w:t xml:space="preserve"> patient level activity with the cost incurred by hospitals for this activity. </w:t>
      </w:r>
      <w:r w:rsidR="003C1301">
        <w:rPr>
          <w:rFonts w:cs="Arial"/>
        </w:rPr>
        <w:t>The Independent Health and Aged Care Pricing Authority (</w:t>
      </w:r>
      <w:r w:rsidRPr="00A42FF4">
        <w:rPr>
          <w:rFonts w:cs="Arial"/>
        </w:rPr>
        <w:t>IHACPA</w:t>
      </w:r>
      <w:r w:rsidR="003C1301">
        <w:rPr>
          <w:rFonts w:cs="Arial"/>
        </w:rPr>
        <w:t>)</w:t>
      </w:r>
      <w:r w:rsidRPr="00A42FF4">
        <w:rPr>
          <w:rFonts w:cs="Arial"/>
        </w:rPr>
        <w:t xml:space="preserve"> relies on the NHCDC to calculate the national efficient price</w:t>
      </w:r>
      <w:r w:rsidR="0009746D">
        <w:rPr>
          <w:rFonts w:cs="Arial"/>
        </w:rPr>
        <w:t xml:space="preserve"> (NEP)</w:t>
      </w:r>
      <w:r w:rsidRPr="00A42FF4">
        <w:rPr>
          <w:rFonts w:cs="Arial"/>
        </w:rPr>
        <w:t xml:space="preserve"> used for the funding of public hospital services</w:t>
      </w:r>
      <w:r w:rsidR="00F84809">
        <w:rPr>
          <w:rFonts w:cs="Arial"/>
        </w:rPr>
        <w:t xml:space="preserve">, </w:t>
      </w:r>
      <w:r w:rsidR="000D6040">
        <w:rPr>
          <w:rFonts w:cs="Arial"/>
        </w:rPr>
        <w:t xml:space="preserve">to </w:t>
      </w:r>
      <w:r w:rsidR="00F84809">
        <w:rPr>
          <w:rFonts w:cs="Arial"/>
        </w:rPr>
        <w:t>develop and maintain classifications and publish benchmarking reports</w:t>
      </w:r>
      <w:r w:rsidRPr="00A42FF4">
        <w:rPr>
          <w:rFonts w:cs="Arial"/>
        </w:rPr>
        <w:t xml:space="preserve">. The NHCDC Public Sector Report </w:t>
      </w:r>
      <w:r w:rsidR="00831766" w:rsidRPr="00A42FF4">
        <w:rPr>
          <w:rFonts w:cstheme="majorBidi"/>
          <w:lang w:val="en-PH"/>
        </w:rPr>
        <w:t>2022</w:t>
      </w:r>
      <w:r w:rsidR="00F84809">
        <w:rPr>
          <w:rFonts w:cstheme="majorBidi"/>
          <w:lang w:val="en-PH"/>
        </w:rPr>
        <w:noBreakHyphen/>
      </w:r>
      <w:r w:rsidR="00831766" w:rsidRPr="00A42FF4">
        <w:rPr>
          <w:rFonts w:cstheme="majorBidi"/>
          <w:lang w:val="en-PH"/>
        </w:rPr>
        <w:t>23</w:t>
      </w:r>
      <w:r w:rsidRPr="00A42FF4">
        <w:rPr>
          <w:rFonts w:cs="Arial"/>
        </w:rPr>
        <w:t xml:space="preserve"> (this report) presents public sector hospital (including health services) cost</w:t>
      </w:r>
      <w:r w:rsidR="00342139" w:rsidRPr="00A42FF4">
        <w:rPr>
          <w:rFonts w:cs="Arial"/>
        </w:rPr>
        <w:t>s</w:t>
      </w:r>
      <w:r w:rsidRPr="00A42FF4">
        <w:rPr>
          <w:rFonts w:cs="Arial"/>
        </w:rPr>
        <w:t xml:space="preserve"> submitted by the s</w:t>
      </w:r>
      <w:r w:rsidRPr="00A42FF4" w:rsidDel="6066AD2C">
        <w:rPr>
          <w:rFonts w:cs="Arial"/>
        </w:rPr>
        <w:t xml:space="preserve">tates </w:t>
      </w:r>
      <w:r w:rsidRPr="00A42FF4">
        <w:rPr>
          <w:rFonts w:cs="Arial"/>
        </w:rPr>
        <w:t>and t</w:t>
      </w:r>
      <w:r w:rsidRPr="00A42FF4" w:rsidDel="6066AD2C">
        <w:rPr>
          <w:rFonts w:cs="Arial"/>
        </w:rPr>
        <w:t>erritories</w:t>
      </w:r>
      <w:r w:rsidRPr="00A42FF4">
        <w:rPr>
          <w:rFonts w:cs="Arial"/>
        </w:rPr>
        <w:t xml:space="preserve"> (jurisdictions) for the following activity streams: admitted acute, admitted subacute and non-acute, non-admitted, emergency department, admitted mental health, and community mental health.</w:t>
      </w:r>
    </w:p>
    <w:p w14:paraId="6DFE0445" w14:textId="289C49C1" w:rsidR="006C63FF" w:rsidRPr="00CE058E" w:rsidRDefault="0014435D" w:rsidP="006C63FF">
      <w:pPr>
        <w:pStyle w:val="Heading2"/>
      </w:pPr>
      <w:bookmarkStart w:id="31" w:name="_Toc151129682"/>
      <w:bookmarkStart w:id="32" w:name="_Toc158882533"/>
      <w:bookmarkStart w:id="33" w:name="_Toc158882594"/>
      <w:r>
        <w:t>Data and r</w:t>
      </w:r>
      <w:r w:rsidR="006C63FF" w:rsidRPr="00CE058E">
        <w:t>eporting requirements</w:t>
      </w:r>
      <w:bookmarkEnd w:id="31"/>
      <w:bookmarkEnd w:id="32"/>
      <w:bookmarkEnd w:id="33"/>
    </w:p>
    <w:p w14:paraId="4B4571BE" w14:textId="79C343D3" w:rsidR="0014435D" w:rsidRPr="00A42FF4" w:rsidRDefault="0014435D" w:rsidP="0014435D">
      <w:pPr>
        <w:spacing w:line="276" w:lineRule="auto"/>
        <w:rPr>
          <w:rFonts w:cs="Arial"/>
        </w:rPr>
      </w:pPr>
      <w:r w:rsidRPr="00A42FF4">
        <w:rPr>
          <w:rFonts w:cs="Arial"/>
        </w:rPr>
        <w:t>IHACPA receives the following types of data:</w:t>
      </w:r>
    </w:p>
    <w:p w14:paraId="625AAA55" w14:textId="5343C899" w:rsidR="0014435D" w:rsidRPr="00A42FF4" w:rsidRDefault="0014435D" w:rsidP="00990D55">
      <w:pPr>
        <w:pStyle w:val="ListParagraph"/>
        <w:numPr>
          <w:ilvl w:val="0"/>
          <w:numId w:val="12"/>
        </w:numPr>
        <w:spacing w:line="276" w:lineRule="auto"/>
        <w:rPr>
          <w:rFonts w:cs="Arial"/>
        </w:rPr>
      </w:pPr>
      <w:r w:rsidRPr="00A42FF4">
        <w:rPr>
          <w:rFonts w:cs="Arial"/>
        </w:rPr>
        <w:t>Activity</w:t>
      </w:r>
      <w:r w:rsidR="00FA05F7" w:rsidRPr="00A42FF4">
        <w:rPr>
          <w:rFonts w:cs="Arial"/>
        </w:rPr>
        <w:t xml:space="preserve"> </w:t>
      </w:r>
      <w:r w:rsidRPr="00A42FF4">
        <w:rPr>
          <w:rFonts w:cs="Arial"/>
        </w:rPr>
        <w:t xml:space="preserve">based funding (ABF) </w:t>
      </w:r>
      <w:r w:rsidR="00F84809">
        <w:rPr>
          <w:rFonts w:cs="Arial"/>
        </w:rPr>
        <w:t xml:space="preserve">activity </w:t>
      </w:r>
      <w:r w:rsidRPr="00A42FF4">
        <w:rPr>
          <w:rFonts w:cs="Arial"/>
        </w:rPr>
        <w:t xml:space="preserve">data: </w:t>
      </w:r>
      <w:r w:rsidR="00FA05F7" w:rsidRPr="00A42FF4">
        <w:rPr>
          <w:rFonts w:cs="Arial"/>
        </w:rPr>
        <w:t>information</w:t>
      </w:r>
      <w:r w:rsidR="000D6040">
        <w:rPr>
          <w:rFonts w:cs="Arial"/>
        </w:rPr>
        <w:t xml:space="preserve"> submitted quarterly</w:t>
      </w:r>
      <w:r w:rsidR="00FA05F7" w:rsidRPr="00A42FF4">
        <w:rPr>
          <w:rFonts w:cs="Arial"/>
        </w:rPr>
        <w:t xml:space="preserve"> about </w:t>
      </w:r>
      <w:r w:rsidR="00EF3484">
        <w:rPr>
          <w:rFonts w:cs="Arial"/>
        </w:rPr>
        <w:t>the different</w:t>
      </w:r>
      <w:r w:rsidR="00FA05F7" w:rsidRPr="00A42FF4">
        <w:rPr>
          <w:rFonts w:cs="Arial"/>
        </w:rPr>
        <w:t xml:space="preserve"> patient services provided by Australian hospitals, to input into the ABF process. </w:t>
      </w:r>
      <w:r w:rsidRPr="00A42FF4">
        <w:rPr>
          <w:rFonts w:cs="Arial"/>
        </w:rPr>
        <w:t xml:space="preserve">From these data items, patient episodes </w:t>
      </w:r>
      <w:r w:rsidR="000D6040">
        <w:rPr>
          <w:rFonts w:cs="Arial"/>
        </w:rPr>
        <w:t xml:space="preserve">and phases </w:t>
      </w:r>
      <w:r w:rsidRPr="00A42FF4">
        <w:rPr>
          <w:rFonts w:cs="Arial"/>
        </w:rPr>
        <w:t>are categorised according to clinical classifications.</w:t>
      </w:r>
    </w:p>
    <w:p w14:paraId="26EED7DE" w14:textId="6DB8ABD0" w:rsidR="00FA05F7" w:rsidRDefault="00FA05F7" w:rsidP="00FA05F7">
      <w:pPr>
        <w:pStyle w:val="ListParagraph"/>
        <w:numPr>
          <w:ilvl w:val="0"/>
          <w:numId w:val="12"/>
        </w:numPr>
        <w:spacing w:line="276" w:lineRule="auto"/>
        <w:rPr>
          <w:rFonts w:cs="Arial"/>
        </w:rPr>
      </w:pPr>
      <w:r w:rsidRPr="00A42FF4">
        <w:rPr>
          <w:rFonts w:cs="Arial"/>
        </w:rPr>
        <w:t>NHCDC</w:t>
      </w:r>
      <w:r w:rsidR="000D6040">
        <w:rPr>
          <w:rFonts w:cs="Arial"/>
        </w:rPr>
        <w:t xml:space="preserve"> cost</w:t>
      </w:r>
      <w:r w:rsidRPr="00A42FF4">
        <w:rPr>
          <w:rFonts w:cs="Arial"/>
        </w:rPr>
        <w:t xml:space="preserve"> data: an annual submission containing detailed information about the cost</w:t>
      </w:r>
      <w:r w:rsidR="00EF3484">
        <w:rPr>
          <w:rFonts w:cs="Arial"/>
        </w:rPr>
        <w:t>s</w:t>
      </w:r>
      <w:r w:rsidRPr="00A42FF4">
        <w:rPr>
          <w:rFonts w:cs="Arial"/>
        </w:rPr>
        <w:t xml:space="preserve"> associated with patient</w:t>
      </w:r>
      <w:r w:rsidR="00A022A3">
        <w:rPr>
          <w:rFonts w:cs="Arial"/>
        </w:rPr>
        <w:t xml:space="preserve"> activity</w:t>
      </w:r>
      <w:r w:rsidRPr="00A42FF4">
        <w:rPr>
          <w:rFonts w:cs="Arial"/>
        </w:rPr>
        <w:t>.</w:t>
      </w:r>
    </w:p>
    <w:p w14:paraId="546D7F8F" w14:textId="4D8E552D" w:rsidR="00FB301F" w:rsidRDefault="00FB301F" w:rsidP="00FB301F">
      <w:pPr>
        <w:spacing w:line="276" w:lineRule="auto"/>
        <w:rPr>
          <w:rFonts w:cs="Arial"/>
        </w:rPr>
      </w:pPr>
      <w:r>
        <w:rPr>
          <w:rFonts w:cs="Arial"/>
        </w:rPr>
        <w:t xml:space="preserve">IHACPA links ABF activity data with NHCDC data and reports this under </w:t>
      </w:r>
      <w:r w:rsidR="004C2C17">
        <w:rPr>
          <w:rFonts w:cs="Arial"/>
        </w:rPr>
        <w:t>6</w:t>
      </w:r>
      <w:r>
        <w:rPr>
          <w:rFonts w:cs="Arial"/>
        </w:rPr>
        <w:t xml:space="preserve"> different patient activity streams: admitted acute care, </w:t>
      </w:r>
      <w:r w:rsidR="00533E5B">
        <w:rPr>
          <w:rFonts w:cs="Arial"/>
        </w:rPr>
        <w:t xml:space="preserve">admitted </w:t>
      </w:r>
      <w:r>
        <w:rPr>
          <w:rFonts w:cs="Arial"/>
        </w:rPr>
        <w:t>subacute and non-acute care, emergency department care</w:t>
      </w:r>
      <w:r w:rsidR="004C2C17">
        <w:rPr>
          <w:rFonts w:cs="Arial"/>
        </w:rPr>
        <w:t xml:space="preserve">, </w:t>
      </w:r>
      <w:r w:rsidR="009A0692">
        <w:rPr>
          <w:rFonts w:cs="Arial"/>
        </w:rPr>
        <w:t xml:space="preserve">non-admitted care, </w:t>
      </w:r>
      <w:r w:rsidR="004C2C17">
        <w:rPr>
          <w:rFonts w:cs="Arial"/>
        </w:rPr>
        <w:t>admitted mental health care,</w:t>
      </w:r>
      <w:r>
        <w:rPr>
          <w:rFonts w:cs="Arial"/>
        </w:rPr>
        <w:t xml:space="preserve"> and </w:t>
      </w:r>
      <w:r w:rsidR="004C2C17">
        <w:rPr>
          <w:rFonts w:cs="Arial"/>
        </w:rPr>
        <w:t xml:space="preserve">community </w:t>
      </w:r>
      <w:r>
        <w:rPr>
          <w:rFonts w:cs="Arial"/>
        </w:rPr>
        <w:t>mental health care.</w:t>
      </w:r>
    </w:p>
    <w:tbl>
      <w:tblPr>
        <w:tblStyle w:val="TableGrid"/>
        <w:tblW w:w="0" w:type="auto"/>
        <w:tblLook w:val="04A0" w:firstRow="1" w:lastRow="0" w:firstColumn="1" w:lastColumn="0" w:noHBand="0" w:noVBand="1"/>
      </w:tblPr>
      <w:tblGrid>
        <w:gridCol w:w="1555"/>
        <w:gridCol w:w="1559"/>
        <w:gridCol w:w="2551"/>
        <w:gridCol w:w="3828"/>
      </w:tblGrid>
      <w:tr w:rsidR="005D3B24" w:rsidRPr="0073580C" w14:paraId="76DFB9FF" w14:textId="77777777" w:rsidTr="00D16D7C">
        <w:tc>
          <w:tcPr>
            <w:tcW w:w="1555" w:type="dxa"/>
            <w:shd w:val="clear" w:color="auto" w:fill="15272F" w:themeFill="accent1"/>
          </w:tcPr>
          <w:p w14:paraId="066368B0" w14:textId="4538A6C0" w:rsidR="005D3B24" w:rsidRPr="00D16D7C" w:rsidRDefault="005D3B24" w:rsidP="00FB301F">
            <w:pPr>
              <w:spacing w:line="276" w:lineRule="auto"/>
              <w:rPr>
                <w:rFonts w:cs="Arial"/>
                <w:b/>
                <w:bCs/>
                <w:color w:val="FFFFFF" w:themeColor="background2"/>
                <w:sz w:val="16"/>
                <w:szCs w:val="16"/>
              </w:rPr>
            </w:pPr>
            <w:r w:rsidRPr="00D16D7C">
              <w:rPr>
                <w:rFonts w:cs="Arial"/>
                <w:b/>
                <w:bCs/>
                <w:color w:val="FFFFFF" w:themeColor="background2"/>
                <w:sz w:val="16"/>
                <w:szCs w:val="16"/>
              </w:rPr>
              <w:t>Stream</w:t>
            </w:r>
          </w:p>
        </w:tc>
        <w:tc>
          <w:tcPr>
            <w:tcW w:w="1559" w:type="dxa"/>
            <w:shd w:val="clear" w:color="auto" w:fill="15272F" w:themeFill="accent1"/>
          </w:tcPr>
          <w:p w14:paraId="2EB3EF1F" w14:textId="725F4C0B" w:rsidR="005D3B24" w:rsidRPr="00D16D7C" w:rsidRDefault="005D3B24" w:rsidP="00FB301F">
            <w:pPr>
              <w:spacing w:line="276" w:lineRule="auto"/>
              <w:rPr>
                <w:rFonts w:cs="Arial"/>
                <w:b/>
                <w:bCs/>
                <w:color w:val="FFFFFF" w:themeColor="background2"/>
                <w:sz w:val="16"/>
                <w:szCs w:val="16"/>
              </w:rPr>
            </w:pPr>
            <w:r w:rsidRPr="00D16D7C">
              <w:rPr>
                <w:rFonts w:cs="Arial"/>
                <w:b/>
                <w:bCs/>
                <w:color w:val="FFFFFF" w:themeColor="background2"/>
                <w:sz w:val="16"/>
                <w:szCs w:val="16"/>
              </w:rPr>
              <w:t>Measure</w:t>
            </w:r>
          </w:p>
        </w:tc>
        <w:tc>
          <w:tcPr>
            <w:tcW w:w="2551" w:type="dxa"/>
            <w:shd w:val="clear" w:color="auto" w:fill="15272F" w:themeFill="accent1"/>
          </w:tcPr>
          <w:p w14:paraId="47E9412B" w14:textId="31E30E36" w:rsidR="005D3B24" w:rsidRPr="00D16D7C" w:rsidRDefault="005D3B24" w:rsidP="00FB301F">
            <w:pPr>
              <w:spacing w:line="276" w:lineRule="auto"/>
              <w:rPr>
                <w:rFonts w:cs="Arial"/>
                <w:b/>
                <w:bCs/>
                <w:color w:val="FFFFFF" w:themeColor="background2"/>
                <w:sz w:val="16"/>
                <w:szCs w:val="16"/>
              </w:rPr>
            </w:pPr>
            <w:r w:rsidRPr="00D16D7C">
              <w:rPr>
                <w:rFonts w:cs="Arial"/>
                <w:b/>
                <w:bCs/>
                <w:color w:val="FFFFFF" w:themeColor="background2"/>
                <w:sz w:val="16"/>
                <w:szCs w:val="16"/>
              </w:rPr>
              <w:t>Classification</w:t>
            </w:r>
          </w:p>
        </w:tc>
        <w:tc>
          <w:tcPr>
            <w:tcW w:w="3828" w:type="dxa"/>
            <w:shd w:val="clear" w:color="auto" w:fill="15272F" w:themeFill="accent1"/>
          </w:tcPr>
          <w:p w14:paraId="5A75DE58" w14:textId="10026B23" w:rsidR="005D3B24" w:rsidRPr="00D16D7C" w:rsidRDefault="005D3B24" w:rsidP="00FB301F">
            <w:pPr>
              <w:spacing w:line="276" w:lineRule="auto"/>
              <w:rPr>
                <w:rFonts w:cs="Arial"/>
                <w:b/>
                <w:bCs/>
                <w:color w:val="FFFFFF" w:themeColor="background2"/>
                <w:sz w:val="16"/>
                <w:szCs w:val="16"/>
              </w:rPr>
            </w:pPr>
            <w:r w:rsidRPr="00D16D7C">
              <w:rPr>
                <w:rFonts w:cs="Arial"/>
                <w:b/>
                <w:bCs/>
                <w:color w:val="FFFFFF" w:themeColor="background2"/>
                <w:sz w:val="16"/>
                <w:szCs w:val="16"/>
              </w:rPr>
              <w:t>Description</w:t>
            </w:r>
          </w:p>
        </w:tc>
      </w:tr>
      <w:tr w:rsidR="005D3B24" w:rsidRPr="0073580C" w14:paraId="28725137" w14:textId="77777777" w:rsidTr="00D16D7C">
        <w:tc>
          <w:tcPr>
            <w:tcW w:w="1555" w:type="dxa"/>
          </w:tcPr>
          <w:p w14:paraId="7FEF5847" w14:textId="44F16520" w:rsidR="005D3B24" w:rsidRPr="00D16D7C" w:rsidRDefault="000750C0" w:rsidP="00FB301F">
            <w:pPr>
              <w:spacing w:line="276" w:lineRule="auto"/>
              <w:rPr>
                <w:rFonts w:cs="Arial"/>
                <w:sz w:val="16"/>
                <w:szCs w:val="16"/>
              </w:rPr>
            </w:pPr>
            <w:r w:rsidRPr="0073580C">
              <w:rPr>
                <w:rFonts w:cs="Arial"/>
                <w:sz w:val="16"/>
                <w:szCs w:val="16"/>
              </w:rPr>
              <w:t>Admitted acute</w:t>
            </w:r>
          </w:p>
        </w:tc>
        <w:tc>
          <w:tcPr>
            <w:tcW w:w="1559" w:type="dxa"/>
          </w:tcPr>
          <w:p w14:paraId="1C1AAAAF" w14:textId="108D9610" w:rsidR="005D3B24" w:rsidRPr="00D16D7C" w:rsidRDefault="000750C0" w:rsidP="00FB301F">
            <w:pPr>
              <w:spacing w:line="276" w:lineRule="auto"/>
              <w:rPr>
                <w:rFonts w:cs="Arial"/>
                <w:sz w:val="16"/>
                <w:szCs w:val="16"/>
              </w:rPr>
            </w:pPr>
            <w:r w:rsidRPr="0073580C">
              <w:rPr>
                <w:rFonts w:cs="Arial"/>
                <w:sz w:val="16"/>
                <w:szCs w:val="16"/>
              </w:rPr>
              <w:t>Separations</w:t>
            </w:r>
          </w:p>
        </w:tc>
        <w:tc>
          <w:tcPr>
            <w:tcW w:w="2551" w:type="dxa"/>
          </w:tcPr>
          <w:p w14:paraId="4612BE09" w14:textId="6105ECBC" w:rsidR="005D3B24" w:rsidRPr="00D16D7C" w:rsidRDefault="000750C0" w:rsidP="00FB301F">
            <w:pPr>
              <w:spacing w:line="276" w:lineRule="auto"/>
              <w:rPr>
                <w:rFonts w:cs="Arial"/>
                <w:sz w:val="16"/>
                <w:szCs w:val="16"/>
              </w:rPr>
            </w:pPr>
            <w:r w:rsidRPr="00D16D7C">
              <w:rPr>
                <w:rFonts w:cs="Arial"/>
                <w:sz w:val="16"/>
                <w:szCs w:val="16"/>
              </w:rPr>
              <w:t>Australian Refined Diagnosis Related Groups (AR-DRG)</w:t>
            </w:r>
          </w:p>
        </w:tc>
        <w:tc>
          <w:tcPr>
            <w:tcW w:w="3828" w:type="dxa"/>
          </w:tcPr>
          <w:p w14:paraId="58113D87" w14:textId="2ABBC886" w:rsidR="005D3B24" w:rsidRPr="00D16D7C" w:rsidRDefault="000750C0" w:rsidP="00FB301F">
            <w:pPr>
              <w:spacing w:line="276" w:lineRule="auto"/>
              <w:rPr>
                <w:rFonts w:cs="Arial"/>
                <w:sz w:val="16"/>
                <w:szCs w:val="16"/>
              </w:rPr>
            </w:pPr>
            <w:r w:rsidRPr="0073580C">
              <w:rPr>
                <w:rFonts w:cs="Arial"/>
                <w:sz w:val="16"/>
                <w:szCs w:val="16"/>
              </w:rPr>
              <w:t>Represents a formal admission to hospital to receive short-term treatment.</w:t>
            </w:r>
          </w:p>
        </w:tc>
      </w:tr>
      <w:tr w:rsidR="005D3B24" w:rsidRPr="0073580C" w14:paraId="1D3CA518" w14:textId="77777777" w:rsidTr="00D16D7C">
        <w:tc>
          <w:tcPr>
            <w:tcW w:w="1555" w:type="dxa"/>
          </w:tcPr>
          <w:p w14:paraId="44A27768" w14:textId="6962EDE6" w:rsidR="005D3B24" w:rsidRPr="00D16D7C" w:rsidRDefault="005D3B24" w:rsidP="00FB301F">
            <w:pPr>
              <w:spacing w:line="276" w:lineRule="auto"/>
              <w:rPr>
                <w:rFonts w:cs="Arial"/>
                <w:sz w:val="16"/>
                <w:szCs w:val="16"/>
              </w:rPr>
            </w:pPr>
            <w:r w:rsidRPr="00D16D7C">
              <w:rPr>
                <w:rFonts w:cs="Arial"/>
                <w:sz w:val="16"/>
                <w:szCs w:val="16"/>
              </w:rPr>
              <w:t>Admitted subacute and non-acute</w:t>
            </w:r>
          </w:p>
        </w:tc>
        <w:tc>
          <w:tcPr>
            <w:tcW w:w="1559" w:type="dxa"/>
          </w:tcPr>
          <w:p w14:paraId="27CBB51D" w14:textId="4CFC78C0" w:rsidR="005D3B24" w:rsidRPr="00D16D7C" w:rsidRDefault="005F6B4B" w:rsidP="00FB301F">
            <w:pPr>
              <w:spacing w:line="276" w:lineRule="auto"/>
              <w:rPr>
                <w:rFonts w:cs="Arial"/>
                <w:sz w:val="16"/>
                <w:szCs w:val="16"/>
              </w:rPr>
            </w:pPr>
            <w:r w:rsidRPr="00D16D7C">
              <w:rPr>
                <w:rFonts w:cs="Arial"/>
                <w:sz w:val="16"/>
                <w:szCs w:val="16"/>
              </w:rPr>
              <w:t>Episodes and Phases</w:t>
            </w:r>
          </w:p>
        </w:tc>
        <w:tc>
          <w:tcPr>
            <w:tcW w:w="2551" w:type="dxa"/>
          </w:tcPr>
          <w:p w14:paraId="4CEFD554" w14:textId="37CB2A2B" w:rsidR="005D3B24" w:rsidRPr="00D16D7C" w:rsidRDefault="005F6B4B" w:rsidP="00FB301F">
            <w:pPr>
              <w:spacing w:line="276" w:lineRule="auto"/>
              <w:rPr>
                <w:rFonts w:cs="Arial"/>
                <w:sz w:val="16"/>
                <w:szCs w:val="16"/>
              </w:rPr>
            </w:pPr>
            <w:r w:rsidRPr="00D16D7C">
              <w:rPr>
                <w:rFonts w:cs="Arial"/>
                <w:sz w:val="16"/>
                <w:szCs w:val="16"/>
              </w:rPr>
              <w:t>Australian National Subacute and Non-Acute Patient (AN</w:t>
            </w:r>
            <w:r w:rsidR="000750C0" w:rsidRPr="0073580C">
              <w:rPr>
                <w:rFonts w:cs="Arial"/>
                <w:sz w:val="16"/>
                <w:szCs w:val="16"/>
              </w:rPr>
              <w:noBreakHyphen/>
            </w:r>
            <w:r w:rsidRPr="00D16D7C">
              <w:rPr>
                <w:rFonts w:cs="Arial"/>
                <w:sz w:val="16"/>
                <w:szCs w:val="16"/>
              </w:rPr>
              <w:t>SNAP)</w:t>
            </w:r>
          </w:p>
        </w:tc>
        <w:tc>
          <w:tcPr>
            <w:tcW w:w="3828" w:type="dxa"/>
          </w:tcPr>
          <w:p w14:paraId="27D7CF69" w14:textId="04E6A84C" w:rsidR="005D3B24" w:rsidRPr="00D16D7C" w:rsidRDefault="000750C0" w:rsidP="00FB301F">
            <w:pPr>
              <w:spacing w:line="276" w:lineRule="auto"/>
              <w:rPr>
                <w:rFonts w:cs="Arial"/>
                <w:sz w:val="16"/>
                <w:szCs w:val="16"/>
              </w:rPr>
            </w:pPr>
            <w:r w:rsidRPr="00D16D7C">
              <w:rPr>
                <w:rFonts w:cs="Arial"/>
                <w:sz w:val="16"/>
                <w:szCs w:val="16"/>
              </w:rPr>
              <w:t>Represents the delivery of a specialised care service relating to the optimisation of a patient’s functioning and quality of life. There are 4 subacute care types: rehabilitation, palliative care, geriatric evaluation and management, and psychogeriatric care; and one non-acute care type.</w:t>
            </w:r>
          </w:p>
        </w:tc>
      </w:tr>
      <w:tr w:rsidR="005D3B24" w:rsidRPr="0073580C" w14:paraId="322BE61E" w14:textId="77777777" w:rsidTr="00D16D7C">
        <w:tc>
          <w:tcPr>
            <w:tcW w:w="1555" w:type="dxa"/>
          </w:tcPr>
          <w:p w14:paraId="3A965B2B" w14:textId="0BFA6F7C" w:rsidR="005D3B24" w:rsidRPr="00D16D7C" w:rsidRDefault="000750C0" w:rsidP="00FB301F">
            <w:pPr>
              <w:spacing w:line="276" w:lineRule="auto"/>
              <w:rPr>
                <w:rFonts w:cs="Arial"/>
                <w:sz w:val="16"/>
                <w:szCs w:val="16"/>
              </w:rPr>
            </w:pPr>
            <w:r w:rsidRPr="00D16D7C">
              <w:rPr>
                <w:rFonts w:cs="Arial"/>
                <w:sz w:val="16"/>
                <w:szCs w:val="16"/>
              </w:rPr>
              <w:t>Emergency department</w:t>
            </w:r>
          </w:p>
        </w:tc>
        <w:tc>
          <w:tcPr>
            <w:tcW w:w="1559" w:type="dxa"/>
          </w:tcPr>
          <w:p w14:paraId="3534451B" w14:textId="48EF25FC" w:rsidR="005D3B24" w:rsidRPr="00D16D7C" w:rsidRDefault="000750C0" w:rsidP="00FB301F">
            <w:pPr>
              <w:spacing w:line="276" w:lineRule="auto"/>
              <w:rPr>
                <w:rFonts w:cs="Arial"/>
                <w:sz w:val="16"/>
                <w:szCs w:val="16"/>
              </w:rPr>
            </w:pPr>
            <w:r w:rsidRPr="00D16D7C">
              <w:rPr>
                <w:rFonts w:cs="Arial"/>
                <w:sz w:val="16"/>
                <w:szCs w:val="16"/>
              </w:rPr>
              <w:t>Presentations</w:t>
            </w:r>
          </w:p>
        </w:tc>
        <w:tc>
          <w:tcPr>
            <w:tcW w:w="2551" w:type="dxa"/>
          </w:tcPr>
          <w:p w14:paraId="314BF766" w14:textId="16F6A755" w:rsidR="005D3B24" w:rsidRPr="00D16D7C" w:rsidRDefault="000750C0" w:rsidP="00FB301F">
            <w:pPr>
              <w:spacing w:line="276" w:lineRule="auto"/>
              <w:rPr>
                <w:rFonts w:cs="Arial"/>
                <w:sz w:val="16"/>
                <w:szCs w:val="16"/>
              </w:rPr>
            </w:pPr>
            <w:r w:rsidRPr="00D16D7C">
              <w:rPr>
                <w:rFonts w:cs="Arial"/>
                <w:sz w:val="16"/>
                <w:szCs w:val="16"/>
              </w:rPr>
              <w:t>Australian Emergency Care Classification (AECC)</w:t>
            </w:r>
          </w:p>
        </w:tc>
        <w:tc>
          <w:tcPr>
            <w:tcW w:w="3828" w:type="dxa"/>
          </w:tcPr>
          <w:p w14:paraId="4A5ECEAF" w14:textId="63221D94" w:rsidR="005D3B24" w:rsidRPr="00D16D7C" w:rsidRDefault="000750C0" w:rsidP="00FB301F">
            <w:pPr>
              <w:spacing w:line="276" w:lineRule="auto"/>
              <w:rPr>
                <w:rFonts w:cs="Arial"/>
                <w:sz w:val="16"/>
                <w:szCs w:val="16"/>
              </w:rPr>
            </w:pPr>
            <w:r w:rsidRPr="0073580C">
              <w:rPr>
                <w:rFonts w:cs="Arial"/>
                <w:sz w:val="16"/>
                <w:szCs w:val="16"/>
              </w:rPr>
              <w:t>Represents the delivery of a service provided to a patient in a hospital’s emergency department.</w:t>
            </w:r>
          </w:p>
        </w:tc>
      </w:tr>
      <w:tr w:rsidR="005D3B24" w:rsidRPr="0073580C" w14:paraId="2DE56441" w14:textId="77777777" w:rsidTr="00D16D7C">
        <w:tc>
          <w:tcPr>
            <w:tcW w:w="1555" w:type="dxa"/>
          </w:tcPr>
          <w:p w14:paraId="5927DEDE" w14:textId="4381A646" w:rsidR="005D3B24" w:rsidRPr="00D16D7C" w:rsidRDefault="000750C0" w:rsidP="00FB301F">
            <w:pPr>
              <w:spacing w:line="276" w:lineRule="auto"/>
              <w:rPr>
                <w:rFonts w:cs="Arial"/>
                <w:sz w:val="16"/>
                <w:szCs w:val="16"/>
              </w:rPr>
            </w:pPr>
            <w:r w:rsidRPr="00D16D7C">
              <w:rPr>
                <w:rFonts w:cs="Arial"/>
                <w:sz w:val="16"/>
                <w:szCs w:val="16"/>
              </w:rPr>
              <w:t>Non-admitted</w:t>
            </w:r>
          </w:p>
        </w:tc>
        <w:tc>
          <w:tcPr>
            <w:tcW w:w="1559" w:type="dxa"/>
          </w:tcPr>
          <w:p w14:paraId="699DDFE9" w14:textId="35E67A26" w:rsidR="005D3B24" w:rsidRPr="00D16D7C" w:rsidRDefault="000750C0" w:rsidP="00FB301F">
            <w:pPr>
              <w:spacing w:line="276" w:lineRule="auto"/>
              <w:rPr>
                <w:rFonts w:cs="Arial"/>
                <w:sz w:val="16"/>
                <w:szCs w:val="16"/>
              </w:rPr>
            </w:pPr>
            <w:r w:rsidRPr="00D16D7C">
              <w:rPr>
                <w:rFonts w:cs="Arial"/>
                <w:sz w:val="16"/>
                <w:szCs w:val="16"/>
              </w:rPr>
              <w:t>Service events</w:t>
            </w:r>
          </w:p>
        </w:tc>
        <w:tc>
          <w:tcPr>
            <w:tcW w:w="2551" w:type="dxa"/>
          </w:tcPr>
          <w:p w14:paraId="68A3D1BF" w14:textId="22FB97F9" w:rsidR="005D3B24" w:rsidRPr="00D16D7C" w:rsidRDefault="000750C0" w:rsidP="00FB301F">
            <w:pPr>
              <w:spacing w:line="276" w:lineRule="auto"/>
              <w:rPr>
                <w:rFonts w:cs="Arial"/>
                <w:sz w:val="16"/>
                <w:szCs w:val="16"/>
              </w:rPr>
            </w:pPr>
            <w:r w:rsidRPr="00D16D7C">
              <w:rPr>
                <w:rFonts w:cs="Arial"/>
                <w:sz w:val="16"/>
                <w:szCs w:val="16"/>
              </w:rPr>
              <w:t>Tier 2 Non-Admitted Services (Tier 2)</w:t>
            </w:r>
          </w:p>
        </w:tc>
        <w:tc>
          <w:tcPr>
            <w:tcW w:w="3828" w:type="dxa"/>
          </w:tcPr>
          <w:p w14:paraId="6FB28000" w14:textId="10F9FEA1" w:rsidR="005D3B24" w:rsidRPr="00D16D7C" w:rsidRDefault="000750C0" w:rsidP="00FB301F">
            <w:pPr>
              <w:spacing w:line="276" w:lineRule="auto"/>
              <w:rPr>
                <w:rFonts w:cs="Arial"/>
                <w:sz w:val="16"/>
                <w:szCs w:val="16"/>
              </w:rPr>
            </w:pPr>
            <w:r w:rsidRPr="0073580C">
              <w:rPr>
                <w:rFonts w:cs="Arial"/>
                <w:sz w:val="16"/>
                <w:szCs w:val="16"/>
              </w:rPr>
              <w:t>Represents a patient encounter that has not undergone the formal hospital admission process and do not occupy a hospital bed.</w:t>
            </w:r>
          </w:p>
        </w:tc>
      </w:tr>
      <w:tr w:rsidR="005D3B24" w:rsidRPr="0073580C" w14:paraId="4C9407C8" w14:textId="77777777" w:rsidTr="00D16D7C">
        <w:tc>
          <w:tcPr>
            <w:tcW w:w="1555" w:type="dxa"/>
          </w:tcPr>
          <w:p w14:paraId="5443ECF3" w14:textId="6B3818F7" w:rsidR="005D3B24" w:rsidRPr="00D16D7C" w:rsidRDefault="000750C0" w:rsidP="00FB301F">
            <w:pPr>
              <w:spacing w:line="276" w:lineRule="auto"/>
              <w:rPr>
                <w:rFonts w:cs="Arial"/>
                <w:sz w:val="16"/>
                <w:szCs w:val="16"/>
              </w:rPr>
            </w:pPr>
            <w:r w:rsidRPr="00D16D7C">
              <w:rPr>
                <w:rFonts w:cs="Arial"/>
                <w:sz w:val="16"/>
                <w:szCs w:val="16"/>
              </w:rPr>
              <w:t>Admitted mental health</w:t>
            </w:r>
          </w:p>
        </w:tc>
        <w:tc>
          <w:tcPr>
            <w:tcW w:w="1559" w:type="dxa"/>
          </w:tcPr>
          <w:p w14:paraId="4CE6103A" w14:textId="50146F2B" w:rsidR="005D3B24" w:rsidRPr="00D16D7C" w:rsidRDefault="000750C0" w:rsidP="00FB301F">
            <w:pPr>
              <w:spacing w:line="276" w:lineRule="auto"/>
              <w:rPr>
                <w:rFonts w:cs="Arial"/>
                <w:sz w:val="16"/>
                <w:szCs w:val="16"/>
              </w:rPr>
            </w:pPr>
            <w:r w:rsidRPr="0073580C">
              <w:rPr>
                <w:rFonts w:cs="Arial"/>
                <w:sz w:val="16"/>
                <w:szCs w:val="16"/>
              </w:rPr>
              <w:t>Phases and episodes</w:t>
            </w:r>
          </w:p>
        </w:tc>
        <w:tc>
          <w:tcPr>
            <w:tcW w:w="2551" w:type="dxa"/>
          </w:tcPr>
          <w:p w14:paraId="34E333A8" w14:textId="77777777" w:rsidR="005D3B24" w:rsidRPr="00D16D7C" w:rsidRDefault="000750C0" w:rsidP="00FB301F">
            <w:pPr>
              <w:spacing w:line="276" w:lineRule="auto"/>
              <w:rPr>
                <w:rFonts w:cs="Arial"/>
                <w:sz w:val="16"/>
                <w:szCs w:val="16"/>
              </w:rPr>
            </w:pPr>
            <w:r w:rsidRPr="00D16D7C">
              <w:rPr>
                <w:rFonts w:cs="Arial"/>
                <w:sz w:val="16"/>
                <w:szCs w:val="16"/>
              </w:rPr>
              <w:t>Australian Mental Health Care Classification (AMHCC)</w:t>
            </w:r>
          </w:p>
          <w:p w14:paraId="310954C4" w14:textId="4EBB683E" w:rsidR="000750C0" w:rsidRPr="00D16D7C" w:rsidRDefault="000750C0" w:rsidP="00FB301F">
            <w:pPr>
              <w:spacing w:line="276" w:lineRule="auto"/>
              <w:rPr>
                <w:rFonts w:cs="Arial"/>
                <w:sz w:val="16"/>
                <w:szCs w:val="16"/>
              </w:rPr>
            </w:pPr>
            <w:r w:rsidRPr="00D16D7C">
              <w:rPr>
                <w:rFonts w:cs="Arial"/>
                <w:sz w:val="16"/>
                <w:szCs w:val="16"/>
              </w:rPr>
              <w:t>Australian Refined Diagnosis Related Groups (AR-DRG)</w:t>
            </w:r>
          </w:p>
        </w:tc>
        <w:tc>
          <w:tcPr>
            <w:tcW w:w="3828" w:type="dxa"/>
          </w:tcPr>
          <w:p w14:paraId="4E05B8EC" w14:textId="0B8E9A0E" w:rsidR="005D3B24" w:rsidRPr="00D16D7C" w:rsidRDefault="000750C0" w:rsidP="00FB301F">
            <w:pPr>
              <w:spacing w:line="276" w:lineRule="auto"/>
              <w:rPr>
                <w:rFonts w:cs="Arial"/>
                <w:sz w:val="16"/>
                <w:szCs w:val="16"/>
              </w:rPr>
            </w:pPr>
            <w:r w:rsidRPr="00D16D7C">
              <w:rPr>
                <w:rFonts w:cs="Arial"/>
                <w:sz w:val="16"/>
                <w:szCs w:val="16"/>
              </w:rPr>
              <w:t>Represents the delivery a mental health care service to a patient in an admitted setting.</w:t>
            </w:r>
            <w:r w:rsidR="0073580C" w:rsidRPr="00D16D7C">
              <w:rPr>
                <w:rFonts w:cs="Arial"/>
                <w:sz w:val="16"/>
                <w:szCs w:val="16"/>
              </w:rPr>
              <w:t xml:space="preserve"> Where only episode level data is available for admitted mental health care, then these episodes are classified under the AR</w:t>
            </w:r>
            <w:r w:rsidR="0073580C" w:rsidRPr="00D16D7C">
              <w:rPr>
                <w:rFonts w:cs="Arial"/>
                <w:sz w:val="16"/>
                <w:szCs w:val="16"/>
              </w:rPr>
              <w:noBreakHyphen/>
              <w:t>DRG classification.</w:t>
            </w:r>
          </w:p>
        </w:tc>
      </w:tr>
      <w:tr w:rsidR="000750C0" w:rsidRPr="0073580C" w14:paraId="566CAB6E" w14:textId="77777777" w:rsidTr="000750C0">
        <w:tc>
          <w:tcPr>
            <w:tcW w:w="1555" w:type="dxa"/>
          </w:tcPr>
          <w:p w14:paraId="5A7C7442" w14:textId="4914ED59" w:rsidR="000750C0" w:rsidRPr="0073580C" w:rsidRDefault="000750C0" w:rsidP="00FB301F">
            <w:pPr>
              <w:spacing w:line="276" w:lineRule="auto"/>
              <w:rPr>
                <w:rFonts w:cs="Arial"/>
                <w:sz w:val="16"/>
                <w:szCs w:val="16"/>
              </w:rPr>
            </w:pPr>
            <w:r w:rsidRPr="00D16D7C">
              <w:rPr>
                <w:rFonts w:cs="Arial"/>
                <w:sz w:val="16"/>
                <w:szCs w:val="16"/>
              </w:rPr>
              <w:t>Community mental health</w:t>
            </w:r>
          </w:p>
        </w:tc>
        <w:tc>
          <w:tcPr>
            <w:tcW w:w="1559" w:type="dxa"/>
          </w:tcPr>
          <w:p w14:paraId="7384FEF6" w14:textId="5017641B" w:rsidR="000750C0" w:rsidRPr="0073580C" w:rsidRDefault="000750C0" w:rsidP="00FB301F">
            <w:pPr>
              <w:spacing w:line="276" w:lineRule="auto"/>
              <w:rPr>
                <w:rFonts w:cs="Arial"/>
                <w:sz w:val="16"/>
                <w:szCs w:val="16"/>
              </w:rPr>
            </w:pPr>
            <w:r w:rsidRPr="0073580C">
              <w:rPr>
                <w:rFonts w:cs="Arial"/>
                <w:sz w:val="16"/>
                <w:szCs w:val="16"/>
              </w:rPr>
              <w:t>Phases and episodes</w:t>
            </w:r>
          </w:p>
        </w:tc>
        <w:tc>
          <w:tcPr>
            <w:tcW w:w="2551" w:type="dxa"/>
          </w:tcPr>
          <w:p w14:paraId="50360E4A" w14:textId="3408C7D1" w:rsidR="000750C0" w:rsidRPr="0073580C" w:rsidRDefault="000750C0" w:rsidP="00FB301F">
            <w:pPr>
              <w:spacing w:line="276" w:lineRule="auto"/>
              <w:rPr>
                <w:rFonts w:cs="Arial"/>
                <w:sz w:val="16"/>
                <w:szCs w:val="16"/>
              </w:rPr>
            </w:pPr>
            <w:r w:rsidRPr="00D16D7C">
              <w:rPr>
                <w:rFonts w:cs="Arial"/>
                <w:sz w:val="16"/>
                <w:szCs w:val="16"/>
              </w:rPr>
              <w:t>Australian Mental Health Care Classification (AMHCC)</w:t>
            </w:r>
          </w:p>
        </w:tc>
        <w:tc>
          <w:tcPr>
            <w:tcW w:w="3828" w:type="dxa"/>
          </w:tcPr>
          <w:p w14:paraId="44CF0E84" w14:textId="49C5B8ED" w:rsidR="000750C0" w:rsidRPr="0073580C" w:rsidRDefault="000750C0" w:rsidP="00FB301F">
            <w:pPr>
              <w:spacing w:line="276" w:lineRule="auto"/>
              <w:rPr>
                <w:rFonts w:cs="Arial"/>
                <w:sz w:val="16"/>
                <w:szCs w:val="16"/>
              </w:rPr>
            </w:pPr>
            <w:r w:rsidRPr="00D16D7C">
              <w:rPr>
                <w:rFonts w:cs="Arial"/>
                <w:sz w:val="16"/>
                <w:szCs w:val="16"/>
              </w:rPr>
              <w:t>Represents the delivery a mental health care service to a patient in a community setting.</w:t>
            </w:r>
          </w:p>
        </w:tc>
      </w:tr>
    </w:tbl>
    <w:p w14:paraId="63883339" w14:textId="7DA57ADB" w:rsidR="00BF3D5D" w:rsidRPr="00A42FF4" w:rsidRDefault="006C63FF" w:rsidP="00D16D7C">
      <w:pPr>
        <w:spacing w:before="160" w:line="276" w:lineRule="auto"/>
        <w:rPr>
          <w:rFonts w:cs="Arial"/>
        </w:rPr>
      </w:pPr>
      <w:r w:rsidRPr="00A42FF4">
        <w:rPr>
          <w:rFonts w:cs="Arial"/>
        </w:rPr>
        <w:lastRenderedPageBreak/>
        <w:t xml:space="preserve">The NHCDC </w:t>
      </w:r>
      <w:r w:rsidR="00831766" w:rsidRPr="00A42FF4">
        <w:rPr>
          <w:rFonts w:cstheme="majorBidi"/>
          <w:lang w:val="en-PH"/>
        </w:rPr>
        <w:t>2022-23</w:t>
      </w:r>
      <w:r w:rsidRPr="00A42FF4">
        <w:rPr>
          <w:rFonts w:cs="Arial"/>
        </w:rPr>
        <w:t xml:space="preserve"> data is </w:t>
      </w:r>
      <w:r w:rsidR="00204E81">
        <w:rPr>
          <w:rFonts w:cs="Arial"/>
        </w:rPr>
        <w:t>prepared</w:t>
      </w:r>
      <w:r w:rsidR="00204E81" w:rsidRPr="00A42FF4">
        <w:rPr>
          <w:rFonts w:cs="Arial"/>
        </w:rPr>
        <w:t xml:space="preserve"> </w:t>
      </w:r>
      <w:r w:rsidRPr="00A42FF4">
        <w:rPr>
          <w:rFonts w:cs="Arial"/>
        </w:rPr>
        <w:t xml:space="preserve">in accordance with the Australian </w:t>
      </w:r>
      <w:r w:rsidR="00E97E3B" w:rsidRPr="00A42FF4">
        <w:rPr>
          <w:rFonts w:cs="Arial"/>
        </w:rPr>
        <w:t xml:space="preserve">Hospital </w:t>
      </w:r>
      <w:r w:rsidRPr="00A42FF4">
        <w:rPr>
          <w:rFonts w:cs="Arial"/>
        </w:rPr>
        <w:t>Patient Costing Standards Version 4.</w:t>
      </w:r>
      <w:r w:rsidR="00FF6A30" w:rsidRPr="00A42FF4">
        <w:rPr>
          <w:rFonts w:cs="Arial"/>
        </w:rPr>
        <w:t>2</w:t>
      </w:r>
      <w:r w:rsidRPr="00A42FF4">
        <w:rPr>
          <w:rFonts w:cs="Arial"/>
        </w:rPr>
        <w:t xml:space="preserve"> (the Standards) available on </w:t>
      </w:r>
      <w:hyperlink r:id="rId16" w:history="1">
        <w:r w:rsidR="00EF3484" w:rsidRPr="006421E6">
          <w:rPr>
            <w:rStyle w:val="Hyperlink"/>
            <w:rFonts w:cs="Arial"/>
          </w:rPr>
          <w:t>IHACPA’s website</w:t>
        </w:r>
      </w:hyperlink>
      <w:r w:rsidRPr="00A42FF4">
        <w:rPr>
          <w:rFonts w:cs="Arial"/>
        </w:rPr>
        <w:t xml:space="preserve">. The Standards identify the </w:t>
      </w:r>
      <w:r w:rsidR="00EE76DB" w:rsidRPr="00A42FF4">
        <w:rPr>
          <w:rFonts w:cs="Arial"/>
        </w:rPr>
        <w:t xml:space="preserve">6 </w:t>
      </w:r>
      <w:r w:rsidR="000D6040">
        <w:rPr>
          <w:rFonts w:cs="Arial"/>
        </w:rPr>
        <w:t>stages</w:t>
      </w:r>
      <w:r w:rsidR="000D6040" w:rsidRPr="00A42FF4">
        <w:rPr>
          <w:rFonts w:cs="Arial"/>
        </w:rPr>
        <w:t xml:space="preserve"> </w:t>
      </w:r>
      <w:r w:rsidR="00E45937" w:rsidRPr="00A42FF4">
        <w:rPr>
          <w:rFonts w:cs="Arial"/>
        </w:rPr>
        <w:t>of</w:t>
      </w:r>
      <w:r w:rsidRPr="00A42FF4">
        <w:rPr>
          <w:rFonts w:cs="Arial"/>
        </w:rPr>
        <w:t xml:space="preserve"> the costing process to ensure </w:t>
      </w:r>
      <w:r w:rsidR="00F44DA7" w:rsidRPr="00A42FF4">
        <w:rPr>
          <w:rFonts w:cs="Arial"/>
        </w:rPr>
        <w:t>the</w:t>
      </w:r>
      <w:r w:rsidRPr="00A42FF4">
        <w:rPr>
          <w:rFonts w:cs="Arial"/>
        </w:rPr>
        <w:t xml:space="preserve"> consistent allocation of cost to activity.</w:t>
      </w:r>
    </w:p>
    <w:p w14:paraId="2BC8693B" w14:textId="7F9C5E5F" w:rsidR="00AD1F19" w:rsidRPr="00990D55" w:rsidRDefault="00A9176B" w:rsidP="00990D55">
      <w:pPr>
        <w:pStyle w:val="Heading3"/>
        <w:rPr>
          <w:sz w:val="28"/>
          <w:szCs w:val="28"/>
        </w:rPr>
      </w:pPr>
      <w:r>
        <w:rPr>
          <w:sz w:val="28"/>
          <w:szCs w:val="28"/>
        </w:rPr>
        <w:t>Reporting changes</w:t>
      </w:r>
      <w:r w:rsidR="00814842">
        <w:rPr>
          <w:sz w:val="28"/>
          <w:szCs w:val="28"/>
        </w:rPr>
        <w:t xml:space="preserve"> from 2021-22</w:t>
      </w:r>
    </w:p>
    <w:p w14:paraId="5CB8D984" w14:textId="2DC6ED9C" w:rsidR="00E97E3B" w:rsidRPr="00A42FF4" w:rsidRDefault="00FD08C0" w:rsidP="006C63FF">
      <w:pPr>
        <w:spacing w:line="276" w:lineRule="auto"/>
        <w:rPr>
          <w:rFonts w:cs="Arial"/>
        </w:rPr>
      </w:pPr>
      <w:r w:rsidRPr="00A42FF4">
        <w:rPr>
          <w:rFonts w:cs="Arial"/>
        </w:rPr>
        <w:t>IHACPA has removed the emergency department (ED) cost bucket, redistributing the costs to nursing, allied health, non-clinical, clinical supplies, imaging, pathology, and pharmacy cost buckets, to facilitate more meaningful analysis into cost drivers of the ED stream.</w:t>
      </w:r>
    </w:p>
    <w:p w14:paraId="0AA0EA56" w14:textId="718601D5" w:rsidR="00CF4C8C" w:rsidRPr="00A42FF4" w:rsidRDefault="00FD08C0" w:rsidP="006C63FF">
      <w:pPr>
        <w:spacing w:line="276" w:lineRule="auto"/>
        <w:rPr>
          <w:rFonts w:cs="Arial"/>
        </w:rPr>
      </w:pPr>
      <w:r w:rsidRPr="00A42FF4">
        <w:rPr>
          <w:rFonts w:cs="Arial"/>
        </w:rPr>
        <w:t>IHACPA has renamed the ‘Ward</w:t>
      </w:r>
      <w:r w:rsidR="00EF3484">
        <w:rPr>
          <w:rFonts w:cs="Arial"/>
        </w:rPr>
        <w:t xml:space="preserve"> </w:t>
      </w:r>
      <w:r w:rsidRPr="00A42FF4">
        <w:rPr>
          <w:rFonts w:cs="Arial"/>
        </w:rPr>
        <w:t>Medical’, ‘Ward</w:t>
      </w:r>
      <w:r w:rsidR="00EF3484">
        <w:rPr>
          <w:rFonts w:cs="Arial"/>
        </w:rPr>
        <w:t xml:space="preserve"> </w:t>
      </w:r>
      <w:r w:rsidRPr="00A42FF4">
        <w:rPr>
          <w:rFonts w:cs="Arial"/>
        </w:rPr>
        <w:t>Nursing’, and ‘Ward</w:t>
      </w:r>
      <w:r w:rsidR="00EF3484">
        <w:rPr>
          <w:rFonts w:cs="Arial"/>
        </w:rPr>
        <w:t xml:space="preserve"> </w:t>
      </w:r>
      <w:r w:rsidRPr="00A42FF4">
        <w:rPr>
          <w:rFonts w:cs="Arial"/>
        </w:rPr>
        <w:t>Supplies’ cost buckets to ‘Medical’, ‘Nursing’, and ‘Clinical Supplies’</w:t>
      </w:r>
      <w:r w:rsidR="002D6020">
        <w:rPr>
          <w:rFonts w:cs="Arial"/>
        </w:rPr>
        <w:t>,</w:t>
      </w:r>
      <w:r w:rsidRPr="00A42FF4">
        <w:rPr>
          <w:rFonts w:cs="Arial"/>
        </w:rPr>
        <w:t xml:space="preserve"> respectively. This change removes the inpatient bias associated with the word ‘Ward', </w:t>
      </w:r>
      <w:r w:rsidR="00CF4C8C" w:rsidRPr="00A42FF4">
        <w:rPr>
          <w:rFonts w:cs="Arial"/>
        </w:rPr>
        <w:t>more</w:t>
      </w:r>
      <w:r w:rsidRPr="00A42FF4">
        <w:rPr>
          <w:rFonts w:cs="Arial"/>
        </w:rPr>
        <w:t xml:space="preserve"> accurately reflect</w:t>
      </w:r>
      <w:r w:rsidR="00CF4C8C" w:rsidRPr="00A42FF4">
        <w:rPr>
          <w:rFonts w:cs="Arial"/>
        </w:rPr>
        <w:t>ing</w:t>
      </w:r>
      <w:r w:rsidRPr="00A42FF4">
        <w:rPr>
          <w:rFonts w:cs="Arial"/>
        </w:rPr>
        <w:t xml:space="preserve"> both inpatient and outpatient data.</w:t>
      </w:r>
    </w:p>
    <w:p w14:paraId="52E89693" w14:textId="6291C0A3" w:rsidR="00E97E3B" w:rsidRDefault="009D4F4C" w:rsidP="006C63FF">
      <w:pPr>
        <w:spacing w:line="276" w:lineRule="auto"/>
        <w:rPr>
          <w:rFonts w:cs="Arial"/>
        </w:rPr>
      </w:pPr>
      <w:r w:rsidRPr="00A42FF4">
        <w:rPr>
          <w:rFonts w:cs="Arial"/>
        </w:rPr>
        <w:t>‘</w:t>
      </w:r>
      <w:r w:rsidR="00E97E3B" w:rsidRPr="00A42FF4">
        <w:rPr>
          <w:rFonts w:cs="Arial"/>
        </w:rPr>
        <w:t>Unlinked Mental Health</w:t>
      </w:r>
      <w:r w:rsidRPr="00A42FF4">
        <w:rPr>
          <w:rFonts w:cs="Arial"/>
        </w:rPr>
        <w:t>’</w:t>
      </w:r>
      <w:r w:rsidR="00E97E3B" w:rsidRPr="00A42FF4">
        <w:rPr>
          <w:rFonts w:cs="Arial"/>
        </w:rPr>
        <w:t xml:space="preserve"> has been renamed to </w:t>
      </w:r>
      <w:r w:rsidRPr="00A42FF4">
        <w:rPr>
          <w:rFonts w:cs="Arial"/>
        </w:rPr>
        <w:t>‘</w:t>
      </w:r>
      <w:r w:rsidR="00E97E3B" w:rsidRPr="00A42FF4">
        <w:rPr>
          <w:rFonts w:cs="Arial"/>
        </w:rPr>
        <w:t>Ungroupable Mental Health</w:t>
      </w:r>
      <w:r w:rsidRPr="00A42FF4">
        <w:rPr>
          <w:rFonts w:cs="Arial"/>
        </w:rPr>
        <w:t>’</w:t>
      </w:r>
      <w:r w:rsidR="00EF3484">
        <w:rPr>
          <w:rFonts w:cs="Arial"/>
        </w:rPr>
        <w:t xml:space="preserve"> </w:t>
      </w:r>
      <w:r w:rsidR="00EF3484" w:rsidRPr="006421E6">
        <w:rPr>
          <w:rFonts w:cs="Arial"/>
        </w:rPr>
        <w:t>to more accurately describe the data in this stream.</w:t>
      </w:r>
      <w:r w:rsidR="00EC4FC0">
        <w:rPr>
          <w:rFonts w:cs="Arial"/>
        </w:rPr>
        <w:t xml:space="preserve"> </w:t>
      </w:r>
      <w:r w:rsidR="00EC4FC0" w:rsidRPr="00EC4FC0">
        <w:rPr>
          <w:rFonts w:cs="Arial"/>
        </w:rPr>
        <w:t>AMHCC requires several demographic and clinical characteristics for its grouper</w:t>
      </w:r>
      <w:r w:rsidR="00EC4FC0">
        <w:rPr>
          <w:rFonts w:cs="Arial"/>
        </w:rPr>
        <w:t>.</w:t>
      </w:r>
      <w:r w:rsidR="00EC4FC0" w:rsidRPr="00EC4FC0">
        <w:rPr>
          <w:rFonts w:cs="Arial"/>
        </w:rPr>
        <w:t xml:space="preserve"> </w:t>
      </w:r>
      <w:r w:rsidR="00EC4FC0">
        <w:rPr>
          <w:rFonts w:cs="Arial"/>
        </w:rPr>
        <w:t>If any</w:t>
      </w:r>
      <w:r w:rsidR="00EC4FC0" w:rsidRPr="00EC4FC0">
        <w:rPr>
          <w:rFonts w:cs="Arial"/>
        </w:rPr>
        <w:t xml:space="preserve"> information is missing</w:t>
      </w:r>
      <w:r w:rsidR="00EC4FC0">
        <w:rPr>
          <w:rFonts w:cs="Arial"/>
        </w:rPr>
        <w:t xml:space="preserve"> the record will</w:t>
      </w:r>
      <w:r w:rsidR="00EC4FC0" w:rsidRPr="00EC4FC0">
        <w:rPr>
          <w:rFonts w:cs="Arial"/>
        </w:rPr>
        <w:t xml:space="preserve"> default to an ungroupable class</w:t>
      </w:r>
      <w:r w:rsidR="00EC4FC0">
        <w:rPr>
          <w:rFonts w:cs="Arial"/>
        </w:rPr>
        <w:t xml:space="preserve">. For more information on AMHCC visit </w:t>
      </w:r>
      <w:hyperlink r:id="rId17" w:history="1">
        <w:r w:rsidR="00EC4FC0" w:rsidRPr="00EC4FC0">
          <w:rPr>
            <w:rStyle w:val="Hyperlink"/>
            <w:rFonts w:cs="Arial"/>
          </w:rPr>
          <w:t>IHACPA’s website</w:t>
        </w:r>
      </w:hyperlink>
      <w:r w:rsidR="00EC4FC0">
        <w:rPr>
          <w:rFonts w:cs="Arial"/>
        </w:rPr>
        <w:t>.</w:t>
      </w:r>
    </w:p>
    <w:p w14:paraId="4230878C" w14:textId="5E5B74C6" w:rsidR="00EF3484" w:rsidRPr="00152EE8" w:rsidRDefault="00EF3484" w:rsidP="00EF3484">
      <w:pPr>
        <w:spacing w:line="276" w:lineRule="auto"/>
        <w:rPr>
          <w:rFonts w:cs="Arial"/>
        </w:rPr>
      </w:pPr>
      <w:r w:rsidRPr="006421E6">
        <w:rPr>
          <w:rFonts w:cs="Arial"/>
        </w:rPr>
        <w:t>The</w:t>
      </w:r>
      <w:r w:rsidR="002D6020">
        <w:rPr>
          <w:rFonts w:cs="Arial"/>
        </w:rPr>
        <w:t>se</w:t>
      </w:r>
      <w:r w:rsidRPr="006421E6">
        <w:rPr>
          <w:rFonts w:cs="Arial"/>
        </w:rPr>
        <w:t xml:space="preserve"> changes are displayed in the NHCDC Data Request Specifications</w:t>
      </w:r>
      <w:r w:rsidR="00204E81">
        <w:rPr>
          <w:rFonts w:cs="Arial"/>
        </w:rPr>
        <w:t xml:space="preserve"> 2022-23</w:t>
      </w:r>
      <w:r w:rsidRPr="006421E6">
        <w:rPr>
          <w:rFonts w:cs="Arial"/>
        </w:rPr>
        <w:t xml:space="preserve"> on </w:t>
      </w:r>
      <w:hyperlink r:id="rId18" w:history="1">
        <w:r w:rsidRPr="006421E6">
          <w:rPr>
            <w:rStyle w:val="Hyperlink"/>
            <w:rFonts w:cs="Arial"/>
          </w:rPr>
          <w:t>IHACPA’s website</w:t>
        </w:r>
      </w:hyperlink>
      <w:r w:rsidRPr="006421E6">
        <w:rPr>
          <w:rFonts w:cs="Arial"/>
        </w:rPr>
        <w:t xml:space="preserve"> </w:t>
      </w:r>
      <w:r w:rsidR="004959F6">
        <w:rPr>
          <w:rFonts w:cs="Arial"/>
        </w:rPr>
        <w:t>and have been implemented in this report</w:t>
      </w:r>
      <w:r w:rsidRPr="006421E6">
        <w:rPr>
          <w:rFonts w:cs="Arial"/>
        </w:rPr>
        <w:t>.</w:t>
      </w:r>
    </w:p>
    <w:p w14:paraId="5AC3E59E" w14:textId="1F709FEF" w:rsidR="0014435D" w:rsidRDefault="00621807" w:rsidP="00227F5D">
      <w:pPr>
        <w:pStyle w:val="Heading3"/>
        <w:rPr>
          <w:sz w:val="28"/>
          <w:szCs w:val="28"/>
        </w:rPr>
      </w:pPr>
      <w:bookmarkStart w:id="34" w:name="_Hlk192237406"/>
      <w:r>
        <w:rPr>
          <w:sz w:val="28"/>
          <w:szCs w:val="28"/>
        </w:rPr>
        <w:t>In-scope data</w:t>
      </w:r>
    </w:p>
    <w:bookmarkEnd w:id="34"/>
    <w:p w14:paraId="47B753BB" w14:textId="5E727C60" w:rsidR="00227F5D" w:rsidRPr="00A42FF4" w:rsidRDefault="000501B8" w:rsidP="00F25099">
      <w:pPr>
        <w:spacing w:line="276" w:lineRule="auto"/>
      </w:pPr>
      <w:r>
        <w:rPr>
          <w:rFonts w:cs="Arial"/>
        </w:rPr>
        <w:t>Data that is</w:t>
      </w:r>
      <w:r w:rsidR="00BF3D5D" w:rsidRPr="00A42FF4">
        <w:rPr>
          <w:rFonts w:cs="Arial"/>
        </w:rPr>
        <w:t xml:space="preserve"> in</w:t>
      </w:r>
      <w:r>
        <w:rPr>
          <w:rFonts w:cs="Arial"/>
        </w:rPr>
        <w:t xml:space="preserve"> </w:t>
      </w:r>
      <w:r w:rsidR="00BF3D5D" w:rsidRPr="00A42FF4">
        <w:rPr>
          <w:rFonts w:cs="Arial"/>
        </w:rPr>
        <w:t xml:space="preserve">scope for the NHCDC </w:t>
      </w:r>
      <w:r w:rsidR="00BF3D5D" w:rsidRPr="00A42FF4">
        <w:rPr>
          <w:rFonts w:cstheme="majorBidi"/>
          <w:lang w:val="en-PH"/>
        </w:rPr>
        <w:t>2022-23</w:t>
      </w:r>
      <w:r w:rsidR="00BF3D5D" w:rsidRPr="00A42FF4">
        <w:rPr>
          <w:rFonts w:cs="Arial"/>
        </w:rPr>
        <w:t xml:space="preserve"> includes all patient level activity for publicly funded services, provided in public or private hospitals. For all in-scope admitted activity, the episode</w:t>
      </w:r>
      <w:r w:rsidR="00EF3484">
        <w:rPr>
          <w:rFonts w:cs="Arial"/>
        </w:rPr>
        <w:t xml:space="preserve"> or phase</w:t>
      </w:r>
      <w:r w:rsidR="00BF3D5D" w:rsidRPr="00A42FF4">
        <w:rPr>
          <w:rFonts w:cs="Arial"/>
        </w:rPr>
        <w:t xml:space="preserve"> of care must have finished </w:t>
      </w:r>
      <w:r w:rsidR="000954E4">
        <w:rPr>
          <w:rFonts w:cs="Arial"/>
        </w:rPr>
        <w:t xml:space="preserve">within </w:t>
      </w:r>
      <w:r w:rsidR="00BF3D5D" w:rsidRPr="00A42FF4">
        <w:rPr>
          <w:rFonts w:cs="Arial"/>
        </w:rPr>
        <w:t xml:space="preserve">the </w:t>
      </w:r>
      <w:r w:rsidR="00BF3D5D" w:rsidRPr="00A42FF4">
        <w:rPr>
          <w:rFonts w:cstheme="majorBidi"/>
          <w:lang w:val="en-PH"/>
        </w:rPr>
        <w:t>2022-23</w:t>
      </w:r>
      <w:r w:rsidR="00BF3D5D" w:rsidRPr="00A42FF4">
        <w:rPr>
          <w:rFonts w:cs="Arial"/>
        </w:rPr>
        <w:t xml:space="preserve"> financial year</w:t>
      </w:r>
      <w:r w:rsidR="00AB32A9">
        <w:rPr>
          <w:rFonts w:cs="Arial"/>
        </w:rPr>
        <w:t xml:space="preserve">, with an admission date </w:t>
      </w:r>
      <w:r w:rsidR="00E164AD">
        <w:rPr>
          <w:rFonts w:cs="Arial"/>
        </w:rPr>
        <w:t>after 30 June 2021</w:t>
      </w:r>
      <w:r w:rsidR="00BF3D5D" w:rsidRPr="00A42FF4">
        <w:rPr>
          <w:rFonts w:cs="Arial"/>
        </w:rPr>
        <w:t xml:space="preserve">. </w:t>
      </w:r>
      <w:r w:rsidR="00227F5D" w:rsidRPr="00A42FF4">
        <w:t xml:space="preserve">Figure </w:t>
      </w:r>
      <w:r w:rsidR="007927F9" w:rsidRPr="00A42FF4">
        <w:t>1</w:t>
      </w:r>
      <w:r w:rsidR="00227F5D" w:rsidRPr="00A42FF4">
        <w:t xml:space="preserve"> </w:t>
      </w:r>
      <w:r w:rsidR="00621807" w:rsidRPr="00A42FF4">
        <w:t>shows the relationship between ABF activity</w:t>
      </w:r>
      <w:r w:rsidR="00EF3484">
        <w:t>,</w:t>
      </w:r>
      <w:r w:rsidR="00621807" w:rsidRPr="00A42FF4">
        <w:t xml:space="preserve"> NHCDC records</w:t>
      </w:r>
      <w:r w:rsidR="003303FF" w:rsidRPr="00A42FF4">
        <w:t xml:space="preserve"> and what is in</w:t>
      </w:r>
      <w:r w:rsidR="00207BEA">
        <w:t xml:space="preserve"> </w:t>
      </w:r>
      <w:r w:rsidR="003303FF" w:rsidRPr="00A42FF4">
        <w:t>scope for NH</w:t>
      </w:r>
      <w:r w:rsidR="000954E4">
        <w:t>C</w:t>
      </w:r>
      <w:r w:rsidR="003303FF" w:rsidRPr="00A42FF4">
        <w:t>DC reporting.</w:t>
      </w:r>
      <w:r w:rsidR="00621807" w:rsidRPr="00A42FF4">
        <w:t xml:space="preserve"> </w:t>
      </w:r>
      <w:r w:rsidRPr="00A42FF4">
        <w:t>Th</w:t>
      </w:r>
      <w:r w:rsidR="00CB391B">
        <w:t>is relationship is</w:t>
      </w:r>
      <w:r w:rsidR="00207BEA">
        <w:t xml:space="preserve"> the basis for all </w:t>
      </w:r>
      <w:r w:rsidR="00CB391B">
        <w:t>the</w:t>
      </w:r>
      <w:r>
        <w:t xml:space="preserve"> results presented in the</w:t>
      </w:r>
      <w:r w:rsidRPr="00A42FF4">
        <w:t xml:space="preserve"> </w:t>
      </w:r>
      <w:hyperlink r:id="rId19" w:history="1">
        <w:r w:rsidR="00C31A13" w:rsidRPr="00A42FF4">
          <w:rPr>
            <w:rStyle w:val="Hyperlink"/>
          </w:rPr>
          <w:t>Appendix Tables</w:t>
        </w:r>
      </w:hyperlink>
      <w:r w:rsidR="00112651" w:rsidRPr="00A42FF4">
        <w:t>.</w:t>
      </w:r>
    </w:p>
    <w:p w14:paraId="38167A1B" w14:textId="345838A1" w:rsidR="00EE3CAB" w:rsidRDefault="007927F9" w:rsidP="00530E79">
      <w:pPr>
        <w:pStyle w:val="TableFigureheading"/>
        <w:spacing w:before="240" w:after="240"/>
        <w:rPr>
          <w:rFonts w:cstheme="majorBidi"/>
          <w:szCs w:val="22"/>
          <w:lang w:val="en-PH"/>
        </w:rPr>
      </w:pPr>
      <w:bookmarkStart w:id="35" w:name="_Toc187312097"/>
      <w:r w:rsidRPr="0093558C">
        <w:rPr>
          <w:rFonts w:cstheme="majorBidi"/>
          <w:szCs w:val="22"/>
          <w:lang w:val="en-PH"/>
        </w:rPr>
        <w:t xml:space="preserve">Figure </w:t>
      </w:r>
      <w:r w:rsidRPr="0093558C">
        <w:rPr>
          <w:rFonts w:cstheme="majorBidi"/>
          <w:lang w:val="en-PH"/>
        </w:rPr>
        <w:fldChar w:fldCharType="begin"/>
      </w:r>
      <w:r w:rsidRPr="0093558C">
        <w:rPr>
          <w:rFonts w:cstheme="majorBidi"/>
          <w:szCs w:val="22"/>
          <w:lang w:val="en-PH"/>
        </w:rPr>
        <w:instrText xml:space="preserve"> SEQ Figure \* ARABIC </w:instrText>
      </w:r>
      <w:r w:rsidRPr="0093558C">
        <w:rPr>
          <w:rFonts w:cstheme="majorBidi"/>
          <w:lang w:val="en-PH"/>
        </w:rPr>
        <w:fldChar w:fldCharType="separate"/>
      </w:r>
      <w:r w:rsidR="00E537E7">
        <w:rPr>
          <w:rFonts w:cstheme="majorBidi"/>
          <w:noProof/>
          <w:szCs w:val="22"/>
          <w:lang w:val="en-PH"/>
        </w:rPr>
        <w:t>1</w:t>
      </w:r>
      <w:r w:rsidRPr="0093558C">
        <w:rPr>
          <w:rFonts w:cstheme="majorBidi"/>
          <w:lang w:val="en-PH"/>
        </w:rPr>
        <w:fldChar w:fldCharType="end"/>
      </w:r>
      <w:r w:rsidRPr="0093558C">
        <w:rPr>
          <w:rFonts w:cstheme="majorBidi"/>
          <w:szCs w:val="22"/>
          <w:lang w:val="en-PH"/>
        </w:rPr>
        <w:t xml:space="preserve">: </w:t>
      </w:r>
      <w:r w:rsidR="00074217" w:rsidRPr="00EA6CDF">
        <w:rPr>
          <w:rFonts w:cstheme="majorBidi"/>
          <w:szCs w:val="22"/>
          <w:lang w:val="en-PH"/>
        </w:rPr>
        <w:t xml:space="preserve">NHCDC records and ABF </w:t>
      </w:r>
      <w:r w:rsidR="004C2C17" w:rsidRPr="00EA6CDF">
        <w:rPr>
          <w:rFonts w:cstheme="majorBidi"/>
          <w:szCs w:val="22"/>
          <w:lang w:val="en-PH"/>
        </w:rPr>
        <w:t xml:space="preserve">activity </w:t>
      </w:r>
      <w:r w:rsidR="00621807" w:rsidRPr="00EA6CDF">
        <w:rPr>
          <w:rFonts w:cstheme="majorBidi"/>
          <w:szCs w:val="22"/>
          <w:lang w:val="en-PH"/>
        </w:rPr>
        <w:t>relationship</w:t>
      </w:r>
      <w:bookmarkEnd w:id="35"/>
    </w:p>
    <w:p w14:paraId="746A3CEB" w14:textId="5D1CA57C" w:rsidR="00791FF8" w:rsidRDefault="00791FF8" w:rsidP="004C2C17">
      <w:pPr>
        <w:jc w:val="center"/>
        <w:rPr>
          <w:color w:val="auto"/>
        </w:rPr>
      </w:pPr>
      <w:r>
        <w:rPr>
          <w:noProof/>
        </w:rPr>
        <w:drawing>
          <wp:inline distT="0" distB="0" distL="0" distR="0" wp14:anchorId="2F0570F9" wp14:editId="60B28030">
            <wp:extent cx="4218940" cy="3046676"/>
            <wp:effectExtent l="0" t="0" r="0" b="1905"/>
            <wp:docPr id="247422019" name="Picture 1" descr="A diagram of a number of activ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22019" name="Picture 1" descr="A diagram of a number of activities&#10;&#10;Description automatically generated"/>
                    <pic:cNvPicPr/>
                  </pic:nvPicPr>
                  <pic:blipFill>
                    <a:blip r:embed="rId20"/>
                    <a:stretch>
                      <a:fillRect/>
                    </a:stretch>
                  </pic:blipFill>
                  <pic:spPr>
                    <a:xfrm>
                      <a:off x="0" y="0"/>
                      <a:ext cx="4227149" cy="3052604"/>
                    </a:xfrm>
                    <a:prstGeom prst="rect">
                      <a:avLst/>
                    </a:prstGeom>
                  </pic:spPr>
                </pic:pic>
              </a:graphicData>
            </a:graphic>
          </wp:inline>
        </w:drawing>
      </w:r>
    </w:p>
    <w:p w14:paraId="06C98F4B" w14:textId="1BBE7E54" w:rsidR="006F64A7" w:rsidRDefault="006F64A7" w:rsidP="00F25099">
      <w:pPr>
        <w:rPr>
          <w:rFonts w:cs="Arial"/>
        </w:rPr>
      </w:pPr>
      <w:r>
        <w:rPr>
          <w:rFonts w:cs="Arial"/>
        </w:rPr>
        <w:lastRenderedPageBreak/>
        <w:t>Each section of the diagram displayed in Figure 1 is defined as:</w:t>
      </w:r>
    </w:p>
    <w:tbl>
      <w:tblPr>
        <w:tblW w:w="9913" w:type="dxa"/>
        <w:jc w:val="center"/>
        <w:tblLook w:val="04A0" w:firstRow="1" w:lastRow="0" w:firstColumn="1" w:lastColumn="0" w:noHBand="0" w:noVBand="1"/>
      </w:tblPr>
      <w:tblGrid>
        <w:gridCol w:w="1655"/>
        <w:gridCol w:w="5934"/>
        <w:gridCol w:w="1286"/>
        <w:gridCol w:w="1038"/>
      </w:tblGrid>
      <w:tr w:rsidR="00001148" w:rsidRPr="00AE67F8" w14:paraId="153ACDAF" w14:textId="77777777" w:rsidTr="00F25099">
        <w:trPr>
          <w:trHeight w:val="290"/>
          <w:jc w:val="center"/>
        </w:trPr>
        <w:tc>
          <w:tcPr>
            <w:tcW w:w="1672" w:type="dxa"/>
            <w:tcBorders>
              <w:top w:val="nil"/>
              <w:left w:val="single" w:sz="8" w:space="0" w:color="FFFFFF"/>
              <w:bottom w:val="nil"/>
              <w:right w:val="single" w:sz="8" w:space="0" w:color="FFFFFF"/>
            </w:tcBorders>
            <w:shd w:val="clear" w:color="000000" w:fill="15272F"/>
            <w:vAlign w:val="center"/>
            <w:hideMark/>
          </w:tcPr>
          <w:p w14:paraId="2C6050C4" w14:textId="7552B6F9" w:rsidR="00001148" w:rsidRPr="00D16D7C" w:rsidRDefault="00001148" w:rsidP="00530E79">
            <w:pPr>
              <w:spacing w:before="40" w:after="40" w:line="240" w:lineRule="auto"/>
              <w:jc w:val="center"/>
              <w:rPr>
                <w:rFonts w:eastAsia="Times New Roman" w:cs="Arial"/>
                <w:b/>
                <w:bCs/>
                <w:color w:val="FFFFFF"/>
                <w:sz w:val="18"/>
                <w:szCs w:val="18"/>
                <w:lang w:eastAsia="en-AU"/>
              </w:rPr>
            </w:pPr>
            <w:bookmarkStart w:id="36" w:name="_Hlk192237428"/>
            <w:r w:rsidRPr="00D16D7C">
              <w:rPr>
                <w:rFonts w:eastAsia="Times New Roman" w:cs="Arial"/>
                <w:b/>
                <w:bCs/>
                <w:color w:val="FFFFFF"/>
                <w:sz w:val="18"/>
                <w:szCs w:val="18"/>
                <w:lang w:eastAsia="en-AU"/>
              </w:rPr>
              <w:t> </w:t>
            </w:r>
            <w:r w:rsidR="0047595C" w:rsidRPr="00D16D7C">
              <w:rPr>
                <w:rFonts w:eastAsia="Times New Roman" w:cs="Arial"/>
                <w:b/>
                <w:bCs/>
                <w:color w:val="FFFFFF"/>
                <w:sz w:val="18"/>
                <w:szCs w:val="18"/>
                <w:lang w:eastAsia="en-AU"/>
              </w:rPr>
              <w:t>Section</w:t>
            </w:r>
          </w:p>
        </w:tc>
        <w:tc>
          <w:tcPr>
            <w:tcW w:w="6035" w:type="dxa"/>
            <w:tcBorders>
              <w:top w:val="nil"/>
              <w:left w:val="nil"/>
              <w:bottom w:val="nil"/>
              <w:right w:val="single" w:sz="8" w:space="0" w:color="FFFFFF"/>
            </w:tcBorders>
            <w:shd w:val="clear" w:color="000000" w:fill="15272F"/>
            <w:vAlign w:val="center"/>
            <w:hideMark/>
          </w:tcPr>
          <w:p w14:paraId="06072A53" w14:textId="77777777" w:rsidR="00001148" w:rsidRPr="00D16D7C" w:rsidRDefault="00001148" w:rsidP="00530E79">
            <w:pPr>
              <w:spacing w:before="40" w:after="40" w:line="240" w:lineRule="auto"/>
              <w:jc w:val="center"/>
              <w:rPr>
                <w:rFonts w:eastAsia="Times New Roman" w:cs="Arial"/>
                <w:b/>
                <w:bCs/>
                <w:color w:val="FFFFFF"/>
                <w:sz w:val="18"/>
                <w:szCs w:val="18"/>
                <w:lang w:eastAsia="en-AU"/>
              </w:rPr>
            </w:pPr>
            <w:r w:rsidRPr="00D16D7C">
              <w:rPr>
                <w:rFonts w:eastAsia="Times New Roman" w:cs="Arial"/>
                <w:b/>
                <w:bCs/>
                <w:color w:val="FFFFFF"/>
                <w:sz w:val="18"/>
                <w:szCs w:val="18"/>
                <w:lang w:eastAsia="en-AU"/>
              </w:rPr>
              <w:t>Description</w:t>
            </w:r>
          </w:p>
        </w:tc>
        <w:tc>
          <w:tcPr>
            <w:tcW w:w="1168" w:type="dxa"/>
            <w:tcBorders>
              <w:top w:val="nil"/>
              <w:left w:val="nil"/>
              <w:bottom w:val="nil"/>
              <w:right w:val="single" w:sz="8" w:space="0" w:color="FFFFFF"/>
            </w:tcBorders>
            <w:shd w:val="clear" w:color="000000" w:fill="15272F"/>
            <w:vAlign w:val="center"/>
            <w:hideMark/>
          </w:tcPr>
          <w:p w14:paraId="5BEF71B1" w14:textId="0B266F0F" w:rsidR="00001148" w:rsidRPr="00D16D7C" w:rsidRDefault="0047595C" w:rsidP="00530E79">
            <w:pPr>
              <w:spacing w:before="40" w:after="40" w:line="240" w:lineRule="auto"/>
              <w:jc w:val="center"/>
              <w:rPr>
                <w:rFonts w:eastAsia="Times New Roman" w:cs="Arial"/>
                <w:b/>
                <w:bCs/>
                <w:color w:val="FFFFFF"/>
                <w:sz w:val="18"/>
                <w:szCs w:val="18"/>
                <w:lang w:eastAsia="en-AU"/>
              </w:rPr>
            </w:pPr>
            <w:r w:rsidRPr="00D16D7C">
              <w:rPr>
                <w:rFonts w:eastAsia="Times New Roman" w:cs="Arial"/>
                <w:b/>
                <w:bCs/>
                <w:color w:val="FFFFFF"/>
                <w:sz w:val="18"/>
                <w:szCs w:val="18"/>
                <w:lang w:eastAsia="en-AU"/>
              </w:rPr>
              <w:t>NHCDC/ABF</w:t>
            </w:r>
            <w:r w:rsidR="00001148" w:rsidRPr="00D16D7C">
              <w:rPr>
                <w:rFonts w:eastAsia="Times New Roman" w:cs="Arial"/>
                <w:b/>
                <w:bCs/>
                <w:color w:val="FFFFFF"/>
                <w:sz w:val="18"/>
                <w:szCs w:val="18"/>
                <w:lang w:eastAsia="en-AU"/>
              </w:rPr>
              <w:t xml:space="preserve"> (million)</w:t>
            </w:r>
          </w:p>
        </w:tc>
        <w:tc>
          <w:tcPr>
            <w:tcW w:w="1038" w:type="dxa"/>
            <w:tcBorders>
              <w:top w:val="nil"/>
              <w:left w:val="nil"/>
              <w:bottom w:val="nil"/>
              <w:right w:val="single" w:sz="8" w:space="0" w:color="FFFFFF"/>
            </w:tcBorders>
            <w:shd w:val="clear" w:color="000000" w:fill="15272F"/>
            <w:vAlign w:val="center"/>
            <w:hideMark/>
          </w:tcPr>
          <w:p w14:paraId="0BE96E58" w14:textId="135B9909" w:rsidR="00001148" w:rsidRPr="00D16D7C" w:rsidRDefault="00001148" w:rsidP="00530E79">
            <w:pPr>
              <w:spacing w:before="40" w:after="40" w:line="240" w:lineRule="auto"/>
              <w:jc w:val="center"/>
              <w:rPr>
                <w:rFonts w:eastAsia="Times New Roman" w:cs="Arial"/>
                <w:b/>
                <w:bCs/>
                <w:color w:val="FFFFFF"/>
                <w:sz w:val="18"/>
                <w:szCs w:val="18"/>
                <w:lang w:eastAsia="en-AU"/>
              </w:rPr>
            </w:pPr>
            <w:r w:rsidRPr="00D16D7C">
              <w:rPr>
                <w:rFonts w:eastAsia="Times New Roman" w:cs="Arial"/>
                <w:b/>
                <w:bCs/>
                <w:color w:val="FFFFFF"/>
                <w:sz w:val="18"/>
                <w:szCs w:val="18"/>
                <w:lang w:eastAsia="en-AU"/>
              </w:rPr>
              <w:t>Cost ($million)</w:t>
            </w:r>
          </w:p>
        </w:tc>
      </w:tr>
      <w:tr w:rsidR="00001148" w:rsidRPr="00AE67F8" w14:paraId="134BF33C" w14:textId="77777777" w:rsidTr="00F25099">
        <w:trPr>
          <w:trHeight w:val="290"/>
          <w:jc w:val="center"/>
        </w:trPr>
        <w:tc>
          <w:tcPr>
            <w:tcW w:w="1672" w:type="dxa"/>
            <w:tcBorders>
              <w:top w:val="single" w:sz="8" w:space="0" w:color="D9D9D9"/>
              <w:left w:val="single" w:sz="8" w:space="0" w:color="FFFFFF"/>
              <w:bottom w:val="single" w:sz="8" w:space="0" w:color="D9D9D9"/>
              <w:right w:val="single" w:sz="8" w:space="0" w:color="FFFFFF"/>
            </w:tcBorders>
            <w:shd w:val="clear" w:color="000000" w:fill="F2F2F2"/>
            <w:vAlign w:val="center"/>
            <w:hideMark/>
          </w:tcPr>
          <w:p w14:paraId="0BF17065" w14:textId="023B9558" w:rsidR="00001148" w:rsidRPr="00D16D7C" w:rsidRDefault="00001148" w:rsidP="00530E79">
            <w:pPr>
              <w:spacing w:before="40" w:after="40" w:line="240" w:lineRule="auto"/>
              <w:rPr>
                <w:rFonts w:eastAsia="Times New Roman" w:cs="Arial"/>
                <w:color w:val="1C1C1C"/>
                <w:sz w:val="18"/>
                <w:szCs w:val="18"/>
                <w:lang w:eastAsia="en-AU"/>
              </w:rPr>
            </w:pPr>
            <w:r w:rsidRPr="00D16D7C">
              <w:rPr>
                <w:rFonts w:eastAsia="Times New Roman" w:cs="Arial"/>
                <w:color w:val="1C1C1C"/>
                <w:sz w:val="18"/>
                <w:szCs w:val="18"/>
                <w:lang w:eastAsia="en-AU"/>
              </w:rPr>
              <w:t xml:space="preserve">Total NHCDC </w:t>
            </w:r>
            <w:r w:rsidR="007C5145" w:rsidRPr="00D16D7C">
              <w:rPr>
                <w:rFonts w:eastAsia="Times New Roman" w:cs="Arial"/>
                <w:color w:val="1C1C1C"/>
                <w:sz w:val="18"/>
                <w:szCs w:val="18"/>
                <w:lang w:eastAsia="en-AU"/>
              </w:rPr>
              <w:t>r</w:t>
            </w:r>
            <w:r w:rsidRPr="00D16D7C">
              <w:rPr>
                <w:rFonts w:eastAsia="Times New Roman" w:cs="Arial"/>
                <w:color w:val="1C1C1C"/>
                <w:sz w:val="18"/>
                <w:szCs w:val="18"/>
                <w:lang w:eastAsia="en-AU"/>
              </w:rPr>
              <w:t>ecords</w:t>
            </w:r>
          </w:p>
        </w:tc>
        <w:tc>
          <w:tcPr>
            <w:tcW w:w="6035" w:type="dxa"/>
            <w:tcBorders>
              <w:top w:val="single" w:sz="8" w:space="0" w:color="D9D9D9"/>
              <w:left w:val="nil"/>
              <w:bottom w:val="single" w:sz="8" w:space="0" w:color="D9D9D9"/>
              <w:right w:val="single" w:sz="8" w:space="0" w:color="FFFFFF"/>
            </w:tcBorders>
            <w:shd w:val="clear" w:color="000000" w:fill="F2F2F2"/>
            <w:vAlign w:val="center"/>
            <w:hideMark/>
          </w:tcPr>
          <w:p w14:paraId="4871808C" w14:textId="39936EFD" w:rsidR="00001148" w:rsidRPr="00D16D7C" w:rsidRDefault="00E208FD" w:rsidP="00530E79">
            <w:pPr>
              <w:spacing w:before="40" w:after="40" w:line="240" w:lineRule="auto"/>
              <w:rPr>
                <w:rFonts w:eastAsia="Times New Roman" w:cs="Arial"/>
                <w:color w:val="15272F"/>
                <w:sz w:val="18"/>
                <w:szCs w:val="18"/>
                <w:lang w:eastAsia="en-AU"/>
              </w:rPr>
            </w:pPr>
            <w:r w:rsidRPr="00D16D7C">
              <w:rPr>
                <w:rFonts w:eastAsia="Arial" w:cs="Arial"/>
                <w:color w:val="15272F"/>
                <w:sz w:val="18"/>
                <w:szCs w:val="18"/>
                <w:lang w:eastAsia="en-AU"/>
              </w:rPr>
              <w:t>All</w:t>
            </w:r>
            <w:r w:rsidR="00001148" w:rsidRPr="00D16D7C">
              <w:rPr>
                <w:rFonts w:eastAsia="Arial" w:cs="Arial"/>
                <w:color w:val="15272F"/>
                <w:sz w:val="18"/>
                <w:szCs w:val="18"/>
                <w:lang w:eastAsia="en-AU"/>
              </w:rPr>
              <w:t xml:space="preserve"> NHCDC records </w:t>
            </w:r>
            <w:r w:rsidRPr="00D16D7C">
              <w:rPr>
                <w:rFonts w:eastAsia="Arial" w:cs="Arial"/>
                <w:color w:val="15272F"/>
                <w:sz w:val="18"/>
                <w:szCs w:val="18"/>
                <w:lang w:eastAsia="en-AU"/>
              </w:rPr>
              <w:t xml:space="preserve">IHACPA has </w:t>
            </w:r>
            <w:r w:rsidR="00001148" w:rsidRPr="00D16D7C">
              <w:rPr>
                <w:rFonts w:eastAsia="Arial" w:cs="Arial"/>
                <w:color w:val="15272F"/>
                <w:sz w:val="18"/>
                <w:szCs w:val="18"/>
                <w:lang w:eastAsia="en-AU"/>
              </w:rPr>
              <w:t>received from the jurisdictions.</w:t>
            </w:r>
          </w:p>
        </w:tc>
        <w:tc>
          <w:tcPr>
            <w:tcW w:w="1168" w:type="dxa"/>
            <w:tcBorders>
              <w:top w:val="single" w:sz="8" w:space="0" w:color="D9D9D9"/>
              <w:left w:val="nil"/>
              <w:bottom w:val="single" w:sz="8" w:space="0" w:color="D9D9D9"/>
              <w:right w:val="single" w:sz="8" w:space="0" w:color="FFFFFF"/>
            </w:tcBorders>
            <w:shd w:val="clear" w:color="000000" w:fill="F2F2F2"/>
            <w:vAlign w:val="center"/>
            <w:hideMark/>
          </w:tcPr>
          <w:p w14:paraId="455D5AFE" w14:textId="3F285481" w:rsidR="00001148" w:rsidRPr="00D16D7C" w:rsidRDefault="00001148" w:rsidP="00530E79">
            <w:pPr>
              <w:spacing w:before="40" w:after="40" w:line="240" w:lineRule="auto"/>
              <w:jc w:val="right"/>
              <w:rPr>
                <w:rFonts w:eastAsia="Times New Roman" w:cs="Arial"/>
                <w:color w:val="1C1C1C"/>
                <w:sz w:val="18"/>
                <w:szCs w:val="18"/>
                <w:lang w:eastAsia="en-AU"/>
              </w:rPr>
            </w:pPr>
            <w:r w:rsidRPr="00D16D7C">
              <w:rPr>
                <w:rFonts w:eastAsia="Times New Roman" w:cs="Arial"/>
                <w:color w:val="1C1C1C"/>
                <w:sz w:val="18"/>
                <w:szCs w:val="18"/>
                <w:lang w:eastAsia="en-AU"/>
              </w:rPr>
              <w:t>45.5</w:t>
            </w:r>
          </w:p>
        </w:tc>
        <w:tc>
          <w:tcPr>
            <w:tcW w:w="1038" w:type="dxa"/>
            <w:tcBorders>
              <w:top w:val="single" w:sz="8" w:space="0" w:color="D9D9D9"/>
              <w:left w:val="nil"/>
              <w:bottom w:val="single" w:sz="8" w:space="0" w:color="D9D9D9"/>
              <w:right w:val="single" w:sz="8" w:space="0" w:color="FFFFFF"/>
            </w:tcBorders>
            <w:shd w:val="clear" w:color="000000" w:fill="F2F2F2"/>
            <w:vAlign w:val="center"/>
            <w:hideMark/>
          </w:tcPr>
          <w:p w14:paraId="29789DD6" w14:textId="275B9E2D" w:rsidR="00001148" w:rsidRPr="00D16D7C" w:rsidRDefault="00001148" w:rsidP="00530E79">
            <w:pPr>
              <w:spacing w:before="40" w:after="40" w:line="240" w:lineRule="auto"/>
              <w:jc w:val="right"/>
              <w:rPr>
                <w:rFonts w:eastAsia="Times New Roman" w:cs="Arial"/>
                <w:color w:val="1C1C1C"/>
                <w:sz w:val="18"/>
                <w:szCs w:val="18"/>
                <w:lang w:eastAsia="en-AU"/>
              </w:rPr>
            </w:pPr>
            <w:r w:rsidRPr="00D16D7C">
              <w:rPr>
                <w:rFonts w:eastAsia="Times New Roman" w:cs="Arial"/>
                <w:color w:val="1C1C1C"/>
                <w:sz w:val="18"/>
                <w:szCs w:val="18"/>
                <w:lang w:eastAsia="en-AU"/>
              </w:rPr>
              <w:t>70</w:t>
            </w:r>
            <w:r w:rsidR="007C5145" w:rsidRPr="00D16D7C">
              <w:rPr>
                <w:rFonts w:eastAsia="Times New Roman" w:cs="Arial"/>
                <w:color w:val="1C1C1C"/>
                <w:sz w:val="18"/>
                <w:szCs w:val="18"/>
                <w:lang w:eastAsia="en-AU"/>
              </w:rPr>
              <w:t>,665.4</w:t>
            </w:r>
          </w:p>
        </w:tc>
      </w:tr>
      <w:tr w:rsidR="00001148" w:rsidRPr="00AE67F8" w14:paraId="7D601AA0" w14:textId="77777777" w:rsidTr="00F25099">
        <w:trPr>
          <w:trHeight w:val="290"/>
          <w:jc w:val="center"/>
        </w:trPr>
        <w:tc>
          <w:tcPr>
            <w:tcW w:w="1672" w:type="dxa"/>
            <w:tcBorders>
              <w:top w:val="nil"/>
              <w:left w:val="single" w:sz="8" w:space="0" w:color="FFFFFF"/>
              <w:bottom w:val="single" w:sz="8" w:space="0" w:color="D9D9D9"/>
              <w:right w:val="single" w:sz="8" w:space="0" w:color="FFFFFF"/>
            </w:tcBorders>
            <w:shd w:val="clear" w:color="000000" w:fill="F2F2F2"/>
            <w:vAlign w:val="center"/>
            <w:hideMark/>
          </w:tcPr>
          <w:p w14:paraId="63BF0C20" w14:textId="7382D512" w:rsidR="00001148" w:rsidRPr="00D16D7C" w:rsidRDefault="00001148" w:rsidP="00530E79">
            <w:pPr>
              <w:spacing w:before="40" w:after="40" w:line="240" w:lineRule="auto"/>
              <w:rPr>
                <w:rFonts w:eastAsia="Times New Roman" w:cs="Arial"/>
                <w:color w:val="1C1C1C"/>
                <w:sz w:val="18"/>
                <w:szCs w:val="18"/>
                <w:lang w:eastAsia="en-AU"/>
              </w:rPr>
            </w:pPr>
            <w:r w:rsidRPr="00D16D7C">
              <w:rPr>
                <w:rFonts w:eastAsia="Times New Roman" w:cs="Arial"/>
                <w:color w:val="1C1C1C"/>
                <w:sz w:val="18"/>
                <w:szCs w:val="18"/>
                <w:lang w:eastAsia="en-AU"/>
              </w:rPr>
              <w:t xml:space="preserve">Total ABF </w:t>
            </w:r>
            <w:r w:rsidR="007C5145" w:rsidRPr="00D16D7C">
              <w:rPr>
                <w:rFonts w:eastAsia="Times New Roman" w:cs="Arial"/>
                <w:color w:val="1C1C1C"/>
                <w:sz w:val="18"/>
                <w:szCs w:val="18"/>
                <w:lang w:eastAsia="en-AU"/>
              </w:rPr>
              <w:t>a</w:t>
            </w:r>
            <w:r w:rsidRPr="00D16D7C">
              <w:rPr>
                <w:rFonts w:eastAsia="Times New Roman" w:cs="Arial"/>
                <w:color w:val="1C1C1C"/>
                <w:sz w:val="18"/>
                <w:szCs w:val="18"/>
                <w:lang w:eastAsia="en-AU"/>
              </w:rPr>
              <w:t>ctivity</w:t>
            </w:r>
          </w:p>
        </w:tc>
        <w:tc>
          <w:tcPr>
            <w:tcW w:w="6035" w:type="dxa"/>
            <w:tcBorders>
              <w:top w:val="nil"/>
              <w:left w:val="nil"/>
              <w:bottom w:val="single" w:sz="8" w:space="0" w:color="D9D9D9"/>
              <w:right w:val="single" w:sz="8" w:space="0" w:color="FFFFFF"/>
            </w:tcBorders>
            <w:shd w:val="clear" w:color="000000" w:fill="F2F2F2"/>
            <w:vAlign w:val="center"/>
            <w:hideMark/>
          </w:tcPr>
          <w:p w14:paraId="334124D5" w14:textId="2216E85C" w:rsidR="00001148" w:rsidRPr="00D16D7C" w:rsidRDefault="00E208FD" w:rsidP="00530E79">
            <w:pPr>
              <w:spacing w:before="40" w:after="40" w:line="240" w:lineRule="auto"/>
              <w:rPr>
                <w:rFonts w:eastAsia="Times New Roman" w:cs="Arial"/>
                <w:color w:val="15272F"/>
                <w:sz w:val="18"/>
                <w:szCs w:val="18"/>
                <w:lang w:eastAsia="en-AU"/>
              </w:rPr>
            </w:pPr>
            <w:r w:rsidRPr="00D16D7C">
              <w:rPr>
                <w:rFonts w:eastAsia="Arial" w:cs="Arial"/>
                <w:color w:val="15272F"/>
                <w:sz w:val="18"/>
                <w:szCs w:val="18"/>
                <w:lang w:eastAsia="en-AU"/>
              </w:rPr>
              <w:t>All</w:t>
            </w:r>
            <w:r w:rsidR="00001148" w:rsidRPr="00D16D7C">
              <w:rPr>
                <w:rFonts w:eastAsia="Arial" w:cs="Arial"/>
                <w:color w:val="15272F"/>
                <w:sz w:val="18"/>
                <w:szCs w:val="18"/>
                <w:lang w:eastAsia="en-AU"/>
              </w:rPr>
              <w:t xml:space="preserve"> ABF activity IHACPA has received from the jurisdictions.</w:t>
            </w:r>
          </w:p>
        </w:tc>
        <w:tc>
          <w:tcPr>
            <w:tcW w:w="1168" w:type="dxa"/>
            <w:tcBorders>
              <w:top w:val="nil"/>
              <w:left w:val="nil"/>
              <w:bottom w:val="single" w:sz="8" w:space="0" w:color="D9D9D9"/>
              <w:right w:val="single" w:sz="8" w:space="0" w:color="FFFFFF"/>
            </w:tcBorders>
            <w:shd w:val="clear" w:color="000000" w:fill="F2F2F2"/>
            <w:vAlign w:val="center"/>
            <w:hideMark/>
          </w:tcPr>
          <w:p w14:paraId="652EC6DC" w14:textId="08F1F7F0" w:rsidR="00001148" w:rsidRPr="00D16D7C" w:rsidRDefault="00001148" w:rsidP="00530E79">
            <w:pPr>
              <w:spacing w:before="40" w:after="40" w:line="240" w:lineRule="auto"/>
              <w:jc w:val="right"/>
              <w:rPr>
                <w:rFonts w:eastAsia="Times New Roman" w:cs="Arial"/>
                <w:color w:val="1C1C1C"/>
                <w:sz w:val="18"/>
                <w:szCs w:val="18"/>
                <w:lang w:eastAsia="en-AU"/>
              </w:rPr>
            </w:pPr>
            <w:r w:rsidRPr="00D16D7C">
              <w:rPr>
                <w:rFonts w:eastAsia="Times New Roman" w:cs="Arial"/>
                <w:color w:val="1C1C1C"/>
                <w:sz w:val="18"/>
                <w:szCs w:val="18"/>
                <w:lang w:eastAsia="en-AU"/>
              </w:rPr>
              <w:t>5</w:t>
            </w:r>
            <w:r w:rsidR="0047595C" w:rsidRPr="00D16D7C">
              <w:rPr>
                <w:rFonts w:eastAsia="Times New Roman" w:cs="Arial"/>
                <w:color w:val="1C1C1C"/>
                <w:sz w:val="18"/>
                <w:szCs w:val="18"/>
                <w:lang w:eastAsia="en-AU"/>
              </w:rPr>
              <w:t>3</w:t>
            </w:r>
            <w:r w:rsidRPr="00D16D7C">
              <w:rPr>
                <w:rFonts w:eastAsia="Times New Roman" w:cs="Arial"/>
                <w:color w:val="1C1C1C"/>
                <w:sz w:val="18"/>
                <w:szCs w:val="18"/>
                <w:lang w:eastAsia="en-AU"/>
              </w:rPr>
              <w:t>.3</w:t>
            </w:r>
          </w:p>
        </w:tc>
        <w:tc>
          <w:tcPr>
            <w:tcW w:w="1038" w:type="dxa"/>
            <w:tcBorders>
              <w:top w:val="nil"/>
              <w:left w:val="nil"/>
              <w:bottom w:val="single" w:sz="8" w:space="0" w:color="D9D9D9"/>
              <w:right w:val="single" w:sz="8" w:space="0" w:color="FFFFFF"/>
            </w:tcBorders>
            <w:shd w:val="clear" w:color="000000" w:fill="F2F2F2"/>
            <w:vAlign w:val="center"/>
            <w:hideMark/>
          </w:tcPr>
          <w:p w14:paraId="4E8FCAB3" w14:textId="31A2E8FF" w:rsidR="00001148" w:rsidRPr="00D16D7C" w:rsidRDefault="00001148" w:rsidP="00530E79">
            <w:pPr>
              <w:spacing w:before="40" w:after="40" w:line="240" w:lineRule="auto"/>
              <w:jc w:val="right"/>
              <w:rPr>
                <w:rFonts w:eastAsia="Times New Roman" w:cs="Arial"/>
                <w:color w:val="1C1C1C"/>
                <w:sz w:val="18"/>
                <w:szCs w:val="18"/>
                <w:lang w:eastAsia="en-AU"/>
              </w:rPr>
            </w:pPr>
            <w:r w:rsidRPr="00D16D7C">
              <w:rPr>
                <w:rFonts w:eastAsia="Times New Roman" w:cs="Arial"/>
                <w:color w:val="1C1C1C"/>
                <w:sz w:val="18"/>
                <w:szCs w:val="18"/>
                <w:lang w:eastAsia="en-AU"/>
              </w:rPr>
              <w:t>-</w:t>
            </w:r>
          </w:p>
        </w:tc>
      </w:tr>
      <w:tr w:rsidR="00001148" w:rsidRPr="00AE67F8" w14:paraId="4B6282EF" w14:textId="77777777" w:rsidTr="00F25099">
        <w:trPr>
          <w:trHeight w:val="410"/>
          <w:jc w:val="center"/>
        </w:trPr>
        <w:tc>
          <w:tcPr>
            <w:tcW w:w="1672" w:type="dxa"/>
            <w:tcBorders>
              <w:top w:val="nil"/>
              <w:left w:val="single" w:sz="8" w:space="0" w:color="FFFFFF"/>
              <w:bottom w:val="single" w:sz="8" w:space="0" w:color="D9D9D9"/>
              <w:right w:val="single" w:sz="8" w:space="0" w:color="FFFFFF"/>
            </w:tcBorders>
            <w:shd w:val="clear" w:color="000000" w:fill="F2F2F2"/>
            <w:vAlign w:val="center"/>
            <w:hideMark/>
          </w:tcPr>
          <w:p w14:paraId="6AEA7804" w14:textId="0B92366F" w:rsidR="00001148" w:rsidRPr="00D16D7C" w:rsidRDefault="00001148" w:rsidP="00530E79">
            <w:pPr>
              <w:spacing w:before="40" w:after="40" w:line="240" w:lineRule="auto"/>
              <w:rPr>
                <w:rFonts w:eastAsia="Times New Roman" w:cs="Arial"/>
                <w:color w:val="1C1C1C"/>
                <w:sz w:val="18"/>
                <w:szCs w:val="18"/>
                <w:lang w:eastAsia="en-AU"/>
              </w:rPr>
            </w:pPr>
            <w:r w:rsidRPr="00D16D7C">
              <w:rPr>
                <w:rFonts w:eastAsia="Times New Roman" w:cs="Arial"/>
                <w:color w:val="1C1C1C"/>
                <w:sz w:val="18"/>
                <w:szCs w:val="18"/>
                <w:lang w:eastAsia="en-AU"/>
              </w:rPr>
              <w:t xml:space="preserve">Unlinked NHCDC </w:t>
            </w:r>
            <w:r w:rsidR="007C5145" w:rsidRPr="00D16D7C">
              <w:rPr>
                <w:rFonts w:eastAsia="Times New Roman" w:cs="Arial"/>
                <w:color w:val="1C1C1C"/>
                <w:sz w:val="18"/>
                <w:szCs w:val="18"/>
                <w:lang w:eastAsia="en-AU"/>
              </w:rPr>
              <w:t>r</w:t>
            </w:r>
            <w:r w:rsidRPr="00D16D7C">
              <w:rPr>
                <w:rFonts w:eastAsia="Times New Roman" w:cs="Arial"/>
                <w:color w:val="1C1C1C"/>
                <w:sz w:val="18"/>
                <w:szCs w:val="18"/>
                <w:lang w:eastAsia="en-AU"/>
              </w:rPr>
              <w:t>ecords</w:t>
            </w:r>
          </w:p>
        </w:tc>
        <w:tc>
          <w:tcPr>
            <w:tcW w:w="6035" w:type="dxa"/>
            <w:tcBorders>
              <w:top w:val="nil"/>
              <w:left w:val="nil"/>
              <w:bottom w:val="single" w:sz="8" w:space="0" w:color="D9D9D9"/>
              <w:right w:val="single" w:sz="8" w:space="0" w:color="FFFFFF"/>
            </w:tcBorders>
            <w:shd w:val="clear" w:color="000000" w:fill="F2F2F2"/>
            <w:vAlign w:val="center"/>
            <w:hideMark/>
          </w:tcPr>
          <w:p w14:paraId="400B1016" w14:textId="58177CBE" w:rsidR="00001148" w:rsidRPr="00D16D7C" w:rsidRDefault="00E208FD" w:rsidP="00530E79">
            <w:pPr>
              <w:spacing w:before="40" w:after="40" w:line="240" w:lineRule="auto"/>
              <w:rPr>
                <w:rFonts w:eastAsia="Times New Roman" w:cs="Arial"/>
                <w:color w:val="15272F"/>
                <w:sz w:val="18"/>
                <w:szCs w:val="18"/>
                <w:lang w:eastAsia="en-AU"/>
              </w:rPr>
            </w:pPr>
            <w:r w:rsidRPr="00D16D7C">
              <w:rPr>
                <w:rFonts w:eastAsia="Arial" w:cs="Arial"/>
                <w:color w:val="15272F"/>
                <w:sz w:val="18"/>
                <w:szCs w:val="18"/>
                <w:lang w:eastAsia="en-AU"/>
              </w:rPr>
              <w:t>NHCDC records</w:t>
            </w:r>
            <w:r w:rsidR="00001148" w:rsidRPr="00D16D7C">
              <w:rPr>
                <w:rFonts w:eastAsia="Arial" w:cs="Arial"/>
                <w:color w:val="15272F"/>
                <w:sz w:val="18"/>
                <w:szCs w:val="18"/>
                <w:lang w:eastAsia="en-AU"/>
              </w:rPr>
              <w:t xml:space="preserve"> that cannot be linked to a record in the ABF data set and are excluded from the average cost, cost weights, and NEP development.</w:t>
            </w:r>
          </w:p>
        </w:tc>
        <w:tc>
          <w:tcPr>
            <w:tcW w:w="1168" w:type="dxa"/>
            <w:tcBorders>
              <w:top w:val="nil"/>
              <w:left w:val="nil"/>
              <w:bottom w:val="single" w:sz="8" w:space="0" w:color="D9D9D9"/>
              <w:right w:val="single" w:sz="8" w:space="0" w:color="FFFFFF"/>
            </w:tcBorders>
            <w:shd w:val="clear" w:color="000000" w:fill="F2F2F2"/>
            <w:vAlign w:val="center"/>
            <w:hideMark/>
          </w:tcPr>
          <w:p w14:paraId="037505B8" w14:textId="781DB489" w:rsidR="00001148" w:rsidRPr="00D16D7C" w:rsidRDefault="00001148" w:rsidP="00530E79">
            <w:pPr>
              <w:spacing w:before="40" w:after="40" w:line="240" w:lineRule="auto"/>
              <w:jc w:val="right"/>
              <w:rPr>
                <w:rFonts w:eastAsia="Times New Roman" w:cs="Arial"/>
                <w:color w:val="1C1C1C"/>
                <w:sz w:val="18"/>
                <w:szCs w:val="18"/>
                <w:lang w:eastAsia="en-AU"/>
              </w:rPr>
            </w:pPr>
            <w:r w:rsidRPr="00D16D7C">
              <w:rPr>
                <w:rFonts w:eastAsia="Times New Roman" w:cs="Arial"/>
                <w:color w:val="1C1C1C"/>
                <w:sz w:val="18"/>
                <w:szCs w:val="18"/>
                <w:lang w:eastAsia="en-AU"/>
              </w:rPr>
              <w:t>1.3</w:t>
            </w:r>
          </w:p>
        </w:tc>
        <w:tc>
          <w:tcPr>
            <w:tcW w:w="1038" w:type="dxa"/>
            <w:tcBorders>
              <w:top w:val="nil"/>
              <w:left w:val="nil"/>
              <w:bottom w:val="single" w:sz="8" w:space="0" w:color="D9D9D9"/>
              <w:right w:val="single" w:sz="8" w:space="0" w:color="FFFFFF"/>
            </w:tcBorders>
            <w:shd w:val="clear" w:color="000000" w:fill="F2F2F2"/>
            <w:vAlign w:val="center"/>
            <w:hideMark/>
          </w:tcPr>
          <w:p w14:paraId="3B6922A2" w14:textId="3A95C74B" w:rsidR="00001148" w:rsidRPr="00D16D7C" w:rsidRDefault="00001148" w:rsidP="00530E79">
            <w:pPr>
              <w:spacing w:before="40" w:after="40" w:line="240" w:lineRule="auto"/>
              <w:jc w:val="right"/>
              <w:rPr>
                <w:rFonts w:eastAsia="Times New Roman" w:cs="Arial"/>
                <w:color w:val="1C1C1C"/>
                <w:sz w:val="18"/>
                <w:szCs w:val="18"/>
                <w:lang w:eastAsia="en-AU"/>
              </w:rPr>
            </w:pPr>
            <w:r w:rsidRPr="00D16D7C">
              <w:rPr>
                <w:rFonts w:eastAsia="Times New Roman" w:cs="Arial"/>
                <w:color w:val="1C1C1C"/>
                <w:sz w:val="18"/>
                <w:szCs w:val="18"/>
                <w:lang w:eastAsia="en-AU"/>
              </w:rPr>
              <w:t>53</w:t>
            </w:r>
            <w:r w:rsidR="0043061C">
              <w:rPr>
                <w:rFonts w:eastAsia="Times New Roman" w:cs="Arial"/>
                <w:color w:val="1C1C1C"/>
                <w:sz w:val="18"/>
                <w:szCs w:val="18"/>
                <w:lang w:eastAsia="en-AU"/>
              </w:rPr>
              <w:t>0</w:t>
            </w:r>
            <w:r w:rsidRPr="00D16D7C">
              <w:rPr>
                <w:rFonts w:eastAsia="Times New Roman" w:cs="Arial"/>
                <w:color w:val="1C1C1C"/>
                <w:sz w:val="18"/>
                <w:szCs w:val="18"/>
                <w:lang w:eastAsia="en-AU"/>
              </w:rPr>
              <w:t>.</w:t>
            </w:r>
            <w:r w:rsidR="0043061C">
              <w:rPr>
                <w:rFonts w:eastAsia="Times New Roman" w:cs="Arial"/>
                <w:color w:val="1C1C1C"/>
                <w:sz w:val="18"/>
                <w:szCs w:val="18"/>
                <w:lang w:eastAsia="en-AU"/>
              </w:rPr>
              <w:t>0</w:t>
            </w:r>
          </w:p>
        </w:tc>
      </w:tr>
      <w:tr w:rsidR="00001148" w:rsidRPr="00AE67F8" w14:paraId="6AE04693" w14:textId="77777777" w:rsidTr="00F25099">
        <w:trPr>
          <w:trHeight w:val="410"/>
          <w:jc w:val="center"/>
        </w:trPr>
        <w:tc>
          <w:tcPr>
            <w:tcW w:w="1672" w:type="dxa"/>
            <w:tcBorders>
              <w:top w:val="nil"/>
              <w:left w:val="single" w:sz="8" w:space="0" w:color="FFFFFF"/>
              <w:bottom w:val="single" w:sz="8" w:space="0" w:color="D9D9D9"/>
              <w:right w:val="single" w:sz="8" w:space="0" w:color="FFFFFF"/>
            </w:tcBorders>
            <w:shd w:val="clear" w:color="000000" w:fill="F2F2F2"/>
            <w:vAlign w:val="center"/>
            <w:hideMark/>
          </w:tcPr>
          <w:p w14:paraId="1D45DBC0" w14:textId="15401350" w:rsidR="00001148" w:rsidRPr="00D16D7C" w:rsidRDefault="00001148" w:rsidP="00530E79">
            <w:pPr>
              <w:spacing w:before="40" w:after="40" w:line="240" w:lineRule="auto"/>
              <w:rPr>
                <w:rFonts w:eastAsia="Times New Roman" w:cs="Arial"/>
                <w:color w:val="1C1C1C"/>
                <w:sz w:val="18"/>
                <w:szCs w:val="18"/>
                <w:lang w:eastAsia="en-AU"/>
              </w:rPr>
            </w:pPr>
            <w:r w:rsidRPr="00D16D7C">
              <w:rPr>
                <w:rFonts w:eastAsia="Times New Roman" w:cs="Arial"/>
                <w:color w:val="1C1C1C"/>
                <w:sz w:val="18"/>
                <w:szCs w:val="18"/>
                <w:lang w:eastAsia="en-AU"/>
              </w:rPr>
              <w:t xml:space="preserve">Unlinked ABF </w:t>
            </w:r>
            <w:r w:rsidR="007C5145" w:rsidRPr="00D16D7C">
              <w:rPr>
                <w:rFonts w:eastAsia="Times New Roman" w:cs="Arial"/>
                <w:color w:val="1C1C1C"/>
                <w:sz w:val="18"/>
                <w:szCs w:val="18"/>
                <w:lang w:eastAsia="en-AU"/>
              </w:rPr>
              <w:t>a</w:t>
            </w:r>
            <w:r w:rsidRPr="00D16D7C">
              <w:rPr>
                <w:rFonts w:eastAsia="Times New Roman" w:cs="Arial"/>
                <w:color w:val="1C1C1C"/>
                <w:sz w:val="18"/>
                <w:szCs w:val="18"/>
                <w:lang w:eastAsia="en-AU"/>
              </w:rPr>
              <w:t>ctivity</w:t>
            </w:r>
          </w:p>
        </w:tc>
        <w:tc>
          <w:tcPr>
            <w:tcW w:w="6035" w:type="dxa"/>
            <w:tcBorders>
              <w:top w:val="nil"/>
              <w:left w:val="nil"/>
              <w:bottom w:val="single" w:sz="8" w:space="0" w:color="D9D9D9"/>
              <w:right w:val="single" w:sz="8" w:space="0" w:color="FFFFFF"/>
            </w:tcBorders>
            <w:shd w:val="clear" w:color="000000" w:fill="F2F2F2"/>
            <w:vAlign w:val="center"/>
            <w:hideMark/>
          </w:tcPr>
          <w:p w14:paraId="1C0C0ED2" w14:textId="62D0C2C4" w:rsidR="00001148" w:rsidRPr="00D16D7C" w:rsidRDefault="00001148" w:rsidP="00530E79">
            <w:pPr>
              <w:spacing w:before="40" w:after="40" w:line="240" w:lineRule="auto"/>
              <w:rPr>
                <w:rFonts w:eastAsia="Times New Roman" w:cs="Arial"/>
                <w:color w:val="15272F"/>
                <w:sz w:val="18"/>
                <w:szCs w:val="18"/>
                <w:lang w:eastAsia="en-AU"/>
              </w:rPr>
            </w:pPr>
            <w:r w:rsidRPr="00D16D7C">
              <w:rPr>
                <w:rFonts w:eastAsia="Arial" w:cs="Arial"/>
                <w:color w:val="15272F"/>
                <w:sz w:val="18"/>
                <w:szCs w:val="18"/>
                <w:lang w:eastAsia="en-AU"/>
              </w:rPr>
              <w:t>ABF activity that cannot be linked to records in the cost data set and are excluded from the average cost, cost weights, and NEP development.</w:t>
            </w:r>
          </w:p>
        </w:tc>
        <w:tc>
          <w:tcPr>
            <w:tcW w:w="1168" w:type="dxa"/>
            <w:tcBorders>
              <w:top w:val="nil"/>
              <w:left w:val="nil"/>
              <w:bottom w:val="single" w:sz="8" w:space="0" w:color="D9D9D9"/>
              <w:right w:val="single" w:sz="8" w:space="0" w:color="FFFFFF"/>
            </w:tcBorders>
            <w:shd w:val="clear" w:color="000000" w:fill="F2F2F2"/>
            <w:vAlign w:val="center"/>
            <w:hideMark/>
          </w:tcPr>
          <w:p w14:paraId="15A15F5D" w14:textId="49A0588C" w:rsidR="00001148" w:rsidRPr="00D16D7C" w:rsidRDefault="0047595C" w:rsidP="00530E79">
            <w:pPr>
              <w:spacing w:before="40" w:after="40" w:line="240" w:lineRule="auto"/>
              <w:jc w:val="right"/>
              <w:rPr>
                <w:rFonts w:eastAsia="Times New Roman" w:cs="Arial"/>
                <w:color w:val="1C1C1C"/>
                <w:sz w:val="18"/>
                <w:szCs w:val="18"/>
                <w:lang w:eastAsia="en-AU"/>
              </w:rPr>
            </w:pPr>
            <w:r w:rsidRPr="00D16D7C">
              <w:rPr>
                <w:rFonts w:eastAsia="Times New Roman" w:cs="Arial"/>
                <w:color w:val="1C1C1C"/>
                <w:sz w:val="18"/>
                <w:szCs w:val="18"/>
                <w:lang w:eastAsia="en-AU"/>
              </w:rPr>
              <w:t>9.1</w:t>
            </w:r>
          </w:p>
        </w:tc>
        <w:tc>
          <w:tcPr>
            <w:tcW w:w="1038" w:type="dxa"/>
            <w:tcBorders>
              <w:top w:val="nil"/>
              <w:left w:val="nil"/>
              <w:bottom w:val="single" w:sz="8" w:space="0" w:color="D9D9D9"/>
              <w:right w:val="single" w:sz="8" w:space="0" w:color="FFFFFF"/>
            </w:tcBorders>
            <w:shd w:val="clear" w:color="000000" w:fill="F2F2F2"/>
            <w:vAlign w:val="center"/>
            <w:hideMark/>
          </w:tcPr>
          <w:p w14:paraId="6AD43ACA" w14:textId="6AB97996" w:rsidR="00001148" w:rsidRPr="00D16D7C" w:rsidRDefault="00001148" w:rsidP="00530E79">
            <w:pPr>
              <w:spacing w:before="40" w:after="40" w:line="240" w:lineRule="auto"/>
              <w:jc w:val="right"/>
              <w:rPr>
                <w:rFonts w:eastAsia="Times New Roman" w:cs="Arial"/>
                <w:color w:val="1C1C1C"/>
                <w:sz w:val="18"/>
                <w:szCs w:val="18"/>
                <w:lang w:eastAsia="en-AU"/>
              </w:rPr>
            </w:pPr>
            <w:r w:rsidRPr="00D16D7C">
              <w:rPr>
                <w:rFonts w:eastAsia="Times New Roman" w:cs="Arial"/>
                <w:color w:val="1C1C1C"/>
                <w:sz w:val="18"/>
                <w:szCs w:val="18"/>
                <w:lang w:eastAsia="en-AU"/>
              </w:rPr>
              <w:t>-</w:t>
            </w:r>
          </w:p>
        </w:tc>
      </w:tr>
      <w:tr w:rsidR="00001148" w:rsidRPr="00AE67F8" w14:paraId="7DF22F62" w14:textId="77777777" w:rsidTr="00F25099">
        <w:trPr>
          <w:trHeight w:val="610"/>
          <w:jc w:val="center"/>
        </w:trPr>
        <w:tc>
          <w:tcPr>
            <w:tcW w:w="1672" w:type="dxa"/>
            <w:tcBorders>
              <w:top w:val="nil"/>
              <w:left w:val="single" w:sz="8" w:space="0" w:color="FFFFFF"/>
              <w:bottom w:val="single" w:sz="8" w:space="0" w:color="D9D9D9"/>
              <w:right w:val="single" w:sz="8" w:space="0" w:color="FFFFFF"/>
            </w:tcBorders>
            <w:shd w:val="clear" w:color="000000" w:fill="F2F2F2"/>
            <w:vAlign w:val="center"/>
            <w:hideMark/>
          </w:tcPr>
          <w:p w14:paraId="39006486" w14:textId="3DC9A3F3" w:rsidR="00001148" w:rsidRPr="00D16D7C" w:rsidRDefault="00001148" w:rsidP="00530E79">
            <w:pPr>
              <w:spacing w:before="40" w:after="40" w:line="240" w:lineRule="auto"/>
              <w:rPr>
                <w:rFonts w:eastAsia="Times New Roman" w:cs="Arial"/>
                <w:color w:val="1C1C1C"/>
                <w:sz w:val="18"/>
                <w:szCs w:val="18"/>
                <w:lang w:eastAsia="en-AU"/>
              </w:rPr>
            </w:pPr>
            <w:r w:rsidRPr="00D16D7C">
              <w:rPr>
                <w:rFonts w:eastAsia="Times New Roman" w:cs="Arial"/>
                <w:color w:val="1C1C1C"/>
                <w:sz w:val="18"/>
                <w:szCs w:val="18"/>
                <w:lang w:eastAsia="en-AU"/>
              </w:rPr>
              <w:t>Out-of-</w:t>
            </w:r>
            <w:r w:rsidR="007C5145" w:rsidRPr="00D16D7C">
              <w:rPr>
                <w:rFonts w:eastAsia="Times New Roman" w:cs="Arial"/>
                <w:color w:val="1C1C1C"/>
                <w:sz w:val="18"/>
                <w:szCs w:val="18"/>
                <w:lang w:eastAsia="en-AU"/>
              </w:rPr>
              <w:t>s</w:t>
            </w:r>
            <w:r w:rsidRPr="00D16D7C">
              <w:rPr>
                <w:rFonts w:eastAsia="Times New Roman" w:cs="Arial"/>
                <w:color w:val="1C1C1C"/>
                <w:sz w:val="18"/>
                <w:szCs w:val="18"/>
                <w:lang w:eastAsia="en-AU"/>
              </w:rPr>
              <w:t>cope</w:t>
            </w:r>
            <w:r w:rsidR="007C5145" w:rsidRPr="00D16D7C">
              <w:rPr>
                <w:rFonts w:eastAsia="Times New Roman" w:cs="Arial"/>
                <w:color w:val="1C1C1C"/>
                <w:sz w:val="18"/>
                <w:szCs w:val="18"/>
                <w:lang w:eastAsia="en-AU"/>
              </w:rPr>
              <w:t xml:space="preserve"> costed activity</w:t>
            </w:r>
          </w:p>
        </w:tc>
        <w:tc>
          <w:tcPr>
            <w:tcW w:w="6035" w:type="dxa"/>
            <w:tcBorders>
              <w:top w:val="nil"/>
              <w:left w:val="nil"/>
              <w:bottom w:val="single" w:sz="8" w:space="0" w:color="D9D9D9"/>
              <w:right w:val="single" w:sz="8" w:space="0" w:color="FFFFFF"/>
            </w:tcBorders>
            <w:shd w:val="clear" w:color="000000" w:fill="F2F2F2"/>
            <w:vAlign w:val="center"/>
            <w:hideMark/>
          </w:tcPr>
          <w:p w14:paraId="5F1D2A8A" w14:textId="09281A80" w:rsidR="00001148" w:rsidRPr="00D16D7C" w:rsidRDefault="00001148" w:rsidP="00530E79">
            <w:pPr>
              <w:spacing w:before="40" w:after="40" w:line="240" w:lineRule="auto"/>
              <w:rPr>
                <w:rFonts w:eastAsia="Times New Roman" w:cs="Arial"/>
                <w:color w:val="15272F"/>
                <w:sz w:val="18"/>
                <w:szCs w:val="18"/>
                <w:lang w:eastAsia="en-AU"/>
              </w:rPr>
            </w:pPr>
            <w:r w:rsidRPr="00D16D7C">
              <w:rPr>
                <w:rFonts w:eastAsia="Arial" w:cs="Arial"/>
                <w:color w:val="15272F"/>
                <w:sz w:val="18"/>
                <w:szCs w:val="18"/>
                <w:lang w:eastAsia="en-AU"/>
              </w:rPr>
              <w:t xml:space="preserve">WIP episodes that have an episode start date </w:t>
            </w:r>
            <w:r w:rsidR="008B26EA" w:rsidRPr="00D16D7C">
              <w:rPr>
                <w:rFonts w:eastAsia="Arial" w:cs="Arial"/>
                <w:color w:val="15272F"/>
                <w:sz w:val="18"/>
                <w:szCs w:val="18"/>
                <w:lang w:eastAsia="en-AU"/>
              </w:rPr>
              <w:t xml:space="preserve">before 1 July 2021 with a discharge date within the 2022-23 financial year </w:t>
            </w:r>
            <w:r w:rsidRPr="00D16D7C">
              <w:rPr>
                <w:rFonts w:eastAsia="Arial" w:cs="Arial"/>
                <w:color w:val="15272F"/>
                <w:sz w:val="18"/>
                <w:szCs w:val="18"/>
                <w:lang w:eastAsia="en-AU"/>
              </w:rPr>
              <w:t>are out</w:t>
            </w:r>
            <w:r w:rsidR="004C219C" w:rsidRPr="00D16D7C">
              <w:rPr>
                <w:rFonts w:eastAsia="Arial" w:cs="Arial"/>
                <w:color w:val="15272F"/>
                <w:sz w:val="18"/>
                <w:szCs w:val="18"/>
                <w:lang w:eastAsia="en-AU"/>
              </w:rPr>
              <w:t xml:space="preserve"> </w:t>
            </w:r>
            <w:r w:rsidRPr="00D16D7C">
              <w:rPr>
                <w:rFonts w:eastAsia="Arial" w:cs="Arial"/>
                <w:color w:val="15272F"/>
                <w:sz w:val="18"/>
                <w:szCs w:val="18"/>
                <w:lang w:eastAsia="en-AU"/>
              </w:rPr>
              <w:t>of</w:t>
            </w:r>
            <w:r w:rsidR="004C219C" w:rsidRPr="00D16D7C">
              <w:rPr>
                <w:rFonts w:eastAsia="Arial" w:cs="Arial"/>
                <w:color w:val="15272F"/>
                <w:sz w:val="18"/>
                <w:szCs w:val="18"/>
                <w:lang w:eastAsia="en-AU"/>
              </w:rPr>
              <w:t xml:space="preserve"> </w:t>
            </w:r>
            <w:r w:rsidRPr="00D16D7C">
              <w:rPr>
                <w:rFonts w:eastAsia="Arial" w:cs="Arial"/>
                <w:color w:val="15272F"/>
                <w:sz w:val="18"/>
                <w:szCs w:val="18"/>
                <w:lang w:eastAsia="en-AU"/>
              </w:rPr>
              <w:t xml:space="preserve">scope for reporting. </w:t>
            </w:r>
            <w:r w:rsidR="001D16C6" w:rsidRPr="00D16D7C">
              <w:rPr>
                <w:rFonts w:eastAsia="Arial" w:cs="Arial"/>
                <w:color w:val="15272F"/>
                <w:sz w:val="18"/>
                <w:szCs w:val="18"/>
                <w:lang w:eastAsia="en-AU"/>
              </w:rPr>
              <w:t>All costs in the ‘exclude’ line item are out of scope for reporting, including exclude cost for linked records.</w:t>
            </w:r>
          </w:p>
        </w:tc>
        <w:tc>
          <w:tcPr>
            <w:tcW w:w="1168" w:type="dxa"/>
            <w:tcBorders>
              <w:top w:val="nil"/>
              <w:left w:val="nil"/>
              <w:bottom w:val="single" w:sz="8" w:space="0" w:color="D9D9D9"/>
              <w:right w:val="single" w:sz="8" w:space="0" w:color="FFFFFF"/>
            </w:tcBorders>
            <w:shd w:val="clear" w:color="000000" w:fill="F2F2F2"/>
            <w:vAlign w:val="center"/>
            <w:hideMark/>
          </w:tcPr>
          <w:p w14:paraId="7CF5E35E" w14:textId="628D631C" w:rsidR="00001148" w:rsidRPr="00D16D7C" w:rsidRDefault="001D16C6" w:rsidP="00530E79">
            <w:pPr>
              <w:spacing w:before="40" w:after="40" w:line="240" w:lineRule="auto"/>
              <w:jc w:val="right"/>
              <w:rPr>
                <w:rFonts w:eastAsia="Times New Roman" w:cs="Arial"/>
                <w:color w:val="1C1C1C"/>
                <w:sz w:val="18"/>
                <w:szCs w:val="18"/>
                <w:lang w:eastAsia="en-AU"/>
              </w:rPr>
            </w:pPr>
            <w:r w:rsidRPr="00D16D7C">
              <w:rPr>
                <w:rFonts w:eastAsia="Times New Roman" w:cs="Arial"/>
                <w:color w:val="1C1C1C"/>
                <w:sz w:val="18"/>
                <w:szCs w:val="18"/>
                <w:lang w:eastAsia="en-AU"/>
              </w:rPr>
              <w:t>&lt;0.1</w:t>
            </w:r>
          </w:p>
        </w:tc>
        <w:tc>
          <w:tcPr>
            <w:tcW w:w="1038" w:type="dxa"/>
            <w:tcBorders>
              <w:top w:val="nil"/>
              <w:left w:val="nil"/>
              <w:bottom w:val="single" w:sz="8" w:space="0" w:color="D9D9D9"/>
              <w:right w:val="single" w:sz="8" w:space="0" w:color="FFFFFF"/>
            </w:tcBorders>
            <w:shd w:val="clear" w:color="000000" w:fill="F2F2F2"/>
            <w:vAlign w:val="center"/>
            <w:hideMark/>
          </w:tcPr>
          <w:p w14:paraId="00209B4B" w14:textId="1F0B4A56" w:rsidR="00001148" w:rsidRPr="00D16D7C" w:rsidRDefault="00001148" w:rsidP="00530E79">
            <w:pPr>
              <w:spacing w:before="40" w:after="40" w:line="240" w:lineRule="auto"/>
              <w:jc w:val="right"/>
              <w:rPr>
                <w:rFonts w:eastAsia="Times New Roman" w:cs="Arial"/>
                <w:color w:val="1C1C1C"/>
                <w:sz w:val="18"/>
                <w:szCs w:val="18"/>
                <w:lang w:eastAsia="en-AU"/>
              </w:rPr>
            </w:pPr>
            <w:r w:rsidRPr="00D16D7C">
              <w:rPr>
                <w:rFonts w:eastAsia="Times New Roman" w:cs="Arial"/>
                <w:color w:val="1C1C1C"/>
                <w:sz w:val="18"/>
                <w:szCs w:val="18"/>
                <w:lang w:eastAsia="en-AU"/>
              </w:rPr>
              <w:t>2</w:t>
            </w:r>
            <w:r w:rsidR="0043061C">
              <w:rPr>
                <w:rFonts w:eastAsia="Times New Roman" w:cs="Arial"/>
                <w:color w:val="1C1C1C"/>
                <w:sz w:val="18"/>
                <w:szCs w:val="18"/>
                <w:lang w:eastAsia="en-AU"/>
              </w:rPr>
              <w:t>53.9</w:t>
            </w:r>
          </w:p>
        </w:tc>
      </w:tr>
      <w:tr w:rsidR="00001148" w:rsidRPr="00AE67F8" w14:paraId="7851FCAC" w14:textId="77777777" w:rsidTr="00F25099">
        <w:trPr>
          <w:trHeight w:val="410"/>
          <w:jc w:val="center"/>
        </w:trPr>
        <w:tc>
          <w:tcPr>
            <w:tcW w:w="1672" w:type="dxa"/>
            <w:tcBorders>
              <w:top w:val="nil"/>
              <w:left w:val="single" w:sz="8" w:space="0" w:color="FFFFFF"/>
              <w:bottom w:val="single" w:sz="8" w:space="0" w:color="D9D9D9"/>
              <w:right w:val="single" w:sz="8" w:space="0" w:color="FFFFFF"/>
            </w:tcBorders>
            <w:shd w:val="clear" w:color="000000" w:fill="F2F2F2"/>
            <w:vAlign w:val="center"/>
            <w:hideMark/>
          </w:tcPr>
          <w:p w14:paraId="4F10CA13" w14:textId="31F6C480" w:rsidR="00001148" w:rsidRPr="00D16D7C" w:rsidRDefault="00001148" w:rsidP="00530E79">
            <w:pPr>
              <w:spacing w:before="40" w:after="40" w:line="240" w:lineRule="auto"/>
              <w:rPr>
                <w:rFonts w:eastAsia="Times New Roman" w:cs="Arial"/>
                <w:color w:val="1C1C1C"/>
                <w:sz w:val="18"/>
                <w:szCs w:val="18"/>
                <w:lang w:eastAsia="en-AU"/>
              </w:rPr>
            </w:pPr>
            <w:r w:rsidRPr="00D16D7C">
              <w:rPr>
                <w:rFonts w:eastAsia="Times New Roman" w:cs="Arial"/>
                <w:color w:val="1C1C1C"/>
                <w:sz w:val="18"/>
                <w:szCs w:val="18"/>
                <w:lang w:eastAsia="en-AU"/>
              </w:rPr>
              <w:t xml:space="preserve">In-scope </w:t>
            </w:r>
            <w:r w:rsidR="007C5145" w:rsidRPr="00D16D7C">
              <w:rPr>
                <w:rFonts w:eastAsia="Times New Roman" w:cs="Arial"/>
                <w:color w:val="1C1C1C"/>
                <w:sz w:val="18"/>
                <w:szCs w:val="18"/>
                <w:lang w:eastAsia="en-AU"/>
              </w:rPr>
              <w:t>costed activity</w:t>
            </w:r>
          </w:p>
        </w:tc>
        <w:tc>
          <w:tcPr>
            <w:tcW w:w="6035" w:type="dxa"/>
            <w:tcBorders>
              <w:top w:val="nil"/>
              <w:left w:val="nil"/>
              <w:bottom w:val="single" w:sz="8" w:space="0" w:color="D9D9D9"/>
              <w:right w:val="single" w:sz="8" w:space="0" w:color="FFFFFF"/>
            </w:tcBorders>
            <w:shd w:val="clear" w:color="000000" w:fill="F2F2F2"/>
            <w:vAlign w:val="center"/>
            <w:hideMark/>
          </w:tcPr>
          <w:p w14:paraId="52250C59" w14:textId="35D07871" w:rsidR="00001148" w:rsidRPr="00D16D7C" w:rsidRDefault="00656E69" w:rsidP="00530E79">
            <w:pPr>
              <w:spacing w:before="40" w:after="40" w:line="240" w:lineRule="auto"/>
              <w:rPr>
                <w:rFonts w:eastAsia="Times New Roman" w:cs="Arial"/>
                <w:color w:val="15272F"/>
                <w:sz w:val="18"/>
                <w:szCs w:val="18"/>
                <w:lang w:eastAsia="en-AU"/>
              </w:rPr>
            </w:pPr>
            <w:r w:rsidRPr="00D16D7C">
              <w:rPr>
                <w:rFonts w:eastAsia="Arial" w:cs="Arial"/>
                <w:color w:val="15272F"/>
                <w:sz w:val="18"/>
                <w:szCs w:val="18"/>
                <w:lang w:eastAsia="en-AU"/>
              </w:rPr>
              <w:t>NHCDC r</w:t>
            </w:r>
            <w:r w:rsidR="00001148" w:rsidRPr="00D16D7C">
              <w:rPr>
                <w:rFonts w:eastAsia="Arial" w:cs="Arial"/>
                <w:color w:val="15272F"/>
                <w:sz w:val="18"/>
                <w:szCs w:val="18"/>
                <w:lang w:eastAsia="en-AU"/>
              </w:rPr>
              <w:t>ecords that have been linked to ABF activity and have a discharge date within the relevant reporting period.</w:t>
            </w:r>
          </w:p>
        </w:tc>
        <w:tc>
          <w:tcPr>
            <w:tcW w:w="1168" w:type="dxa"/>
            <w:tcBorders>
              <w:top w:val="nil"/>
              <w:left w:val="nil"/>
              <w:bottom w:val="single" w:sz="8" w:space="0" w:color="D9D9D9"/>
              <w:right w:val="single" w:sz="8" w:space="0" w:color="FFFFFF"/>
            </w:tcBorders>
            <w:shd w:val="clear" w:color="000000" w:fill="F2F2F2"/>
            <w:vAlign w:val="center"/>
            <w:hideMark/>
          </w:tcPr>
          <w:p w14:paraId="72579D2D" w14:textId="669CE213" w:rsidR="00001148" w:rsidRPr="00D16D7C" w:rsidRDefault="00001148" w:rsidP="00530E79">
            <w:pPr>
              <w:spacing w:before="40" w:after="40" w:line="240" w:lineRule="auto"/>
              <w:jc w:val="right"/>
              <w:rPr>
                <w:rFonts w:eastAsia="Times New Roman" w:cs="Arial"/>
                <w:color w:val="1C1C1C"/>
                <w:sz w:val="18"/>
                <w:szCs w:val="18"/>
                <w:lang w:eastAsia="en-AU"/>
              </w:rPr>
            </w:pPr>
            <w:r w:rsidRPr="00D16D7C">
              <w:rPr>
                <w:rFonts w:eastAsia="Times New Roman" w:cs="Arial"/>
                <w:color w:val="1C1C1C"/>
                <w:sz w:val="18"/>
                <w:szCs w:val="18"/>
                <w:lang w:eastAsia="en-AU"/>
              </w:rPr>
              <w:t>44.2</w:t>
            </w:r>
          </w:p>
        </w:tc>
        <w:tc>
          <w:tcPr>
            <w:tcW w:w="1038" w:type="dxa"/>
            <w:tcBorders>
              <w:top w:val="nil"/>
              <w:left w:val="nil"/>
              <w:bottom w:val="single" w:sz="8" w:space="0" w:color="D9D9D9"/>
              <w:right w:val="single" w:sz="8" w:space="0" w:color="FFFFFF"/>
            </w:tcBorders>
            <w:shd w:val="clear" w:color="000000" w:fill="F2F2F2"/>
            <w:vAlign w:val="center"/>
            <w:hideMark/>
          </w:tcPr>
          <w:p w14:paraId="2635C84D" w14:textId="2C67AECF" w:rsidR="00001148" w:rsidRPr="00D16D7C" w:rsidRDefault="00001148" w:rsidP="00530E79">
            <w:pPr>
              <w:spacing w:before="40" w:after="40" w:line="240" w:lineRule="auto"/>
              <w:jc w:val="right"/>
              <w:rPr>
                <w:rFonts w:eastAsia="Times New Roman" w:cs="Arial"/>
                <w:color w:val="1C1C1C"/>
                <w:sz w:val="18"/>
                <w:szCs w:val="18"/>
                <w:lang w:eastAsia="en-AU"/>
              </w:rPr>
            </w:pPr>
            <w:r w:rsidRPr="00D16D7C">
              <w:rPr>
                <w:rFonts w:eastAsia="Times New Roman" w:cs="Arial"/>
                <w:color w:val="1C1C1C"/>
                <w:sz w:val="18"/>
                <w:szCs w:val="18"/>
                <w:lang w:eastAsia="en-AU"/>
              </w:rPr>
              <w:t>6</w:t>
            </w:r>
            <w:r w:rsidR="007C5145" w:rsidRPr="00D16D7C">
              <w:rPr>
                <w:rFonts w:eastAsia="Times New Roman" w:cs="Arial"/>
                <w:color w:val="1C1C1C"/>
                <w:sz w:val="18"/>
                <w:szCs w:val="18"/>
                <w:lang w:eastAsia="en-AU"/>
              </w:rPr>
              <w:t>9,8</w:t>
            </w:r>
            <w:r w:rsidR="0043061C">
              <w:rPr>
                <w:rFonts w:eastAsia="Times New Roman" w:cs="Arial"/>
                <w:color w:val="1C1C1C"/>
                <w:sz w:val="18"/>
                <w:szCs w:val="18"/>
                <w:lang w:eastAsia="en-AU"/>
              </w:rPr>
              <w:t>8</w:t>
            </w:r>
            <w:r w:rsidR="007C5145" w:rsidRPr="00D16D7C">
              <w:rPr>
                <w:rFonts w:eastAsia="Times New Roman" w:cs="Arial"/>
                <w:color w:val="1C1C1C"/>
                <w:sz w:val="18"/>
                <w:szCs w:val="18"/>
                <w:lang w:eastAsia="en-AU"/>
              </w:rPr>
              <w:t>1.</w:t>
            </w:r>
            <w:r w:rsidR="0043061C">
              <w:rPr>
                <w:rFonts w:eastAsia="Times New Roman" w:cs="Arial"/>
                <w:color w:val="1C1C1C"/>
                <w:sz w:val="18"/>
                <w:szCs w:val="18"/>
                <w:lang w:eastAsia="en-AU"/>
              </w:rPr>
              <w:t>5</w:t>
            </w:r>
          </w:p>
        </w:tc>
      </w:tr>
    </w:tbl>
    <w:bookmarkEnd w:id="29"/>
    <w:bookmarkEnd w:id="30"/>
    <w:bookmarkEnd w:id="36"/>
    <w:p w14:paraId="45D3F4F5" w14:textId="19A96457" w:rsidR="00FB4B7D" w:rsidRDefault="0014435D" w:rsidP="00F25099">
      <w:pPr>
        <w:spacing w:before="240" w:line="276" w:lineRule="auto"/>
        <w:rPr>
          <w:rFonts w:eastAsiaTheme="majorEastAsia" w:cstheme="majorBidi"/>
          <w:iCs/>
          <w:color w:val="104F99" w:themeColor="accent2"/>
          <w:lang w:val="en-PH"/>
        </w:rPr>
      </w:pPr>
      <w:r w:rsidRPr="00A42FF4">
        <w:rPr>
          <w:rFonts w:cs="Arial"/>
        </w:rPr>
        <w:t xml:space="preserve">Table 2 </w:t>
      </w:r>
      <w:r w:rsidR="00621807" w:rsidRPr="00A42FF4">
        <w:rPr>
          <w:rFonts w:cs="Arial"/>
        </w:rPr>
        <w:t>shows a summary of the total records and cost submitted to IHACPA, the records and cost that are in</w:t>
      </w:r>
      <w:r w:rsidR="000501B8">
        <w:rPr>
          <w:rFonts w:cs="Arial"/>
        </w:rPr>
        <w:t xml:space="preserve"> </w:t>
      </w:r>
      <w:r w:rsidR="00621807" w:rsidRPr="00A42FF4">
        <w:rPr>
          <w:rFonts w:cs="Arial"/>
        </w:rPr>
        <w:t xml:space="preserve">scope for reporting, and the </w:t>
      </w:r>
      <w:r w:rsidR="00206AAE">
        <w:rPr>
          <w:rFonts w:cs="Arial"/>
        </w:rPr>
        <w:t xml:space="preserve">in-scope </w:t>
      </w:r>
      <w:r w:rsidR="00621807" w:rsidRPr="00A42FF4">
        <w:rPr>
          <w:rFonts w:cs="Arial"/>
        </w:rPr>
        <w:t>ABF activity submitted to IHACPA</w:t>
      </w:r>
      <w:r w:rsidR="00206AAE">
        <w:rPr>
          <w:rFonts w:cs="Arial"/>
        </w:rPr>
        <w:t>, by jurisdiction</w:t>
      </w:r>
      <w:r w:rsidR="00621807" w:rsidRPr="00A42FF4">
        <w:rPr>
          <w:rFonts w:cs="Arial"/>
        </w:rPr>
        <w:t>.</w:t>
      </w:r>
      <w:bookmarkStart w:id="37" w:name="_Toc149650903"/>
      <w:bookmarkStart w:id="38" w:name="_Toc177467504"/>
    </w:p>
    <w:p w14:paraId="1CDC4F90" w14:textId="7045459D" w:rsidR="001118E1" w:rsidRPr="0093558C" w:rsidRDefault="00524BC6" w:rsidP="00296833">
      <w:pPr>
        <w:pStyle w:val="TableFigureheading"/>
        <w:rPr>
          <w:lang w:val="en-PH"/>
        </w:rPr>
      </w:pPr>
      <w:bookmarkStart w:id="39" w:name="_Toc185852209"/>
      <w:bookmarkStart w:id="40" w:name="_Toc187312128"/>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3523AB">
        <w:rPr>
          <w:noProof/>
          <w:lang w:val="en-PH"/>
        </w:rPr>
        <w:t>2</w:t>
      </w:r>
      <w:r w:rsidRPr="0093558C">
        <w:rPr>
          <w:lang w:val="en-PH"/>
        </w:rPr>
        <w:fldChar w:fldCharType="end"/>
      </w:r>
      <w:r w:rsidRPr="0093558C">
        <w:rPr>
          <w:lang w:val="en-PH"/>
        </w:rPr>
        <w:t xml:space="preserve">: </w:t>
      </w:r>
      <w:r w:rsidR="007815BC">
        <w:rPr>
          <w:lang w:val="en-PH"/>
        </w:rPr>
        <w:t xml:space="preserve">Summary of </w:t>
      </w:r>
      <w:r w:rsidR="00EE768F">
        <w:rPr>
          <w:lang w:val="en-PH"/>
        </w:rPr>
        <w:t>in-scope</w:t>
      </w:r>
      <w:r w:rsidR="00A60E17">
        <w:rPr>
          <w:lang w:val="en-PH"/>
        </w:rPr>
        <w:t xml:space="preserve"> </w:t>
      </w:r>
      <w:r w:rsidRPr="0093558C">
        <w:rPr>
          <w:lang w:val="en-PH"/>
        </w:rPr>
        <w:t>records</w:t>
      </w:r>
      <w:r w:rsidR="007815BC">
        <w:rPr>
          <w:lang w:val="en-PH"/>
        </w:rPr>
        <w:t xml:space="preserve"> and</w:t>
      </w:r>
      <w:r w:rsidR="00A90A03">
        <w:rPr>
          <w:lang w:val="en-PH"/>
        </w:rPr>
        <w:t xml:space="preserve"> </w:t>
      </w:r>
      <w:r w:rsidR="007815BC">
        <w:rPr>
          <w:lang w:val="en-PH"/>
        </w:rPr>
        <w:t>cost</w:t>
      </w:r>
      <w:r w:rsidRPr="0093558C">
        <w:rPr>
          <w:lang w:val="en-PH"/>
        </w:rPr>
        <w:t xml:space="preserve">, </w:t>
      </w:r>
      <w:r w:rsidR="004F6C82" w:rsidRPr="008B2CD8">
        <w:rPr>
          <w:lang w:val="en-PH"/>
        </w:rPr>
        <w:t>202</w:t>
      </w:r>
      <w:r w:rsidR="004F6C82">
        <w:rPr>
          <w:lang w:val="en-PH"/>
        </w:rPr>
        <w:t>2</w:t>
      </w:r>
      <w:r w:rsidR="004F6C82" w:rsidRPr="008B2CD8">
        <w:rPr>
          <w:lang w:val="en-PH"/>
        </w:rPr>
        <w:t>-2</w:t>
      </w:r>
      <w:r w:rsidR="004F6C82">
        <w:rPr>
          <w:lang w:val="en-PH"/>
        </w:rPr>
        <w:t>3</w:t>
      </w:r>
      <w:bookmarkEnd w:id="37"/>
      <w:bookmarkEnd w:id="38"/>
      <w:bookmarkEnd w:id="39"/>
      <w:bookmarkEnd w:id="40"/>
    </w:p>
    <w:tbl>
      <w:tblPr>
        <w:tblStyle w:val="IHPATable"/>
        <w:tblW w:w="9586" w:type="dxa"/>
        <w:tblLayout w:type="fixed"/>
        <w:tblLook w:val="0020" w:firstRow="1" w:lastRow="0" w:firstColumn="0" w:lastColumn="0" w:noHBand="0" w:noVBand="0"/>
      </w:tblPr>
      <w:tblGrid>
        <w:gridCol w:w="1134"/>
        <w:gridCol w:w="1560"/>
        <w:gridCol w:w="1767"/>
        <w:gridCol w:w="1918"/>
        <w:gridCol w:w="1546"/>
        <w:gridCol w:w="1661"/>
      </w:tblGrid>
      <w:tr w:rsidR="00A861FA" w:rsidRPr="00C219EA" w14:paraId="2EA33C61" w14:textId="77777777" w:rsidTr="00112651">
        <w:trPr>
          <w:cnfStyle w:val="100000000000" w:firstRow="1" w:lastRow="0" w:firstColumn="0" w:lastColumn="0" w:oddVBand="0" w:evenVBand="0" w:oddHBand="0" w:evenHBand="0" w:firstRowFirstColumn="0" w:firstRowLastColumn="0" w:lastRowFirstColumn="0" w:lastRowLastColumn="0"/>
          <w:trHeight w:val="20"/>
        </w:trPr>
        <w:tc>
          <w:tcPr>
            <w:tcW w:w="1134" w:type="dxa"/>
            <w:tcBorders>
              <w:right w:val="single" w:sz="4" w:space="0" w:color="FFFFFF" w:themeColor="background2"/>
            </w:tcBorders>
            <w:shd w:val="clear" w:color="auto" w:fill="15272F" w:themeFill="text1"/>
            <w:vAlign w:val="center"/>
          </w:tcPr>
          <w:p w14:paraId="54737C6E" w14:textId="77777777" w:rsidR="00FF3C9D" w:rsidRPr="009940F3" w:rsidRDefault="00FF3C9D" w:rsidP="0007638E">
            <w:pPr>
              <w:spacing w:before="40" w:after="40"/>
              <w:jc w:val="center"/>
              <w:rPr>
                <w:rFonts w:cs="Arial"/>
                <w:b/>
                <w:bCs/>
                <w:color w:val="FFFFFF" w:themeColor="background2"/>
                <w:sz w:val="16"/>
                <w:szCs w:val="16"/>
                <w:lang w:val="en-US"/>
              </w:rPr>
            </w:pPr>
            <w:bookmarkStart w:id="41" w:name="_Toc151129684"/>
            <w:bookmarkStart w:id="42" w:name="_Toc158882535"/>
            <w:bookmarkStart w:id="43" w:name="_Toc158882596"/>
            <w:r w:rsidRPr="009940F3">
              <w:rPr>
                <w:rFonts w:cs="Arial"/>
                <w:b/>
                <w:bCs/>
                <w:color w:val="FFFFFF" w:themeColor="background2"/>
                <w:sz w:val="16"/>
                <w:szCs w:val="16"/>
              </w:rPr>
              <w:t>Jurisdiction</w:t>
            </w:r>
          </w:p>
        </w:tc>
        <w:tc>
          <w:tcPr>
            <w:tcW w:w="1560" w:type="dxa"/>
            <w:tcBorders>
              <w:left w:val="single" w:sz="4" w:space="0" w:color="FFFFFF" w:themeColor="background2"/>
              <w:right w:val="single" w:sz="4" w:space="0" w:color="FFFFFF" w:themeColor="background2"/>
            </w:tcBorders>
            <w:shd w:val="clear" w:color="auto" w:fill="15272F" w:themeFill="text1"/>
            <w:vAlign w:val="center"/>
          </w:tcPr>
          <w:p w14:paraId="6D79658B" w14:textId="2DE7666C" w:rsidR="00FF3C9D" w:rsidRPr="009940F3" w:rsidRDefault="0091797F" w:rsidP="0007638E">
            <w:pPr>
              <w:spacing w:before="40" w:after="40"/>
              <w:jc w:val="center"/>
              <w:rPr>
                <w:rFonts w:cs="Arial"/>
                <w:b/>
                <w:bCs/>
                <w:color w:val="FFFFFF" w:themeColor="background2"/>
                <w:sz w:val="16"/>
                <w:szCs w:val="16"/>
              </w:rPr>
            </w:pPr>
            <w:r>
              <w:rPr>
                <w:rFonts w:cs="Arial"/>
                <w:b/>
                <w:bCs/>
                <w:color w:val="FFFFFF" w:themeColor="background2"/>
                <w:sz w:val="16"/>
                <w:szCs w:val="16"/>
              </w:rPr>
              <w:t>Total</w:t>
            </w:r>
            <w:r w:rsidRPr="009940F3">
              <w:rPr>
                <w:rFonts w:cs="Arial"/>
                <w:b/>
                <w:bCs/>
                <w:color w:val="FFFFFF" w:themeColor="background2"/>
                <w:sz w:val="16"/>
                <w:szCs w:val="16"/>
              </w:rPr>
              <w:t xml:space="preserve"> </w:t>
            </w:r>
            <w:r w:rsidR="00FF3C9D" w:rsidRPr="009940F3">
              <w:rPr>
                <w:rFonts w:cs="Arial"/>
                <w:b/>
                <w:bCs/>
                <w:color w:val="FFFFFF" w:themeColor="background2"/>
                <w:sz w:val="16"/>
                <w:szCs w:val="16"/>
              </w:rPr>
              <w:t>NHCDC records</w:t>
            </w:r>
          </w:p>
        </w:tc>
        <w:tc>
          <w:tcPr>
            <w:tcW w:w="1767" w:type="dxa"/>
            <w:tcBorders>
              <w:left w:val="single" w:sz="4" w:space="0" w:color="FFFFFF" w:themeColor="background2"/>
              <w:bottom w:val="single" w:sz="4" w:space="0" w:color="D9D9D9" w:themeColor="background2" w:themeShade="D9"/>
              <w:right w:val="single" w:sz="4" w:space="0" w:color="FFFFFF" w:themeColor="background2"/>
            </w:tcBorders>
            <w:shd w:val="clear" w:color="auto" w:fill="15272F" w:themeFill="text1"/>
            <w:vAlign w:val="center"/>
          </w:tcPr>
          <w:p w14:paraId="653980AD" w14:textId="3F0EA427" w:rsidR="00FF3C9D" w:rsidRPr="009940F3" w:rsidRDefault="0091797F" w:rsidP="0007638E">
            <w:pPr>
              <w:spacing w:before="40" w:after="40"/>
              <w:jc w:val="center"/>
              <w:rPr>
                <w:rFonts w:cs="Arial"/>
                <w:b/>
                <w:bCs/>
                <w:color w:val="FFFFFF" w:themeColor="background2"/>
                <w:sz w:val="16"/>
                <w:szCs w:val="16"/>
              </w:rPr>
            </w:pPr>
            <w:r>
              <w:rPr>
                <w:rFonts w:cs="Arial"/>
                <w:b/>
                <w:bCs/>
                <w:color w:val="FFFFFF" w:themeColor="background2"/>
                <w:sz w:val="16"/>
                <w:szCs w:val="16"/>
              </w:rPr>
              <w:t>Total</w:t>
            </w:r>
            <w:r w:rsidRPr="009940F3">
              <w:rPr>
                <w:rFonts w:cs="Arial"/>
                <w:b/>
                <w:bCs/>
                <w:color w:val="FFFFFF" w:themeColor="background2"/>
                <w:sz w:val="16"/>
                <w:szCs w:val="16"/>
              </w:rPr>
              <w:t xml:space="preserve"> </w:t>
            </w:r>
            <w:r w:rsidR="00FF3C9D" w:rsidRPr="009940F3">
              <w:rPr>
                <w:rFonts w:cs="Arial"/>
                <w:b/>
                <w:bCs/>
                <w:color w:val="FFFFFF" w:themeColor="background2"/>
                <w:sz w:val="16"/>
                <w:szCs w:val="16"/>
              </w:rPr>
              <w:t>cost</w:t>
            </w:r>
            <w:r w:rsidR="000A45B6" w:rsidRPr="009940F3">
              <w:rPr>
                <w:rFonts w:cs="Arial"/>
                <w:b/>
                <w:bCs/>
                <w:color w:val="FFFFFF" w:themeColor="background2"/>
                <w:sz w:val="16"/>
                <w:szCs w:val="16"/>
              </w:rPr>
              <w:t xml:space="preserve"> ($)</w:t>
            </w:r>
            <w:r w:rsidR="00FF3C9D" w:rsidRPr="009940F3">
              <w:rPr>
                <w:rFonts w:cs="Arial"/>
                <w:b/>
                <w:bCs/>
                <w:color w:val="FFFFFF" w:themeColor="background2"/>
                <w:sz w:val="16"/>
                <w:szCs w:val="16"/>
              </w:rPr>
              <w:t xml:space="preserve"> </w:t>
            </w:r>
          </w:p>
        </w:tc>
        <w:tc>
          <w:tcPr>
            <w:tcW w:w="1918" w:type="dxa"/>
            <w:tcBorders>
              <w:left w:val="single" w:sz="4" w:space="0" w:color="FFFFFF" w:themeColor="background2"/>
              <w:right w:val="single" w:sz="4" w:space="0" w:color="FFFFFF" w:themeColor="background2"/>
            </w:tcBorders>
            <w:shd w:val="clear" w:color="auto" w:fill="15272F" w:themeFill="text1"/>
            <w:vAlign w:val="center"/>
          </w:tcPr>
          <w:p w14:paraId="6A0A5E5D" w14:textId="4C670F1C" w:rsidR="00FF3C9D" w:rsidRPr="009940F3" w:rsidRDefault="00FF3C9D" w:rsidP="0007638E">
            <w:pPr>
              <w:spacing w:before="40" w:after="40"/>
              <w:jc w:val="center"/>
              <w:rPr>
                <w:rFonts w:cs="Arial"/>
                <w:b/>
                <w:bCs/>
                <w:color w:val="FFFFFF" w:themeColor="background2"/>
                <w:sz w:val="16"/>
                <w:szCs w:val="16"/>
                <w:lang w:val="en-US"/>
              </w:rPr>
            </w:pPr>
            <w:r w:rsidRPr="009940F3">
              <w:rPr>
                <w:rFonts w:cs="Arial"/>
                <w:b/>
                <w:bCs/>
                <w:color w:val="FFFFFF" w:themeColor="background2"/>
                <w:sz w:val="16"/>
                <w:szCs w:val="16"/>
              </w:rPr>
              <w:t>In-scope NHCDC records</w:t>
            </w:r>
          </w:p>
        </w:tc>
        <w:tc>
          <w:tcPr>
            <w:tcW w:w="1546" w:type="dxa"/>
            <w:tcBorders>
              <w:left w:val="single" w:sz="4" w:space="0" w:color="FFFFFF" w:themeColor="background2"/>
              <w:right w:val="single" w:sz="4" w:space="0" w:color="FFFFFF" w:themeColor="background2"/>
            </w:tcBorders>
            <w:shd w:val="clear" w:color="auto" w:fill="15272F" w:themeFill="text1"/>
            <w:vAlign w:val="center"/>
          </w:tcPr>
          <w:p w14:paraId="2AD2F6BE" w14:textId="0F784AA9" w:rsidR="00FF3C9D" w:rsidRPr="009940F3" w:rsidRDefault="00FF3C9D" w:rsidP="0007638E">
            <w:pPr>
              <w:spacing w:before="40" w:after="40"/>
              <w:jc w:val="center"/>
              <w:rPr>
                <w:rFonts w:cs="Arial"/>
                <w:b/>
                <w:bCs/>
                <w:color w:val="FFFFFF" w:themeColor="background2"/>
                <w:sz w:val="16"/>
                <w:szCs w:val="16"/>
                <w:lang w:val="en-US"/>
              </w:rPr>
            </w:pPr>
            <w:r w:rsidRPr="009940F3">
              <w:rPr>
                <w:rFonts w:cs="Arial"/>
                <w:b/>
                <w:bCs/>
                <w:color w:val="FFFFFF" w:themeColor="background2"/>
                <w:sz w:val="16"/>
                <w:szCs w:val="16"/>
              </w:rPr>
              <w:t>In-scope cost</w:t>
            </w:r>
            <w:r w:rsidR="000A45B6" w:rsidRPr="009940F3">
              <w:rPr>
                <w:rFonts w:cs="Arial"/>
                <w:b/>
                <w:bCs/>
                <w:color w:val="FFFFFF" w:themeColor="background2"/>
                <w:sz w:val="16"/>
                <w:szCs w:val="16"/>
              </w:rPr>
              <w:t xml:space="preserve"> ($)</w:t>
            </w:r>
          </w:p>
        </w:tc>
        <w:tc>
          <w:tcPr>
            <w:tcW w:w="1661" w:type="dxa"/>
            <w:tcBorders>
              <w:left w:val="single" w:sz="4" w:space="0" w:color="FFFFFF" w:themeColor="background2"/>
              <w:right w:val="single" w:sz="4" w:space="0" w:color="FFFFFF" w:themeColor="background2"/>
            </w:tcBorders>
            <w:shd w:val="clear" w:color="auto" w:fill="15272F" w:themeFill="text1"/>
            <w:vAlign w:val="center"/>
          </w:tcPr>
          <w:p w14:paraId="04DD1D1E" w14:textId="574B0A3B" w:rsidR="00FF3C9D" w:rsidRPr="009940F3" w:rsidRDefault="00206AAE" w:rsidP="0007638E">
            <w:pPr>
              <w:spacing w:before="40" w:after="40"/>
              <w:jc w:val="center"/>
              <w:rPr>
                <w:rFonts w:cs="Arial"/>
                <w:b/>
                <w:bCs/>
                <w:color w:val="FFFFFF" w:themeColor="background2"/>
                <w:sz w:val="16"/>
                <w:szCs w:val="16"/>
              </w:rPr>
            </w:pPr>
            <w:r>
              <w:rPr>
                <w:rFonts w:cs="Arial"/>
                <w:b/>
                <w:bCs/>
                <w:color w:val="FFFFFF" w:themeColor="background2"/>
                <w:sz w:val="16"/>
                <w:szCs w:val="16"/>
              </w:rPr>
              <w:t>In-scope</w:t>
            </w:r>
            <w:r w:rsidRPr="009940F3">
              <w:rPr>
                <w:rFonts w:cs="Arial"/>
                <w:b/>
                <w:bCs/>
                <w:color w:val="FFFFFF" w:themeColor="background2"/>
                <w:sz w:val="16"/>
                <w:szCs w:val="16"/>
              </w:rPr>
              <w:t xml:space="preserve"> </w:t>
            </w:r>
            <w:r w:rsidR="00621807" w:rsidRPr="009940F3">
              <w:rPr>
                <w:rFonts w:cs="Arial"/>
                <w:b/>
                <w:bCs/>
                <w:color w:val="FFFFFF" w:themeColor="background2"/>
                <w:sz w:val="16"/>
                <w:szCs w:val="16"/>
              </w:rPr>
              <w:t xml:space="preserve">ABF </w:t>
            </w:r>
            <w:r w:rsidR="00FF3C9D" w:rsidRPr="009940F3">
              <w:rPr>
                <w:rFonts w:cs="Arial"/>
                <w:b/>
                <w:bCs/>
                <w:color w:val="FFFFFF" w:themeColor="background2"/>
                <w:sz w:val="16"/>
                <w:szCs w:val="16"/>
              </w:rPr>
              <w:t>activity</w:t>
            </w:r>
          </w:p>
        </w:tc>
      </w:tr>
      <w:tr w:rsidR="000A45B6" w:rsidRPr="00C219EA" w14:paraId="614B842E" w14:textId="77777777" w:rsidTr="00F44DA7">
        <w:trPr>
          <w:cnfStyle w:val="000000100000" w:firstRow="0" w:lastRow="0" w:firstColumn="0" w:lastColumn="0" w:oddVBand="0" w:evenVBand="0" w:oddHBand="1" w:evenHBand="0" w:firstRowFirstColumn="0" w:firstRowLastColumn="0" w:lastRowFirstColumn="0" w:lastRowLastColumn="0"/>
          <w:trHeight w:val="20"/>
        </w:trPr>
        <w:tc>
          <w:tcPr>
            <w:tcW w:w="1134" w:type="dxa"/>
            <w:tcBorders>
              <w:right w:val="single" w:sz="4" w:space="0" w:color="FFFFFF" w:themeColor="background2"/>
            </w:tcBorders>
          </w:tcPr>
          <w:p w14:paraId="4750203E" w14:textId="77777777" w:rsidR="000A45B6" w:rsidRPr="009940F3" w:rsidRDefault="000A45B6" w:rsidP="000A45B6">
            <w:pPr>
              <w:spacing w:before="40" w:after="40"/>
              <w:rPr>
                <w:rFonts w:cs="Arial"/>
                <w:color w:val="000000"/>
                <w:sz w:val="16"/>
                <w:szCs w:val="16"/>
                <w:lang w:val="en-US"/>
              </w:rPr>
            </w:pPr>
            <w:r w:rsidRPr="009940F3">
              <w:rPr>
                <w:rFonts w:cs="Arial"/>
                <w:color w:val="1C1C1C"/>
                <w:sz w:val="16"/>
                <w:szCs w:val="16"/>
              </w:rPr>
              <w:t>NSW</w:t>
            </w:r>
          </w:p>
        </w:tc>
        <w:tc>
          <w:tcPr>
            <w:tcW w:w="1560" w:type="dxa"/>
            <w:tcBorders>
              <w:left w:val="single" w:sz="4" w:space="0" w:color="FFFFFF" w:themeColor="background2"/>
              <w:right w:val="single" w:sz="4" w:space="0" w:color="FFFFFF" w:themeColor="background2"/>
            </w:tcBorders>
            <w:shd w:val="clear" w:color="auto" w:fill="F2F2F2" w:themeFill="accent6" w:themeFillShade="F2"/>
            <w:vAlign w:val="center"/>
          </w:tcPr>
          <w:p w14:paraId="67F1BD8B" w14:textId="16D70B84" w:rsidR="000A45B6" w:rsidRPr="009940F3" w:rsidRDefault="000A45B6" w:rsidP="000A45B6">
            <w:pPr>
              <w:spacing w:before="40" w:after="40"/>
              <w:jc w:val="right"/>
              <w:rPr>
                <w:rFonts w:cs="Arial"/>
                <w:color w:val="1C1C1C"/>
                <w:sz w:val="16"/>
                <w:szCs w:val="16"/>
              </w:rPr>
            </w:pPr>
            <w:r w:rsidRPr="009940F3">
              <w:rPr>
                <w:rFonts w:cs="Arial"/>
                <w:color w:val="1C1C1C"/>
                <w:sz w:val="16"/>
                <w:szCs w:val="16"/>
              </w:rPr>
              <w:t>15,022,290</w:t>
            </w:r>
          </w:p>
        </w:tc>
        <w:tc>
          <w:tcPr>
            <w:tcW w:w="1767" w:type="dxa"/>
            <w:tcBorders>
              <w:left w:val="single" w:sz="4" w:space="0" w:color="FFFFFF" w:themeColor="background2"/>
              <w:right w:val="single" w:sz="4" w:space="0" w:color="FFFFFF" w:themeColor="background2"/>
            </w:tcBorders>
            <w:shd w:val="clear" w:color="auto" w:fill="F2F2F2" w:themeFill="accent6" w:themeFillShade="F2"/>
            <w:vAlign w:val="center"/>
          </w:tcPr>
          <w:p w14:paraId="4001613A" w14:textId="52E174BC" w:rsidR="000A45B6" w:rsidRPr="009940F3" w:rsidRDefault="000A45B6" w:rsidP="000A45B6">
            <w:pPr>
              <w:spacing w:before="40" w:after="40"/>
              <w:jc w:val="right"/>
              <w:rPr>
                <w:rFonts w:cs="Arial"/>
                <w:color w:val="1C1C1C"/>
                <w:sz w:val="16"/>
                <w:szCs w:val="16"/>
              </w:rPr>
            </w:pPr>
            <w:r w:rsidRPr="009940F3">
              <w:rPr>
                <w:rFonts w:cs="Arial"/>
                <w:color w:val="1C1C1C"/>
                <w:sz w:val="16"/>
                <w:szCs w:val="16"/>
              </w:rPr>
              <w:t>20,195,523,802</w:t>
            </w:r>
          </w:p>
        </w:tc>
        <w:tc>
          <w:tcPr>
            <w:tcW w:w="1918" w:type="dxa"/>
            <w:tcBorders>
              <w:left w:val="single" w:sz="4" w:space="0" w:color="FFFFFF" w:themeColor="background2"/>
              <w:right w:val="single" w:sz="4" w:space="0" w:color="FFFFFF" w:themeColor="background2"/>
            </w:tcBorders>
            <w:shd w:val="clear" w:color="auto" w:fill="F2F2F2" w:themeFill="accent6" w:themeFillShade="F2"/>
            <w:vAlign w:val="center"/>
          </w:tcPr>
          <w:p w14:paraId="0FFBBED9" w14:textId="2E482977" w:rsidR="000A45B6" w:rsidRPr="009940F3" w:rsidRDefault="000A45B6" w:rsidP="000A45B6">
            <w:pPr>
              <w:spacing w:before="40" w:after="40"/>
              <w:jc w:val="right"/>
              <w:rPr>
                <w:rFonts w:cs="Arial"/>
                <w:color w:val="1C1C1C"/>
                <w:sz w:val="16"/>
                <w:szCs w:val="16"/>
              </w:rPr>
            </w:pPr>
            <w:r w:rsidRPr="009940F3">
              <w:rPr>
                <w:rFonts w:cs="Arial"/>
                <w:color w:val="1C1C1C"/>
                <w:sz w:val="16"/>
                <w:szCs w:val="16"/>
              </w:rPr>
              <w:t>15,022,250</w:t>
            </w:r>
          </w:p>
        </w:tc>
        <w:tc>
          <w:tcPr>
            <w:tcW w:w="1546" w:type="dxa"/>
            <w:tcBorders>
              <w:left w:val="single" w:sz="4" w:space="0" w:color="FFFFFF" w:themeColor="background2"/>
              <w:right w:val="single" w:sz="4" w:space="0" w:color="FFFFFF" w:themeColor="background2"/>
            </w:tcBorders>
            <w:shd w:val="clear" w:color="auto" w:fill="F2F2F2" w:themeFill="accent6" w:themeFillShade="F2"/>
            <w:vAlign w:val="center"/>
          </w:tcPr>
          <w:p w14:paraId="47D536F7" w14:textId="216B738E" w:rsidR="000A45B6" w:rsidRPr="009940F3" w:rsidRDefault="000A45B6" w:rsidP="000A45B6">
            <w:pPr>
              <w:spacing w:before="40" w:after="40"/>
              <w:jc w:val="right"/>
              <w:rPr>
                <w:rFonts w:cs="Arial"/>
                <w:color w:val="1C1C1C"/>
                <w:sz w:val="16"/>
                <w:szCs w:val="16"/>
              </w:rPr>
            </w:pPr>
            <w:r w:rsidRPr="009940F3">
              <w:rPr>
                <w:rFonts w:cs="Arial"/>
                <w:color w:val="1C1C1C"/>
                <w:sz w:val="16"/>
                <w:szCs w:val="16"/>
              </w:rPr>
              <w:t>20,181,009,993</w:t>
            </w:r>
          </w:p>
        </w:tc>
        <w:tc>
          <w:tcPr>
            <w:tcW w:w="1661" w:type="dxa"/>
            <w:tcBorders>
              <w:left w:val="single" w:sz="4" w:space="0" w:color="FFFFFF" w:themeColor="background2"/>
              <w:right w:val="single" w:sz="4" w:space="0" w:color="FFFFFF" w:themeColor="background2"/>
            </w:tcBorders>
            <w:shd w:val="clear" w:color="auto" w:fill="F2F2F2" w:themeFill="accent6" w:themeFillShade="F2"/>
            <w:vAlign w:val="bottom"/>
          </w:tcPr>
          <w:p w14:paraId="7C3F429D" w14:textId="18BF5397" w:rsidR="000A45B6" w:rsidRPr="009940F3" w:rsidRDefault="000A45B6" w:rsidP="000A45B6">
            <w:pPr>
              <w:spacing w:before="40" w:after="40"/>
              <w:jc w:val="right"/>
              <w:rPr>
                <w:rFonts w:cs="Arial"/>
                <w:color w:val="1C1C1C"/>
                <w:sz w:val="16"/>
                <w:szCs w:val="16"/>
              </w:rPr>
            </w:pPr>
            <w:r w:rsidRPr="009940F3">
              <w:rPr>
                <w:rFonts w:cs="Arial"/>
                <w:color w:val="1C1C1C"/>
                <w:sz w:val="16"/>
                <w:szCs w:val="16"/>
              </w:rPr>
              <w:t xml:space="preserve">            18,458,723 </w:t>
            </w:r>
          </w:p>
        </w:tc>
      </w:tr>
      <w:tr w:rsidR="00F44DA7" w:rsidRPr="00C219EA" w14:paraId="19C32F66" w14:textId="77777777" w:rsidTr="00F44DA7">
        <w:trPr>
          <w:cnfStyle w:val="000000010000" w:firstRow="0" w:lastRow="0" w:firstColumn="0" w:lastColumn="0" w:oddVBand="0" w:evenVBand="0" w:oddHBand="0" w:evenHBand="1" w:firstRowFirstColumn="0" w:firstRowLastColumn="0" w:lastRowFirstColumn="0" w:lastRowLastColumn="0"/>
          <w:trHeight w:val="20"/>
        </w:trPr>
        <w:tc>
          <w:tcPr>
            <w:tcW w:w="1134" w:type="dxa"/>
            <w:tcBorders>
              <w:right w:val="single" w:sz="4" w:space="0" w:color="FFFFFF" w:themeColor="background2"/>
            </w:tcBorders>
          </w:tcPr>
          <w:p w14:paraId="291ACB0E" w14:textId="77777777" w:rsidR="000A45B6" w:rsidRPr="009940F3" w:rsidRDefault="000A45B6" w:rsidP="000A45B6">
            <w:pPr>
              <w:spacing w:before="40" w:after="40"/>
              <w:rPr>
                <w:rFonts w:cs="Arial"/>
                <w:color w:val="000000"/>
                <w:sz w:val="16"/>
                <w:szCs w:val="16"/>
                <w:lang w:val="en-US"/>
              </w:rPr>
            </w:pPr>
            <w:r w:rsidRPr="009940F3">
              <w:rPr>
                <w:rFonts w:cs="Arial"/>
                <w:color w:val="1C1C1C"/>
                <w:sz w:val="16"/>
                <w:szCs w:val="16"/>
              </w:rPr>
              <w:t>Vic</w:t>
            </w:r>
          </w:p>
        </w:tc>
        <w:tc>
          <w:tcPr>
            <w:tcW w:w="1560" w:type="dxa"/>
            <w:tcBorders>
              <w:left w:val="single" w:sz="4" w:space="0" w:color="FFFFFF" w:themeColor="background2"/>
              <w:right w:val="single" w:sz="4" w:space="0" w:color="FFFFFF" w:themeColor="background2"/>
            </w:tcBorders>
            <w:shd w:val="clear" w:color="auto" w:fill="F2F2F2" w:themeFill="accent6" w:themeFillShade="F2"/>
            <w:vAlign w:val="center"/>
          </w:tcPr>
          <w:p w14:paraId="03EC929C" w14:textId="0F7109B2" w:rsidR="000A45B6" w:rsidRPr="009940F3" w:rsidRDefault="000A45B6" w:rsidP="000A45B6">
            <w:pPr>
              <w:spacing w:before="40" w:after="40"/>
              <w:jc w:val="right"/>
              <w:rPr>
                <w:rFonts w:cs="Arial"/>
                <w:color w:val="1C1C1C"/>
                <w:sz w:val="16"/>
                <w:szCs w:val="16"/>
              </w:rPr>
            </w:pPr>
            <w:r w:rsidRPr="009940F3">
              <w:rPr>
                <w:rFonts w:cs="Arial"/>
                <w:color w:val="1C1C1C"/>
                <w:sz w:val="16"/>
                <w:szCs w:val="16"/>
              </w:rPr>
              <w:t>9,896,96</w:t>
            </w:r>
            <w:r w:rsidR="00EA2A87">
              <w:rPr>
                <w:rFonts w:cs="Arial"/>
                <w:color w:val="1C1C1C"/>
                <w:sz w:val="16"/>
                <w:szCs w:val="16"/>
              </w:rPr>
              <w:t>5</w:t>
            </w:r>
          </w:p>
        </w:tc>
        <w:tc>
          <w:tcPr>
            <w:tcW w:w="1767"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25C118D4" w14:textId="7E8DA30A" w:rsidR="000A45B6" w:rsidRPr="009940F3" w:rsidRDefault="000A45B6" w:rsidP="000A45B6">
            <w:pPr>
              <w:spacing w:before="40" w:after="40"/>
              <w:jc w:val="right"/>
              <w:rPr>
                <w:rFonts w:cs="Arial"/>
                <w:color w:val="1C1C1C"/>
                <w:sz w:val="16"/>
                <w:szCs w:val="16"/>
              </w:rPr>
            </w:pPr>
            <w:r w:rsidRPr="009940F3">
              <w:rPr>
                <w:rFonts w:cs="Arial"/>
                <w:color w:val="1C1C1C"/>
                <w:sz w:val="16"/>
                <w:szCs w:val="16"/>
              </w:rPr>
              <w:t>17,592,</w:t>
            </w:r>
            <w:r w:rsidR="00970A9B">
              <w:rPr>
                <w:rFonts w:cs="Arial"/>
                <w:color w:val="1C1C1C"/>
                <w:sz w:val="16"/>
                <w:szCs w:val="16"/>
              </w:rPr>
              <w:t>205,044</w:t>
            </w:r>
          </w:p>
        </w:tc>
        <w:tc>
          <w:tcPr>
            <w:tcW w:w="1918" w:type="dxa"/>
            <w:tcBorders>
              <w:left w:val="single" w:sz="4" w:space="0" w:color="FFFFFF" w:themeColor="background2"/>
              <w:right w:val="single" w:sz="4" w:space="0" w:color="FFFFFF" w:themeColor="background2"/>
            </w:tcBorders>
            <w:shd w:val="clear" w:color="auto" w:fill="F2F2F2" w:themeFill="accent6" w:themeFillShade="F2"/>
            <w:vAlign w:val="center"/>
          </w:tcPr>
          <w:p w14:paraId="7BE252A8" w14:textId="20AA05C1" w:rsidR="000A45B6" w:rsidRPr="009940F3" w:rsidRDefault="000A45B6" w:rsidP="000A45B6">
            <w:pPr>
              <w:spacing w:before="40" w:after="40"/>
              <w:jc w:val="right"/>
              <w:rPr>
                <w:rFonts w:cs="Arial"/>
                <w:color w:val="1C1C1C"/>
                <w:sz w:val="16"/>
                <w:szCs w:val="16"/>
              </w:rPr>
            </w:pPr>
            <w:r w:rsidRPr="009940F3">
              <w:rPr>
                <w:rFonts w:cs="Arial"/>
                <w:color w:val="1C1C1C"/>
                <w:sz w:val="16"/>
                <w:szCs w:val="16"/>
              </w:rPr>
              <w:t>9,176,</w:t>
            </w:r>
            <w:r w:rsidR="002178A4">
              <w:rPr>
                <w:rFonts w:cs="Arial"/>
                <w:color w:val="1C1C1C"/>
                <w:sz w:val="16"/>
                <w:szCs w:val="16"/>
              </w:rPr>
              <w:t>288</w:t>
            </w:r>
          </w:p>
        </w:tc>
        <w:tc>
          <w:tcPr>
            <w:tcW w:w="1546" w:type="dxa"/>
            <w:tcBorders>
              <w:left w:val="single" w:sz="4" w:space="0" w:color="FFFFFF" w:themeColor="background2"/>
              <w:right w:val="single" w:sz="4" w:space="0" w:color="FFFFFF" w:themeColor="background2"/>
            </w:tcBorders>
            <w:shd w:val="clear" w:color="auto" w:fill="F2F2F2" w:themeFill="accent6" w:themeFillShade="F2"/>
            <w:vAlign w:val="center"/>
          </w:tcPr>
          <w:p w14:paraId="3489E879" w14:textId="2793765A" w:rsidR="000A45B6" w:rsidRPr="009940F3" w:rsidRDefault="000A45B6" w:rsidP="000A45B6">
            <w:pPr>
              <w:spacing w:before="40" w:after="40"/>
              <w:jc w:val="right"/>
              <w:rPr>
                <w:rFonts w:cs="Arial"/>
                <w:color w:val="1C1C1C"/>
                <w:sz w:val="16"/>
                <w:szCs w:val="16"/>
              </w:rPr>
            </w:pPr>
            <w:r w:rsidRPr="009940F3">
              <w:rPr>
                <w:rFonts w:cs="Arial"/>
                <w:color w:val="1C1C1C"/>
                <w:sz w:val="16"/>
                <w:szCs w:val="16"/>
              </w:rPr>
              <w:t>17,</w:t>
            </w:r>
            <w:r w:rsidR="00E73D63">
              <w:rPr>
                <w:rFonts w:cs="Arial"/>
                <w:color w:val="1C1C1C"/>
                <w:sz w:val="16"/>
                <w:szCs w:val="16"/>
              </w:rPr>
              <w:t>2</w:t>
            </w:r>
            <w:r w:rsidR="00DD1F5F">
              <w:rPr>
                <w:rFonts w:cs="Arial"/>
                <w:color w:val="1C1C1C"/>
                <w:sz w:val="16"/>
                <w:szCs w:val="16"/>
              </w:rPr>
              <w:t>5</w:t>
            </w:r>
            <w:r w:rsidR="00E73D63">
              <w:rPr>
                <w:rFonts w:cs="Arial"/>
                <w:color w:val="1C1C1C"/>
                <w:sz w:val="16"/>
                <w:szCs w:val="16"/>
              </w:rPr>
              <w:t>5,</w:t>
            </w:r>
            <w:r w:rsidR="00DD1F5F">
              <w:rPr>
                <w:rFonts w:cs="Arial"/>
                <w:color w:val="1C1C1C"/>
                <w:sz w:val="16"/>
                <w:szCs w:val="16"/>
              </w:rPr>
              <w:t>680</w:t>
            </w:r>
            <w:r w:rsidR="00E73D63">
              <w:rPr>
                <w:rFonts w:cs="Arial"/>
                <w:color w:val="1C1C1C"/>
                <w:sz w:val="16"/>
                <w:szCs w:val="16"/>
              </w:rPr>
              <w:t>,</w:t>
            </w:r>
            <w:r w:rsidR="00DD1F5F">
              <w:rPr>
                <w:rFonts w:cs="Arial"/>
                <w:color w:val="1C1C1C"/>
                <w:sz w:val="16"/>
                <w:szCs w:val="16"/>
              </w:rPr>
              <w:t>923</w:t>
            </w:r>
          </w:p>
        </w:tc>
        <w:tc>
          <w:tcPr>
            <w:tcW w:w="1661" w:type="dxa"/>
            <w:tcBorders>
              <w:left w:val="single" w:sz="4" w:space="0" w:color="FFFFFF" w:themeColor="background2"/>
              <w:right w:val="single" w:sz="4" w:space="0" w:color="FFFFFF" w:themeColor="background2"/>
            </w:tcBorders>
            <w:shd w:val="clear" w:color="auto" w:fill="F2F2F2" w:themeFill="accent6" w:themeFillShade="F2"/>
            <w:vAlign w:val="bottom"/>
          </w:tcPr>
          <w:p w14:paraId="37493A44" w14:textId="7EF67F4D" w:rsidR="000A45B6" w:rsidRPr="009940F3" w:rsidRDefault="000A45B6" w:rsidP="000A45B6">
            <w:pPr>
              <w:spacing w:before="40" w:after="40"/>
              <w:jc w:val="right"/>
              <w:rPr>
                <w:rFonts w:cs="Arial"/>
                <w:color w:val="1C1C1C"/>
                <w:sz w:val="16"/>
                <w:szCs w:val="16"/>
              </w:rPr>
            </w:pPr>
            <w:r w:rsidRPr="009940F3">
              <w:rPr>
                <w:rFonts w:cs="Arial"/>
                <w:color w:val="1C1C1C"/>
                <w:sz w:val="16"/>
                <w:szCs w:val="16"/>
              </w:rPr>
              <w:t xml:space="preserve">            11,295,676 </w:t>
            </w:r>
          </w:p>
        </w:tc>
      </w:tr>
      <w:tr w:rsidR="00112651" w:rsidRPr="00C219EA" w14:paraId="729B240C" w14:textId="77777777" w:rsidTr="000A45B6">
        <w:trPr>
          <w:cnfStyle w:val="000000100000" w:firstRow="0" w:lastRow="0" w:firstColumn="0" w:lastColumn="0" w:oddVBand="0" w:evenVBand="0" w:oddHBand="1" w:evenHBand="0" w:firstRowFirstColumn="0" w:firstRowLastColumn="0" w:lastRowFirstColumn="0" w:lastRowLastColumn="0"/>
          <w:trHeight w:val="20"/>
        </w:trPr>
        <w:tc>
          <w:tcPr>
            <w:tcW w:w="1134" w:type="dxa"/>
            <w:tcBorders>
              <w:right w:val="single" w:sz="4" w:space="0" w:color="FFFFFF" w:themeColor="background2"/>
            </w:tcBorders>
          </w:tcPr>
          <w:p w14:paraId="6FFE19B8" w14:textId="77777777" w:rsidR="00112651" w:rsidRPr="009940F3" w:rsidRDefault="00112651" w:rsidP="00112651">
            <w:pPr>
              <w:spacing w:before="40" w:after="40"/>
              <w:rPr>
                <w:rFonts w:cs="Arial"/>
                <w:color w:val="000000"/>
                <w:sz w:val="16"/>
                <w:szCs w:val="16"/>
                <w:lang w:val="en-US"/>
              </w:rPr>
            </w:pPr>
            <w:r w:rsidRPr="009940F3">
              <w:rPr>
                <w:rFonts w:cs="Arial"/>
                <w:color w:val="1C1C1C"/>
                <w:sz w:val="16"/>
                <w:szCs w:val="16"/>
              </w:rPr>
              <w:t>Qld</w:t>
            </w:r>
          </w:p>
        </w:tc>
        <w:tc>
          <w:tcPr>
            <w:tcW w:w="1560" w:type="dxa"/>
            <w:tcBorders>
              <w:left w:val="single" w:sz="4" w:space="0" w:color="FFFFFF" w:themeColor="background2"/>
              <w:right w:val="single" w:sz="4" w:space="0" w:color="FFFFFF" w:themeColor="background2"/>
            </w:tcBorders>
            <w:shd w:val="clear" w:color="auto" w:fill="F2F2F2" w:themeFill="accent6" w:themeFillShade="F2"/>
          </w:tcPr>
          <w:p w14:paraId="022D947E" w14:textId="0152FB15"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11,239,118 </w:t>
            </w:r>
          </w:p>
        </w:tc>
        <w:tc>
          <w:tcPr>
            <w:tcW w:w="1767" w:type="dxa"/>
            <w:tcBorders>
              <w:left w:val="single" w:sz="4" w:space="0" w:color="FFFFFF" w:themeColor="background2"/>
              <w:right w:val="single" w:sz="4" w:space="0" w:color="FFFFFF" w:themeColor="background2"/>
            </w:tcBorders>
            <w:shd w:val="clear" w:color="auto" w:fill="F2F2F2" w:themeFill="accent6" w:themeFillShade="F2"/>
            <w:vAlign w:val="center"/>
          </w:tcPr>
          <w:p w14:paraId="29A667F0" w14:textId="54B070E5"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16,482,787,223 </w:t>
            </w:r>
          </w:p>
        </w:tc>
        <w:tc>
          <w:tcPr>
            <w:tcW w:w="1918" w:type="dxa"/>
            <w:tcBorders>
              <w:left w:val="single" w:sz="4" w:space="0" w:color="FFFFFF" w:themeColor="background2"/>
              <w:right w:val="single" w:sz="4" w:space="0" w:color="FFFFFF" w:themeColor="background2"/>
            </w:tcBorders>
            <w:shd w:val="clear" w:color="auto" w:fill="F2F2F2" w:themeFill="accent6" w:themeFillShade="F2"/>
          </w:tcPr>
          <w:p w14:paraId="6FEE2493" w14:textId="2965B812"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11,235,342 </w:t>
            </w:r>
          </w:p>
        </w:tc>
        <w:tc>
          <w:tcPr>
            <w:tcW w:w="1546" w:type="dxa"/>
            <w:tcBorders>
              <w:left w:val="single" w:sz="4" w:space="0" w:color="FFFFFF" w:themeColor="background2"/>
              <w:right w:val="single" w:sz="4" w:space="0" w:color="FFFFFF" w:themeColor="background2"/>
            </w:tcBorders>
            <w:shd w:val="clear" w:color="auto" w:fill="F2F2F2" w:themeFill="accent6" w:themeFillShade="F2"/>
          </w:tcPr>
          <w:p w14:paraId="1DFE09B3" w14:textId="368B1750"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16,369,887,749 </w:t>
            </w:r>
          </w:p>
        </w:tc>
        <w:tc>
          <w:tcPr>
            <w:tcW w:w="1661" w:type="dxa"/>
            <w:tcBorders>
              <w:left w:val="single" w:sz="4" w:space="0" w:color="FFFFFF" w:themeColor="background2"/>
              <w:right w:val="single" w:sz="4" w:space="0" w:color="FFFFFF" w:themeColor="background2"/>
            </w:tcBorders>
            <w:shd w:val="clear" w:color="auto" w:fill="F2F2F2" w:themeFill="accent6" w:themeFillShade="F2"/>
            <w:vAlign w:val="bottom"/>
          </w:tcPr>
          <w:p w14:paraId="28A1CCB5" w14:textId="517E96B2"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12,267,999 </w:t>
            </w:r>
          </w:p>
        </w:tc>
      </w:tr>
      <w:tr w:rsidR="00112651" w:rsidRPr="00C219EA" w14:paraId="3B8917C0" w14:textId="77777777" w:rsidTr="000A45B6">
        <w:trPr>
          <w:cnfStyle w:val="000000010000" w:firstRow="0" w:lastRow="0" w:firstColumn="0" w:lastColumn="0" w:oddVBand="0" w:evenVBand="0" w:oddHBand="0" w:evenHBand="1" w:firstRowFirstColumn="0" w:firstRowLastColumn="0" w:lastRowFirstColumn="0" w:lastRowLastColumn="0"/>
          <w:trHeight w:val="20"/>
        </w:trPr>
        <w:tc>
          <w:tcPr>
            <w:tcW w:w="1134" w:type="dxa"/>
            <w:tcBorders>
              <w:right w:val="single" w:sz="4" w:space="0" w:color="FFFFFF" w:themeColor="background2"/>
            </w:tcBorders>
          </w:tcPr>
          <w:p w14:paraId="44C2E0DD" w14:textId="77777777" w:rsidR="00112651" w:rsidRPr="009940F3" w:rsidRDefault="00112651" w:rsidP="00112651">
            <w:pPr>
              <w:spacing w:before="40" w:after="40"/>
              <w:rPr>
                <w:rFonts w:cs="Arial"/>
                <w:color w:val="000000"/>
                <w:sz w:val="16"/>
                <w:szCs w:val="16"/>
                <w:lang w:val="en-US"/>
              </w:rPr>
            </w:pPr>
            <w:r w:rsidRPr="009940F3">
              <w:rPr>
                <w:rFonts w:cs="Arial"/>
                <w:color w:val="1C1C1C"/>
                <w:sz w:val="16"/>
                <w:szCs w:val="16"/>
              </w:rPr>
              <w:t>SA</w:t>
            </w:r>
          </w:p>
        </w:tc>
        <w:tc>
          <w:tcPr>
            <w:tcW w:w="1560" w:type="dxa"/>
            <w:tcBorders>
              <w:left w:val="single" w:sz="4" w:space="0" w:color="FFFFFF" w:themeColor="background2"/>
              <w:right w:val="single" w:sz="4" w:space="0" w:color="FFFFFF" w:themeColor="background2"/>
            </w:tcBorders>
            <w:shd w:val="clear" w:color="auto" w:fill="F2F2F2" w:themeFill="accent6" w:themeFillShade="F2"/>
          </w:tcPr>
          <w:p w14:paraId="0339458C" w14:textId="04E7E1F4"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2,931,574 </w:t>
            </w:r>
          </w:p>
        </w:tc>
        <w:tc>
          <w:tcPr>
            <w:tcW w:w="1767"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472DB55F" w14:textId="5E972598"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5,429,855,833 </w:t>
            </w:r>
          </w:p>
        </w:tc>
        <w:tc>
          <w:tcPr>
            <w:tcW w:w="1918" w:type="dxa"/>
            <w:tcBorders>
              <w:left w:val="single" w:sz="4" w:space="0" w:color="FFFFFF" w:themeColor="background2"/>
              <w:right w:val="single" w:sz="4" w:space="0" w:color="FFFFFF" w:themeColor="background2"/>
            </w:tcBorders>
            <w:shd w:val="clear" w:color="auto" w:fill="F2F2F2" w:themeFill="accent6" w:themeFillShade="F2"/>
          </w:tcPr>
          <w:p w14:paraId="3F93C91E" w14:textId="3C416F61"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2,915,703 </w:t>
            </w:r>
          </w:p>
        </w:tc>
        <w:tc>
          <w:tcPr>
            <w:tcW w:w="1546" w:type="dxa"/>
            <w:tcBorders>
              <w:left w:val="single" w:sz="4" w:space="0" w:color="FFFFFF" w:themeColor="background2"/>
              <w:right w:val="single" w:sz="4" w:space="0" w:color="FFFFFF" w:themeColor="background2"/>
            </w:tcBorders>
            <w:shd w:val="clear" w:color="auto" w:fill="F2F2F2" w:themeFill="accent6" w:themeFillShade="F2"/>
          </w:tcPr>
          <w:p w14:paraId="239758F2" w14:textId="17FCFF51"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5,404,296,061 </w:t>
            </w:r>
          </w:p>
        </w:tc>
        <w:tc>
          <w:tcPr>
            <w:tcW w:w="1661" w:type="dxa"/>
            <w:tcBorders>
              <w:left w:val="single" w:sz="4" w:space="0" w:color="FFFFFF" w:themeColor="background2"/>
              <w:right w:val="single" w:sz="4" w:space="0" w:color="FFFFFF" w:themeColor="background2"/>
            </w:tcBorders>
            <w:shd w:val="clear" w:color="auto" w:fill="F2F2F2" w:themeFill="accent6" w:themeFillShade="F2"/>
            <w:vAlign w:val="bottom"/>
          </w:tcPr>
          <w:p w14:paraId="174A3645" w14:textId="00680FE5"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3,207,286 </w:t>
            </w:r>
          </w:p>
        </w:tc>
      </w:tr>
      <w:tr w:rsidR="00112651" w:rsidRPr="00C219EA" w14:paraId="4754F75B" w14:textId="77777777" w:rsidTr="000A45B6">
        <w:trPr>
          <w:cnfStyle w:val="000000100000" w:firstRow="0" w:lastRow="0" w:firstColumn="0" w:lastColumn="0" w:oddVBand="0" w:evenVBand="0" w:oddHBand="1" w:evenHBand="0" w:firstRowFirstColumn="0" w:firstRowLastColumn="0" w:lastRowFirstColumn="0" w:lastRowLastColumn="0"/>
          <w:trHeight w:val="20"/>
        </w:trPr>
        <w:tc>
          <w:tcPr>
            <w:tcW w:w="1134" w:type="dxa"/>
            <w:tcBorders>
              <w:right w:val="single" w:sz="4" w:space="0" w:color="FFFFFF" w:themeColor="background2"/>
            </w:tcBorders>
          </w:tcPr>
          <w:p w14:paraId="1560FE2B" w14:textId="77777777" w:rsidR="00112651" w:rsidRPr="009940F3" w:rsidRDefault="00112651" w:rsidP="00112651">
            <w:pPr>
              <w:spacing w:before="40" w:after="40"/>
              <w:rPr>
                <w:rFonts w:cs="Arial"/>
                <w:color w:val="1C1C1C"/>
                <w:sz w:val="16"/>
                <w:szCs w:val="16"/>
              </w:rPr>
            </w:pPr>
            <w:r w:rsidRPr="009940F3">
              <w:rPr>
                <w:rFonts w:cs="Arial"/>
                <w:color w:val="1C1C1C"/>
                <w:sz w:val="16"/>
                <w:szCs w:val="16"/>
              </w:rPr>
              <w:t>WA</w:t>
            </w:r>
          </w:p>
        </w:tc>
        <w:tc>
          <w:tcPr>
            <w:tcW w:w="1560" w:type="dxa"/>
            <w:tcBorders>
              <w:left w:val="single" w:sz="4" w:space="0" w:color="FFFFFF" w:themeColor="background2"/>
              <w:right w:val="single" w:sz="4" w:space="0" w:color="FFFFFF" w:themeColor="background2"/>
            </w:tcBorders>
            <w:shd w:val="clear" w:color="auto" w:fill="F2F2F2" w:themeFill="accent6" w:themeFillShade="F2"/>
          </w:tcPr>
          <w:p w14:paraId="4503865F" w14:textId="123FD648"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4,668,346 </w:t>
            </w:r>
          </w:p>
        </w:tc>
        <w:tc>
          <w:tcPr>
            <w:tcW w:w="1767" w:type="dxa"/>
            <w:tcBorders>
              <w:left w:val="single" w:sz="4" w:space="0" w:color="FFFFFF" w:themeColor="background2"/>
              <w:right w:val="single" w:sz="4" w:space="0" w:color="FFFFFF" w:themeColor="background2"/>
            </w:tcBorders>
            <w:shd w:val="clear" w:color="auto" w:fill="F2F2F2" w:themeFill="accent6" w:themeFillShade="F2"/>
            <w:vAlign w:val="center"/>
          </w:tcPr>
          <w:p w14:paraId="3346C0AE" w14:textId="1B6811FD"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7,587,633,932 </w:t>
            </w:r>
          </w:p>
        </w:tc>
        <w:tc>
          <w:tcPr>
            <w:tcW w:w="1918" w:type="dxa"/>
            <w:tcBorders>
              <w:left w:val="single" w:sz="4" w:space="0" w:color="FFFFFF" w:themeColor="background2"/>
              <w:right w:val="single" w:sz="4" w:space="0" w:color="FFFFFF" w:themeColor="background2"/>
            </w:tcBorders>
            <w:shd w:val="clear" w:color="auto" w:fill="F2F2F2" w:themeFill="accent6" w:themeFillShade="F2"/>
          </w:tcPr>
          <w:p w14:paraId="3C5AA8B4" w14:textId="735E5691"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4,164,108 </w:t>
            </w:r>
          </w:p>
        </w:tc>
        <w:tc>
          <w:tcPr>
            <w:tcW w:w="1546" w:type="dxa"/>
            <w:tcBorders>
              <w:left w:val="single" w:sz="4" w:space="0" w:color="FFFFFF" w:themeColor="background2"/>
              <w:right w:val="single" w:sz="4" w:space="0" w:color="FFFFFF" w:themeColor="background2"/>
            </w:tcBorders>
            <w:shd w:val="clear" w:color="auto" w:fill="F2F2F2" w:themeFill="accent6" w:themeFillShade="F2"/>
          </w:tcPr>
          <w:p w14:paraId="7D06E4E4" w14:textId="05897A6F"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7,426,044,199 </w:t>
            </w:r>
          </w:p>
        </w:tc>
        <w:tc>
          <w:tcPr>
            <w:tcW w:w="1661" w:type="dxa"/>
            <w:tcBorders>
              <w:left w:val="single" w:sz="4" w:space="0" w:color="FFFFFF" w:themeColor="background2"/>
              <w:right w:val="single" w:sz="4" w:space="0" w:color="FFFFFF" w:themeColor="background2"/>
            </w:tcBorders>
            <w:shd w:val="clear" w:color="auto" w:fill="F2F2F2" w:themeFill="accent6" w:themeFillShade="F2"/>
            <w:vAlign w:val="bottom"/>
          </w:tcPr>
          <w:p w14:paraId="5991992B" w14:textId="333686E1"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4,966,458 </w:t>
            </w:r>
          </w:p>
        </w:tc>
      </w:tr>
      <w:tr w:rsidR="00112651" w:rsidRPr="00C219EA" w14:paraId="58520CAB" w14:textId="77777777" w:rsidTr="000A45B6">
        <w:trPr>
          <w:cnfStyle w:val="000000010000" w:firstRow="0" w:lastRow="0" w:firstColumn="0" w:lastColumn="0" w:oddVBand="0" w:evenVBand="0" w:oddHBand="0" w:evenHBand="1" w:firstRowFirstColumn="0" w:firstRowLastColumn="0" w:lastRowFirstColumn="0" w:lastRowLastColumn="0"/>
          <w:trHeight w:val="20"/>
        </w:trPr>
        <w:tc>
          <w:tcPr>
            <w:tcW w:w="1134" w:type="dxa"/>
            <w:tcBorders>
              <w:bottom w:val="single" w:sz="4" w:space="0" w:color="D9D9D9" w:themeColor="background2" w:themeShade="D9"/>
              <w:right w:val="single" w:sz="4" w:space="0" w:color="FFFFFF" w:themeColor="background2"/>
            </w:tcBorders>
          </w:tcPr>
          <w:p w14:paraId="21A245C3" w14:textId="77777777" w:rsidR="00112651" w:rsidRPr="009940F3" w:rsidRDefault="00112651" w:rsidP="00112651">
            <w:pPr>
              <w:spacing w:before="40" w:after="40"/>
              <w:rPr>
                <w:rFonts w:cs="Arial"/>
                <w:color w:val="1C1C1C"/>
                <w:sz w:val="16"/>
                <w:szCs w:val="16"/>
              </w:rPr>
            </w:pPr>
            <w:r w:rsidRPr="009940F3">
              <w:rPr>
                <w:rFonts w:cs="Arial"/>
                <w:color w:val="1C1C1C"/>
                <w:sz w:val="16"/>
                <w:szCs w:val="16"/>
              </w:rPr>
              <w:t>Tas</w:t>
            </w:r>
          </w:p>
        </w:tc>
        <w:tc>
          <w:tcPr>
            <w:tcW w:w="1560" w:type="dxa"/>
            <w:tcBorders>
              <w:left w:val="single" w:sz="4" w:space="0" w:color="FFFFFF" w:themeColor="background2"/>
              <w:right w:val="single" w:sz="4" w:space="0" w:color="FFFFFF" w:themeColor="background2"/>
            </w:tcBorders>
            <w:shd w:val="clear" w:color="auto" w:fill="F2F2F2" w:themeFill="accent6" w:themeFillShade="F2"/>
          </w:tcPr>
          <w:p w14:paraId="695B0C4D" w14:textId="360C4560"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1,032,372 </w:t>
            </w:r>
          </w:p>
        </w:tc>
        <w:tc>
          <w:tcPr>
            <w:tcW w:w="1767"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4F3C43B" w14:textId="64A60F80"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2,005,280,643 </w:t>
            </w:r>
          </w:p>
        </w:tc>
        <w:tc>
          <w:tcPr>
            <w:tcW w:w="1918" w:type="dxa"/>
            <w:tcBorders>
              <w:left w:val="single" w:sz="4" w:space="0" w:color="FFFFFF" w:themeColor="background2"/>
              <w:right w:val="single" w:sz="4" w:space="0" w:color="FFFFFF" w:themeColor="background2"/>
            </w:tcBorders>
            <w:shd w:val="clear" w:color="auto" w:fill="F2F2F2" w:themeFill="accent6" w:themeFillShade="F2"/>
          </w:tcPr>
          <w:p w14:paraId="76BBF89A" w14:textId="7F17EE2D"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1,011,804 </w:t>
            </w:r>
          </w:p>
        </w:tc>
        <w:tc>
          <w:tcPr>
            <w:tcW w:w="1546" w:type="dxa"/>
            <w:tcBorders>
              <w:left w:val="single" w:sz="4" w:space="0" w:color="FFFFFF" w:themeColor="background2"/>
              <w:right w:val="single" w:sz="4" w:space="0" w:color="FFFFFF" w:themeColor="background2"/>
            </w:tcBorders>
            <w:shd w:val="clear" w:color="auto" w:fill="F2F2F2" w:themeFill="accent6" w:themeFillShade="F2"/>
          </w:tcPr>
          <w:p w14:paraId="243D1EBD" w14:textId="2D463737"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1,978,717,255 </w:t>
            </w:r>
          </w:p>
        </w:tc>
        <w:tc>
          <w:tcPr>
            <w:tcW w:w="1661" w:type="dxa"/>
            <w:tcBorders>
              <w:left w:val="single" w:sz="4" w:space="0" w:color="FFFFFF" w:themeColor="background2"/>
              <w:right w:val="single" w:sz="4" w:space="0" w:color="FFFFFF" w:themeColor="background2"/>
            </w:tcBorders>
            <w:shd w:val="clear" w:color="auto" w:fill="F2F2F2" w:themeFill="accent6" w:themeFillShade="F2"/>
            <w:vAlign w:val="bottom"/>
          </w:tcPr>
          <w:p w14:paraId="06923A49" w14:textId="4DE1328A"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1,075,600 </w:t>
            </w:r>
          </w:p>
        </w:tc>
      </w:tr>
      <w:tr w:rsidR="00112651" w:rsidRPr="00C219EA" w14:paraId="1501F345" w14:textId="77777777" w:rsidTr="000A45B6">
        <w:trPr>
          <w:cnfStyle w:val="000000100000" w:firstRow="0" w:lastRow="0" w:firstColumn="0" w:lastColumn="0" w:oddVBand="0" w:evenVBand="0" w:oddHBand="1" w:evenHBand="0" w:firstRowFirstColumn="0" w:firstRowLastColumn="0" w:lastRowFirstColumn="0" w:lastRowLastColumn="0"/>
          <w:trHeight w:val="20"/>
        </w:trPr>
        <w:tc>
          <w:tcPr>
            <w:tcW w:w="1134" w:type="dxa"/>
            <w:tcBorders>
              <w:right w:val="single" w:sz="4" w:space="0" w:color="FFFFFF" w:themeColor="background2"/>
            </w:tcBorders>
          </w:tcPr>
          <w:p w14:paraId="5EBCF3EE" w14:textId="77777777" w:rsidR="00112651" w:rsidRPr="009940F3" w:rsidRDefault="00112651" w:rsidP="00112651">
            <w:pPr>
              <w:spacing w:before="40" w:after="40"/>
              <w:rPr>
                <w:rFonts w:cs="Arial"/>
                <w:color w:val="1C1C1C"/>
                <w:sz w:val="16"/>
                <w:szCs w:val="16"/>
              </w:rPr>
            </w:pPr>
            <w:r w:rsidRPr="009940F3">
              <w:rPr>
                <w:rFonts w:cs="Arial"/>
                <w:color w:val="1C1C1C"/>
                <w:sz w:val="16"/>
                <w:szCs w:val="16"/>
              </w:rPr>
              <w:t>NT</w:t>
            </w:r>
          </w:p>
        </w:tc>
        <w:tc>
          <w:tcPr>
            <w:tcW w:w="1560" w:type="dxa"/>
            <w:tcBorders>
              <w:left w:val="single" w:sz="4" w:space="0" w:color="FFFFFF" w:themeColor="background2"/>
              <w:right w:val="single" w:sz="4" w:space="0" w:color="FFFFFF" w:themeColor="background2"/>
            </w:tcBorders>
            <w:shd w:val="clear" w:color="auto" w:fill="F2F2F2" w:themeFill="accent6" w:themeFillShade="F2"/>
          </w:tcPr>
          <w:p w14:paraId="11E6DC50" w14:textId="6EB2FF46"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677,493 </w:t>
            </w:r>
          </w:p>
        </w:tc>
        <w:tc>
          <w:tcPr>
            <w:tcW w:w="1767" w:type="dxa"/>
            <w:tcBorders>
              <w:left w:val="single" w:sz="4" w:space="0" w:color="FFFFFF" w:themeColor="background2"/>
              <w:right w:val="single" w:sz="4" w:space="0" w:color="FFFFFF" w:themeColor="background2"/>
            </w:tcBorders>
            <w:shd w:val="clear" w:color="auto" w:fill="F2F2F2" w:themeFill="accent6" w:themeFillShade="F2"/>
            <w:vAlign w:val="center"/>
          </w:tcPr>
          <w:p w14:paraId="609E9D49" w14:textId="72849C26"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1,372,132,734 </w:t>
            </w:r>
          </w:p>
        </w:tc>
        <w:tc>
          <w:tcPr>
            <w:tcW w:w="1918" w:type="dxa"/>
            <w:tcBorders>
              <w:left w:val="single" w:sz="4" w:space="0" w:color="FFFFFF" w:themeColor="background2"/>
              <w:right w:val="single" w:sz="4" w:space="0" w:color="FFFFFF" w:themeColor="background2"/>
            </w:tcBorders>
            <w:shd w:val="clear" w:color="auto" w:fill="F2F2F2" w:themeFill="accent6" w:themeFillShade="F2"/>
          </w:tcPr>
          <w:p w14:paraId="4004EA83" w14:textId="62A09DF8"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677,116 </w:t>
            </w:r>
          </w:p>
        </w:tc>
        <w:tc>
          <w:tcPr>
            <w:tcW w:w="1546" w:type="dxa"/>
            <w:tcBorders>
              <w:left w:val="single" w:sz="4" w:space="0" w:color="FFFFFF" w:themeColor="background2"/>
              <w:right w:val="single" w:sz="4" w:space="0" w:color="FFFFFF" w:themeColor="background2"/>
            </w:tcBorders>
            <w:shd w:val="clear" w:color="auto" w:fill="F2F2F2" w:themeFill="accent6" w:themeFillShade="F2"/>
          </w:tcPr>
          <w:p w14:paraId="17A57A23" w14:textId="7D4CA75B"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1,265,902,339 </w:t>
            </w:r>
          </w:p>
        </w:tc>
        <w:tc>
          <w:tcPr>
            <w:tcW w:w="1661" w:type="dxa"/>
            <w:tcBorders>
              <w:left w:val="single" w:sz="4" w:space="0" w:color="FFFFFF" w:themeColor="background2"/>
              <w:right w:val="single" w:sz="4" w:space="0" w:color="FFFFFF" w:themeColor="background2"/>
            </w:tcBorders>
            <w:shd w:val="clear" w:color="auto" w:fill="F2F2F2" w:themeFill="accent6" w:themeFillShade="F2"/>
            <w:vAlign w:val="bottom"/>
          </w:tcPr>
          <w:p w14:paraId="5B560B0D" w14:textId="535CC753"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972,105 </w:t>
            </w:r>
          </w:p>
        </w:tc>
      </w:tr>
      <w:tr w:rsidR="00112651" w:rsidRPr="00C219EA" w14:paraId="3D6D1AD1" w14:textId="77777777" w:rsidTr="000A45B6">
        <w:trPr>
          <w:cnfStyle w:val="000000010000" w:firstRow="0" w:lastRow="0" w:firstColumn="0" w:lastColumn="0" w:oddVBand="0" w:evenVBand="0" w:oddHBand="0" w:evenHBand="1" w:firstRowFirstColumn="0" w:firstRowLastColumn="0" w:lastRowFirstColumn="0" w:lastRowLastColumn="0"/>
          <w:trHeight w:val="20"/>
        </w:trPr>
        <w:tc>
          <w:tcPr>
            <w:tcW w:w="1134" w:type="dxa"/>
            <w:tcBorders>
              <w:bottom w:val="single" w:sz="4" w:space="0" w:color="D9D9D9" w:themeColor="background2" w:themeShade="D9"/>
              <w:right w:val="single" w:sz="4" w:space="0" w:color="FFFFFF" w:themeColor="background2"/>
            </w:tcBorders>
          </w:tcPr>
          <w:p w14:paraId="06DE5BF6" w14:textId="77777777" w:rsidR="00112651" w:rsidRPr="009940F3" w:rsidRDefault="00112651" w:rsidP="00112651">
            <w:pPr>
              <w:spacing w:before="40" w:after="40"/>
              <w:rPr>
                <w:rFonts w:cs="Arial"/>
                <w:color w:val="1C1C1C"/>
                <w:sz w:val="16"/>
                <w:szCs w:val="16"/>
              </w:rPr>
            </w:pPr>
            <w:r w:rsidRPr="009940F3">
              <w:rPr>
                <w:rFonts w:cs="Arial"/>
                <w:color w:val="1C1C1C"/>
                <w:sz w:val="16"/>
                <w:szCs w:val="16"/>
              </w:rPr>
              <w:t>ACT</w:t>
            </w:r>
          </w:p>
        </w:tc>
        <w:tc>
          <w:tcPr>
            <w:tcW w:w="1560" w:type="dxa"/>
            <w:tcBorders>
              <w:left w:val="single" w:sz="4" w:space="0" w:color="FFFFFF" w:themeColor="background2"/>
              <w:right w:val="single" w:sz="4" w:space="0" w:color="FFFFFF" w:themeColor="background2"/>
            </w:tcBorders>
            <w:shd w:val="clear" w:color="auto" w:fill="F2F2F2" w:themeFill="accent6" w:themeFillShade="F2"/>
          </w:tcPr>
          <w:p w14:paraId="1B7AA132" w14:textId="26EA5589"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w:t>
            </w:r>
          </w:p>
        </w:tc>
        <w:tc>
          <w:tcPr>
            <w:tcW w:w="1767"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4A86B0D0" w14:textId="69D6A3C5"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   </w:t>
            </w:r>
          </w:p>
        </w:tc>
        <w:tc>
          <w:tcPr>
            <w:tcW w:w="1918" w:type="dxa"/>
            <w:tcBorders>
              <w:left w:val="single" w:sz="4" w:space="0" w:color="FFFFFF" w:themeColor="background2"/>
              <w:right w:val="single" w:sz="4" w:space="0" w:color="FFFFFF" w:themeColor="background2"/>
            </w:tcBorders>
            <w:shd w:val="clear" w:color="auto" w:fill="F2F2F2" w:themeFill="accent6" w:themeFillShade="F2"/>
          </w:tcPr>
          <w:p w14:paraId="2C39F780" w14:textId="13C2F11B"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   </w:t>
            </w:r>
          </w:p>
        </w:tc>
        <w:tc>
          <w:tcPr>
            <w:tcW w:w="1546" w:type="dxa"/>
            <w:tcBorders>
              <w:left w:val="single" w:sz="4" w:space="0" w:color="FFFFFF" w:themeColor="background2"/>
              <w:right w:val="single" w:sz="4" w:space="0" w:color="FFFFFF" w:themeColor="background2"/>
            </w:tcBorders>
            <w:shd w:val="clear" w:color="auto" w:fill="F2F2F2" w:themeFill="accent6" w:themeFillShade="F2"/>
          </w:tcPr>
          <w:p w14:paraId="46D8BE78" w14:textId="7A05AB5C"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   </w:t>
            </w:r>
          </w:p>
        </w:tc>
        <w:tc>
          <w:tcPr>
            <w:tcW w:w="1661" w:type="dxa"/>
            <w:tcBorders>
              <w:left w:val="single" w:sz="4" w:space="0" w:color="FFFFFF" w:themeColor="background2"/>
              <w:right w:val="single" w:sz="4" w:space="0" w:color="FFFFFF" w:themeColor="background2"/>
            </w:tcBorders>
            <w:shd w:val="clear" w:color="auto" w:fill="F2F2F2" w:themeFill="accent6" w:themeFillShade="F2"/>
            <w:vAlign w:val="bottom"/>
          </w:tcPr>
          <w:p w14:paraId="6F454449" w14:textId="2957AA46" w:rsidR="00112651" w:rsidRPr="009940F3" w:rsidRDefault="00112651" w:rsidP="00112651">
            <w:pPr>
              <w:spacing w:before="40" w:after="40"/>
              <w:jc w:val="right"/>
              <w:rPr>
                <w:rFonts w:cs="Arial"/>
                <w:color w:val="1C1C1C"/>
                <w:sz w:val="16"/>
                <w:szCs w:val="16"/>
              </w:rPr>
            </w:pPr>
            <w:r w:rsidRPr="009940F3">
              <w:rPr>
                <w:rFonts w:cs="Arial"/>
                <w:color w:val="1C1C1C"/>
                <w:sz w:val="16"/>
                <w:szCs w:val="16"/>
              </w:rPr>
              <w:t xml:space="preserve">              1,045,028 </w:t>
            </w:r>
          </w:p>
        </w:tc>
      </w:tr>
      <w:tr w:rsidR="000A45B6" w:rsidRPr="00C219EA" w14:paraId="0528CC48" w14:textId="77777777" w:rsidTr="00F44DA7">
        <w:trPr>
          <w:cnfStyle w:val="000000100000" w:firstRow="0" w:lastRow="0" w:firstColumn="0" w:lastColumn="0" w:oddVBand="0" w:evenVBand="0" w:oddHBand="1" w:evenHBand="0" w:firstRowFirstColumn="0" w:firstRowLastColumn="0" w:lastRowFirstColumn="0" w:lastRowLastColumn="0"/>
          <w:trHeight w:val="20"/>
        </w:trPr>
        <w:tc>
          <w:tcPr>
            <w:tcW w:w="0" w:type="dxa"/>
            <w:tcBorders>
              <w:right w:val="single" w:sz="4" w:space="0" w:color="FFFFFF" w:themeColor="background2"/>
            </w:tcBorders>
            <w:shd w:val="clear" w:color="auto" w:fill="DFEBF1" w:themeFill="text2" w:themeFillTint="1A"/>
          </w:tcPr>
          <w:p w14:paraId="1DAA9381" w14:textId="77777777" w:rsidR="000A45B6" w:rsidRPr="009940F3" w:rsidRDefault="000A45B6" w:rsidP="000A45B6">
            <w:pPr>
              <w:spacing w:before="40" w:after="40"/>
              <w:rPr>
                <w:rFonts w:cs="Arial"/>
                <w:b/>
                <w:bCs/>
                <w:color w:val="1C1C1C"/>
                <w:sz w:val="16"/>
                <w:szCs w:val="16"/>
              </w:rPr>
            </w:pPr>
            <w:r w:rsidRPr="009940F3">
              <w:rPr>
                <w:rFonts w:cs="Arial"/>
                <w:b/>
                <w:bCs/>
                <w:color w:val="1C1C1C"/>
                <w:sz w:val="16"/>
                <w:szCs w:val="16"/>
              </w:rPr>
              <w:t>National</w:t>
            </w:r>
          </w:p>
        </w:tc>
        <w:tc>
          <w:tcPr>
            <w:tcW w:w="0" w:type="dxa"/>
            <w:tcBorders>
              <w:left w:val="single" w:sz="4" w:space="0" w:color="FFFFFF" w:themeColor="background2"/>
              <w:right w:val="single" w:sz="4" w:space="0" w:color="FFFFFF" w:themeColor="background2"/>
            </w:tcBorders>
            <w:shd w:val="clear" w:color="auto" w:fill="DFEBF1" w:themeFill="text2" w:themeFillTint="1A"/>
            <w:vAlign w:val="center"/>
          </w:tcPr>
          <w:p w14:paraId="33E96B98" w14:textId="684E8F5D" w:rsidR="000A45B6" w:rsidRPr="009940F3" w:rsidRDefault="000A45B6" w:rsidP="000A45B6">
            <w:pPr>
              <w:spacing w:before="40" w:after="40"/>
              <w:jc w:val="right"/>
              <w:rPr>
                <w:rFonts w:cs="Arial"/>
                <w:b/>
                <w:bCs/>
                <w:color w:val="1C1C1C"/>
                <w:sz w:val="16"/>
                <w:szCs w:val="16"/>
              </w:rPr>
            </w:pPr>
            <w:r w:rsidRPr="009940F3">
              <w:rPr>
                <w:rFonts w:cs="Arial"/>
                <w:b/>
                <w:bCs/>
                <w:color w:val="1C1C1C"/>
                <w:sz w:val="16"/>
                <w:szCs w:val="16"/>
              </w:rPr>
              <w:t>45,468,1</w:t>
            </w:r>
            <w:r w:rsidR="00DE7492">
              <w:rPr>
                <w:rFonts w:cs="Arial"/>
                <w:b/>
                <w:bCs/>
                <w:color w:val="1C1C1C"/>
                <w:sz w:val="16"/>
                <w:szCs w:val="16"/>
              </w:rPr>
              <w:t>58</w:t>
            </w:r>
          </w:p>
        </w:tc>
        <w:tc>
          <w:tcPr>
            <w:tcW w:w="0" w:type="dxa"/>
            <w:tcBorders>
              <w:left w:val="single" w:sz="4" w:space="0" w:color="FFFFFF" w:themeColor="background2"/>
              <w:right w:val="single" w:sz="4" w:space="0" w:color="FFFFFF" w:themeColor="background2"/>
            </w:tcBorders>
            <w:shd w:val="clear" w:color="auto" w:fill="DFEBF1" w:themeFill="text2" w:themeFillTint="1A"/>
            <w:vAlign w:val="center"/>
          </w:tcPr>
          <w:p w14:paraId="1CD174BF" w14:textId="28DEE28A" w:rsidR="000A45B6" w:rsidRPr="009940F3" w:rsidRDefault="000A45B6" w:rsidP="000A45B6">
            <w:pPr>
              <w:spacing w:before="40" w:after="40"/>
              <w:jc w:val="right"/>
              <w:rPr>
                <w:rFonts w:cs="Arial"/>
                <w:b/>
                <w:bCs/>
                <w:color w:val="1C1C1C"/>
                <w:sz w:val="16"/>
                <w:szCs w:val="16"/>
              </w:rPr>
            </w:pPr>
            <w:r w:rsidRPr="009940F3">
              <w:rPr>
                <w:rFonts w:cs="Arial"/>
                <w:b/>
                <w:bCs/>
                <w:color w:val="1C1C1C"/>
                <w:sz w:val="16"/>
                <w:szCs w:val="16"/>
              </w:rPr>
              <w:t>70,665,</w:t>
            </w:r>
            <w:r w:rsidR="00DE7492">
              <w:rPr>
                <w:rFonts w:cs="Arial"/>
                <w:b/>
                <w:bCs/>
                <w:color w:val="1C1C1C"/>
                <w:sz w:val="16"/>
                <w:szCs w:val="16"/>
              </w:rPr>
              <w:t>419,211</w:t>
            </w:r>
          </w:p>
        </w:tc>
        <w:tc>
          <w:tcPr>
            <w:tcW w:w="0" w:type="dxa"/>
            <w:tcBorders>
              <w:left w:val="single" w:sz="4" w:space="0" w:color="FFFFFF" w:themeColor="background2"/>
              <w:right w:val="single" w:sz="4" w:space="0" w:color="FFFFFF" w:themeColor="background2"/>
            </w:tcBorders>
            <w:shd w:val="clear" w:color="auto" w:fill="DFEBF1" w:themeFill="text2" w:themeFillTint="1A"/>
            <w:vAlign w:val="center"/>
          </w:tcPr>
          <w:p w14:paraId="2A7884A7" w14:textId="5F3016B6" w:rsidR="000A45B6" w:rsidRPr="009940F3" w:rsidRDefault="000A45B6" w:rsidP="000A45B6">
            <w:pPr>
              <w:spacing w:before="40" w:after="40"/>
              <w:jc w:val="right"/>
              <w:rPr>
                <w:rFonts w:cs="Arial"/>
                <w:b/>
                <w:bCs/>
                <w:color w:val="1C1C1C"/>
                <w:sz w:val="16"/>
                <w:szCs w:val="16"/>
              </w:rPr>
            </w:pPr>
            <w:r w:rsidRPr="009940F3">
              <w:rPr>
                <w:rFonts w:cs="Arial"/>
                <w:b/>
                <w:bCs/>
                <w:color w:val="1C1C1C"/>
                <w:sz w:val="16"/>
                <w:szCs w:val="16"/>
              </w:rPr>
              <w:t>44,202,</w:t>
            </w:r>
            <w:r w:rsidR="00DD1F5F">
              <w:rPr>
                <w:rFonts w:cs="Arial"/>
                <w:b/>
                <w:bCs/>
                <w:color w:val="1C1C1C"/>
                <w:sz w:val="16"/>
                <w:szCs w:val="16"/>
              </w:rPr>
              <w:t>611</w:t>
            </w:r>
          </w:p>
        </w:tc>
        <w:tc>
          <w:tcPr>
            <w:tcW w:w="0" w:type="dxa"/>
            <w:tcBorders>
              <w:left w:val="single" w:sz="4" w:space="0" w:color="FFFFFF" w:themeColor="background2"/>
              <w:right w:val="single" w:sz="4" w:space="0" w:color="FFFFFF" w:themeColor="background2"/>
            </w:tcBorders>
            <w:shd w:val="clear" w:color="auto" w:fill="DFEBF1" w:themeFill="text2" w:themeFillTint="1A"/>
            <w:vAlign w:val="center"/>
          </w:tcPr>
          <w:p w14:paraId="6C85B629" w14:textId="736F9992" w:rsidR="000A45B6" w:rsidRPr="009940F3" w:rsidRDefault="000A45B6" w:rsidP="000A45B6">
            <w:pPr>
              <w:spacing w:before="40" w:after="40"/>
              <w:jc w:val="right"/>
              <w:rPr>
                <w:rFonts w:cs="Arial"/>
                <w:b/>
                <w:bCs/>
                <w:color w:val="1C1C1C"/>
                <w:sz w:val="16"/>
                <w:szCs w:val="16"/>
              </w:rPr>
            </w:pPr>
            <w:r w:rsidRPr="009940F3">
              <w:rPr>
                <w:rFonts w:cs="Arial"/>
                <w:b/>
                <w:bCs/>
                <w:color w:val="1C1C1C"/>
                <w:sz w:val="16"/>
                <w:szCs w:val="16"/>
              </w:rPr>
              <w:t>69,8</w:t>
            </w:r>
            <w:r w:rsidR="00494D55">
              <w:rPr>
                <w:rFonts w:cs="Arial"/>
                <w:b/>
                <w:bCs/>
                <w:color w:val="1C1C1C"/>
                <w:sz w:val="16"/>
                <w:szCs w:val="16"/>
              </w:rPr>
              <w:t>8</w:t>
            </w:r>
            <w:r w:rsidR="00CE43D4">
              <w:rPr>
                <w:rFonts w:cs="Arial"/>
                <w:b/>
                <w:bCs/>
                <w:color w:val="1C1C1C"/>
                <w:sz w:val="16"/>
                <w:szCs w:val="16"/>
              </w:rPr>
              <w:t>1,</w:t>
            </w:r>
            <w:r w:rsidR="00494D55">
              <w:rPr>
                <w:rFonts w:cs="Arial"/>
                <w:b/>
                <w:bCs/>
                <w:color w:val="1C1C1C"/>
                <w:sz w:val="16"/>
                <w:szCs w:val="16"/>
              </w:rPr>
              <w:t>538</w:t>
            </w:r>
            <w:r w:rsidR="00CE43D4">
              <w:rPr>
                <w:rFonts w:cs="Arial"/>
                <w:b/>
                <w:bCs/>
                <w:color w:val="1C1C1C"/>
                <w:sz w:val="16"/>
                <w:szCs w:val="16"/>
              </w:rPr>
              <w:t>,</w:t>
            </w:r>
            <w:r w:rsidR="00494D55">
              <w:rPr>
                <w:rFonts w:cs="Arial"/>
                <w:b/>
                <w:bCs/>
                <w:color w:val="1C1C1C"/>
                <w:sz w:val="16"/>
                <w:szCs w:val="16"/>
              </w:rPr>
              <w:t>519</w:t>
            </w:r>
          </w:p>
        </w:tc>
        <w:tc>
          <w:tcPr>
            <w:tcW w:w="0" w:type="dxa"/>
            <w:tcBorders>
              <w:left w:val="single" w:sz="4" w:space="0" w:color="FFFFFF" w:themeColor="background2"/>
              <w:right w:val="single" w:sz="4" w:space="0" w:color="FFFFFF" w:themeColor="background2"/>
            </w:tcBorders>
            <w:shd w:val="clear" w:color="auto" w:fill="DFEBF1" w:themeFill="text2" w:themeFillTint="1A"/>
            <w:vAlign w:val="bottom"/>
          </w:tcPr>
          <w:p w14:paraId="7A64DB4C" w14:textId="232C0138" w:rsidR="000A45B6" w:rsidRPr="009940F3" w:rsidRDefault="000A45B6" w:rsidP="000A45B6">
            <w:pPr>
              <w:spacing w:before="40" w:after="40"/>
              <w:jc w:val="right"/>
              <w:rPr>
                <w:rFonts w:cs="Arial"/>
                <w:b/>
                <w:bCs/>
                <w:color w:val="1C1C1C"/>
                <w:sz w:val="16"/>
                <w:szCs w:val="16"/>
              </w:rPr>
            </w:pPr>
            <w:r w:rsidRPr="009940F3">
              <w:rPr>
                <w:rFonts w:cs="Arial"/>
                <w:b/>
                <w:bCs/>
                <w:color w:val="1C1C1C"/>
                <w:sz w:val="16"/>
                <w:szCs w:val="16"/>
              </w:rPr>
              <w:t xml:space="preserve">            53,288,875 </w:t>
            </w:r>
          </w:p>
        </w:tc>
      </w:tr>
    </w:tbl>
    <w:p w14:paraId="0CD24575" w14:textId="77777777" w:rsidR="00E208FD" w:rsidRDefault="00E208FD" w:rsidP="00F25099">
      <w:pPr>
        <w:spacing w:before="160" w:line="276" w:lineRule="auto"/>
      </w:pPr>
      <w:r>
        <w:t>There are two measures used to assess the completeness of the NHCDC:</w:t>
      </w:r>
    </w:p>
    <w:p w14:paraId="591430C8" w14:textId="27465EAB" w:rsidR="00E208FD" w:rsidRDefault="00E208FD" w:rsidP="00F25099">
      <w:pPr>
        <w:pStyle w:val="ListParagraph"/>
        <w:numPr>
          <w:ilvl w:val="0"/>
          <w:numId w:val="56"/>
        </w:numPr>
        <w:spacing w:line="276" w:lineRule="auto"/>
      </w:pPr>
      <w:r>
        <w:t xml:space="preserve">In-scope record </w:t>
      </w:r>
      <w:r w:rsidR="00401138">
        <w:t xml:space="preserve">percentage </w:t>
      </w:r>
      <w:r>
        <w:t xml:space="preserve">is the proportion of all NHCDC records submitted to IHACPA </w:t>
      </w:r>
      <w:r w:rsidR="00894CAC">
        <w:t xml:space="preserve">with linked activity </w:t>
      </w:r>
      <w:r>
        <w:t xml:space="preserve">that </w:t>
      </w:r>
      <w:r w:rsidR="006B2A3F">
        <w:t xml:space="preserve">is </w:t>
      </w:r>
      <w:r>
        <w:t>in scope for NHCDC reporting.</w:t>
      </w:r>
    </w:p>
    <w:p w14:paraId="60B3F9A3" w14:textId="51AA819D" w:rsidR="00E208FD" w:rsidRDefault="00E208FD" w:rsidP="00F25099">
      <w:pPr>
        <w:pStyle w:val="ListParagraph"/>
        <w:numPr>
          <w:ilvl w:val="0"/>
          <w:numId w:val="56"/>
        </w:numPr>
        <w:spacing w:line="276" w:lineRule="auto"/>
      </w:pPr>
      <w:bookmarkStart w:id="44" w:name="_Hlk189118656"/>
      <w:r>
        <w:t xml:space="preserve">Costed activity is the proportion of ABF activity data that has been linked to NHCDC records and </w:t>
      </w:r>
      <w:r w:rsidR="00992238">
        <w:t>is</w:t>
      </w:r>
      <w:r>
        <w:t xml:space="preserve"> in scope for reporting.</w:t>
      </w:r>
    </w:p>
    <w:bookmarkEnd w:id="44"/>
    <w:p w14:paraId="3E8801B0" w14:textId="174A2780" w:rsidR="00F83094" w:rsidRDefault="00074217" w:rsidP="00F25099">
      <w:pPr>
        <w:spacing w:before="160" w:line="276" w:lineRule="auto"/>
        <w:rPr>
          <w:rFonts w:cs="Arial"/>
        </w:rPr>
      </w:pPr>
      <w:r w:rsidRPr="00A42FF4">
        <w:t xml:space="preserve">Table </w:t>
      </w:r>
      <w:r w:rsidR="007927F9" w:rsidRPr="00A42FF4">
        <w:t>3</w:t>
      </w:r>
      <w:r w:rsidRPr="00A42FF4">
        <w:t xml:space="preserve"> </w:t>
      </w:r>
      <w:r w:rsidRPr="00A42FF4">
        <w:rPr>
          <w:rFonts w:cs="Arial"/>
        </w:rPr>
        <w:t xml:space="preserve">shows the in-scope records proportion </w:t>
      </w:r>
      <w:r w:rsidR="00206AAE">
        <w:rPr>
          <w:rFonts w:cs="Arial"/>
        </w:rPr>
        <w:t>and</w:t>
      </w:r>
      <w:r w:rsidR="00206AAE" w:rsidRPr="00A42FF4">
        <w:rPr>
          <w:rFonts w:cs="Arial"/>
        </w:rPr>
        <w:t xml:space="preserve"> </w:t>
      </w:r>
      <w:r w:rsidRPr="00A42FF4">
        <w:rPr>
          <w:rFonts w:cs="Arial"/>
        </w:rPr>
        <w:t>the</w:t>
      </w:r>
      <w:r w:rsidR="00653082">
        <w:rPr>
          <w:rFonts w:cs="Arial"/>
        </w:rPr>
        <w:t xml:space="preserve"> </w:t>
      </w:r>
      <w:r w:rsidR="00E208FD">
        <w:rPr>
          <w:rFonts w:cs="Arial"/>
        </w:rPr>
        <w:t>costed activity proportion</w:t>
      </w:r>
      <w:r w:rsidR="00206AAE">
        <w:rPr>
          <w:rFonts w:cs="Arial"/>
        </w:rPr>
        <w:t xml:space="preserve"> </w:t>
      </w:r>
      <w:r w:rsidR="00206AAE" w:rsidRPr="00A42FF4">
        <w:rPr>
          <w:rFonts w:cs="Arial"/>
        </w:rPr>
        <w:t>by jurisdiction</w:t>
      </w:r>
      <w:r w:rsidR="00E208FD">
        <w:rPr>
          <w:rFonts w:cs="Arial"/>
        </w:rPr>
        <w:t>, from 2020-21 to 2022-23</w:t>
      </w:r>
      <w:r w:rsidRPr="00A42FF4">
        <w:rPr>
          <w:rFonts w:cs="Arial"/>
        </w:rPr>
        <w:t>. The key findings presented in this report utilise the in</w:t>
      </w:r>
      <w:r w:rsidRPr="00A42FF4">
        <w:rPr>
          <w:rFonts w:cs="Arial"/>
        </w:rPr>
        <w:noBreakHyphen/>
        <w:t>scope records only.</w:t>
      </w:r>
    </w:p>
    <w:p w14:paraId="12DA203C" w14:textId="77777777" w:rsidR="00F83094" w:rsidRDefault="00F83094">
      <w:pPr>
        <w:spacing w:line="259" w:lineRule="auto"/>
        <w:rPr>
          <w:rFonts w:cs="Arial"/>
        </w:rPr>
      </w:pPr>
      <w:r>
        <w:rPr>
          <w:rFonts w:cs="Arial"/>
        </w:rPr>
        <w:br w:type="page"/>
      </w:r>
    </w:p>
    <w:p w14:paraId="09FDF830" w14:textId="44425E92" w:rsidR="004F20FF" w:rsidRPr="00DA13A2" w:rsidRDefault="00A84A4E" w:rsidP="00296833">
      <w:pPr>
        <w:pStyle w:val="TableFigureheading"/>
        <w:rPr>
          <w:lang w:val="en-PH"/>
        </w:rPr>
      </w:pPr>
      <w:bookmarkStart w:id="45" w:name="_Toc177467505"/>
      <w:bookmarkStart w:id="46" w:name="_Toc185852210"/>
      <w:bookmarkStart w:id="47" w:name="_Toc187312129"/>
      <w:r w:rsidRPr="0093558C">
        <w:rPr>
          <w:lang w:val="en-PH"/>
        </w:rPr>
        <w:lastRenderedPageBreak/>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3523AB">
        <w:rPr>
          <w:noProof/>
          <w:lang w:val="en-PH"/>
        </w:rPr>
        <w:t>3</w:t>
      </w:r>
      <w:r w:rsidRPr="0093558C">
        <w:rPr>
          <w:lang w:val="en-PH"/>
        </w:rPr>
        <w:fldChar w:fldCharType="end"/>
      </w:r>
      <w:r w:rsidRPr="0093558C">
        <w:rPr>
          <w:lang w:val="en-PH"/>
        </w:rPr>
        <w:t xml:space="preserve">: </w:t>
      </w:r>
      <w:r w:rsidR="00C715D4">
        <w:rPr>
          <w:lang w:val="en-PH"/>
        </w:rPr>
        <w:t xml:space="preserve">Proportion of </w:t>
      </w:r>
      <w:r w:rsidR="008F61B7">
        <w:rPr>
          <w:lang w:val="en-PH"/>
        </w:rPr>
        <w:t>i</w:t>
      </w:r>
      <w:r>
        <w:rPr>
          <w:lang w:val="en-PH"/>
        </w:rPr>
        <w:t xml:space="preserve">n-scope </w:t>
      </w:r>
      <w:r w:rsidRPr="0093558C">
        <w:rPr>
          <w:lang w:val="en-PH"/>
        </w:rPr>
        <w:t xml:space="preserve">NHCDC </w:t>
      </w:r>
      <w:r w:rsidRPr="00296833">
        <w:t>records</w:t>
      </w:r>
      <w:r w:rsidR="00E208FD">
        <w:rPr>
          <w:lang w:val="en-PH"/>
        </w:rPr>
        <w:t xml:space="preserve"> </w:t>
      </w:r>
      <w:r w:rsidR="00C715D4">
        <w:rPr>
          <w:lang w:val="en-PH"/>
        </w:rPr>
        <w:t xml:space="preserve">and </w:t>
      </w:r>
      <w:r w:rsidR="00E208FD">
        <w:rPr>
          <w:lang w:val="en-PH"/>
        </w:rPr>
        <w:t xml:space="preserve">costed </w:t>
      </w:r>
      <w:r w:rsidRPr="0093558C">
        <w:rPr>
          <w:lang w:val="en-PH"/>
        </w:rPr>
        <w:t xml:space="preserve">activity, </w:t>
      </w:r>
      <w:r w:rsidR="00BD0D91">
        <w:rPr>
          <w:lang w:val="en-PH"/>
        </w:rPr>
        <w:t xml:space="preserve">2020-21 to </w:t>
      </w:r>
      <w:r w:rsidRPr="008B2CD8">
        <w:rPr>
          <w:lang w:val="en-PH"/>
        </w:rPr>
        <w:t>202</w:t>
      </w:r>
      <w:r>
        <w:rPr>
          <w:lang w:val="en-PH"/>
        </w:rPr>
        <w:t>2</w:t>
      </w:r>
      <w:r w:rsidRPr="008B2CD8">
        <w:rPr>
          <w:lang w:val="en-PH"/>
        </w:rPr>
        <w:t>-2</w:t>
      </w:r>
      <w:r>
        <w:rPr>
          <w:lang w:val="en-PH"/>
        </w:rPr>
        <w:t>3</w:t>
      </w:r>
      <w:bookmarkEnd w:id="45"/>
      <w:bookmarkEnd w:id="46"/>
      <w:bookmarkEnd w:id="47"/>
    </w:p>
    <w:tbl>
      <w:tblPr>
        <w:tblW w:w="6957" w:type="dxa"/>
        <w:jc w:val="center"/>
        <w:tblLook w:val="04A0" w:firstRow="1" w:lastRow="0" w:firstColumn="1" w:lastColumn="0" w:noHBand="0" w:noVBand="1"/>
      </w:tblPr>
      <w:tblGrid>
        <w:gridCol w:w="1277"/>
        <w:gridCol w:w="1127"/>
        <w:gridCol w:w="1000"/>
        <w:gridCol w:w="1001"/>
        <w:gridCol w:w="837"/>
        <w:gridCol w:w="837"/>
        <w:gridCol w:w="867"/>
        <w:gridCol w:w="11"/>
      </w:tblGrid>
      <w:tr w:rsidR="004F20FF" w:rsidRPr="00AC02CF" w14:paraId="181C376B" w14:textId="77777777" w:rsidTr="0009351E">
        <w:trPr>
          <w:trHeight w:val="305"/>
          <w:jc w:val="center"/>
        </w:trPr>
        <w:tc>
          <w:tcPr>
            <w:tcW w:w="1277" w:type="dxa"/>
            <w:vMerge w:val="restart"/>
            <w:tcBorders>
              <w:top w:val="nil"/>
              <w:left w:val="nil"/>
              <w:bottom w:val="single" w:sz="8" w:space="0" w:color="D9D9D9"/>
              <w:right w:val="single" w:sz="8" w:space="0" w:color="FFFFFF"/>
            </w:tcBorders>
            <w:shd w:val="clear" w:color="000000" w:fill="15272F"/>
            <w:vAlign w:val="center"/>
            <w:hideMark/>
          </w:tcPr>
          <w:p w14:paraId="0A3B34E0" w14:textId="77777777" w:rsidR="004F20FF" w:rsidRPr="00F61D59" w:rsidRDefault="004F20FF"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Jurisdiction</w:t>
            </w:r>
          </w:p>
        </w:tc>
        <w:tc>
          <w:tcPr>
            <w:tcW w:w="3128" w:type="dxa"/>
            <w:gridSpan w:val="3"/>
            <w:tcBorders>
              <w:top w:val="single" w:sz="8" w:space="0" w:color="auto"/>
              <w:left w:val="nil"/>
              <w:bottom w:val="single" w:sz="8" w:space="0" w:color="FFFFFF"/>
              <w:right w:val="single" w:sz="8" w:space="0" w:color="FFFFFF"/>
            </w:tcBorders>
            <w:shd w:val="clear" w:color="000000" w:fill="15272F"/>
            <w:vAlign w:val="center"/>
            <w:hideMark/>
          </w:tcPr>
          <w:p w14:paraId="1C681CDD" w14:textId="2C56A2E8" w:rsidR="004F20FF" w:rsidRPr="00F61D59" w:rsidRDefault="004F20FF"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 xml:space="preserve">In-scope </w:t>
            </w:r>
            <w:r>
              <w:rPr>
                <w:rFonts w:eastAsia="Times New Roman" w:cs="Arial"/>
                <w:b/>
                <w:bCs/>
                <w:color w:val="FFFFFF" w:themeColor="background2"/>
                <w:sz w:val="16"/>
                <w:szCs w:val="16"/>
                <w:lang w:eastAsia="en-AU"/>
              </w:rPr>
              <w:t>r</w:t>
            </w:r>
            <w:r w:rsidRPr="00F61D59">
              <w:rPr>
                <w:rFonts w:eastAsia="Times New Roman" w:cs="Arial"/>
                <w:b/>
                <w:bCs/>
                <w:color w:val="FFFFFF" w:themeColor="background2"/>
                <w:sz w:val="16"/>
                <w:szCs w:val="16"/>
                <w:lang w:eastAsia="en-AU"/>
              </w:rPr>
              <w:t>ecord</w:t>
            </w:r>
            <w:r>
              <w:rPr>
                <w:rFonts w:eastAsia="Times New Roman" w:cs="Arial"/>
                <w:b/>
                <w:bCs/>
                <w:color w:val="FFFFFF" w:themeColor="background2"/>
                <w:sz w:val="16"/>
                <w:szCs w:val="16"/>
                <w:lang w:eastAsia="en-AU"/>
              </w:rPr>
              <w:t>s (%)</w:t>
            </w:r>
          </w:p>
        </w:tc>
        <w:tc>
          <w:tcPr>
            <w:tcW w:w="2552" w:type="dxa"/>
            <w:gridSpan w:val="4"/>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5A696388" w14:textId="77777777" w:rsidR="004F20FF" w:rsidRPr="00F61D59" w:rsidRDefault="004F20FF"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 xml:space="preserve">Costed </w:t>
            </w:r>
            <w:r>
              <w:rPr>
                <w:rFonts w:eastAsia="Times New Roman" w:cs="Arial"/>
                <w:b/>
                <w:bCs/>
                <w:color w:val="FFFFFF" w:themeColor="background2"/>
                <w:sz w:val="16"/>
                <w:szCs w:val="16"/>
                <w:lang w:eastAsia="en-AU"/>
              </w:rPr>
              <w:t>a</w:t>
            </w:r>
            <w:r w:rsidRPr="00F61D59">
              <w:rPr>
                <w:rFonts w:eastAsia="Times New Roman" w:cs="Arial"/>
                <w:b/>
                <w:bCs/>
                <w:color w:val="FFFFFF" w:themeColor="background2"/>
                <w:sz w:val="16"/>
                <w:szCs w:val="16"/>
                <w:lang w:eastAsia="en-AU"/>
              </w:rPr>
              <w:t>ctivity (%)</w:t>
            </w:r>
          </w:p>
        </w:tc>
      </w:tr>
      <w:tr w:rsidR="004F20FF" w:rsidRPr="00AC02CF" w14:paraId="61AAFE59" w14:textId="77777777" w:rsidTr="0009351E">
        <w:trPr>
          <w:gridAfter w:val="1"/>
          <w:wAfter w:w="11" w:type="dxa"/>
          <w:trHeight w:val="305"/>
          <w:jc w:val="center"/>
        </w:trPr>
        <w:tc>
          <w:tcPr>
            <w:tcW w:w="1277" w:type="dxa"/>
            <w:vMerge/>
            <w:tcBorders>
              <w:top w:val="nil"/>
              <w:left w:val="nil"/>
              <w:bottom w:val="single" w:sz="8" w:space="0" w:color="D9D9D9"/>
              <w:right w:val="single" w:sz="8" w:space="0" w:color="FFFFFF"/>
            </w:tcBorders>
            <w:vAlign w:val="center"/>
            <w:hideMark/>
          </w:tcPr>
          <w:p w14:paraId="0D86C3A3" w14:textId="77777777" w:rsidR="004F20FF" w:rsidRPr="00F61D59" w:rsidRDefault="004F20FF" w:rsidP="00E04435">
            <w:pPr>
              <w:spacing w:before="40" w:after="40" w:line="240" w:lineRule="auto"/>
              <w:rPr>
                <w:rFonts w:eastAsia="Times New Roman" w:cs="Arial"/>
                <w:b/>
                <w:bCs/>
                <w:color w:val="FFFFFF"/>
                <w:sz w:val="16"/>
                <w:szCs w:val="16"/>
                <w:lang w:eastAsia="en-AU"/>
              </w:rPr>
            </w:pPr>
          </w:p>
        </w:tc>
        <w:tc>
          <w:tcPr>
            <w:tcW w:w="1127" w:type="dxa"/>
            <w:tcBorders>
              <w:top w:val="nil"/>
              <w:left w:val="nil"/>
              <w:bottom w:val="single" w:sz="8" w:space="0" w:color="D9D9D9"/>
              <w:right w:val="single" w:sz="8" w:space="0" w:color="FFFFFF"/>
            </w:tcBorders>
            <w:shd w:val="clear" w:color="000000" w:fill="15272F"/>
            <w:vAlign w:val="center"/>
            <w:hideMark/>
          </w:tcPr>
          <w:p w14:paraId="060C0DCC" w14:textId="77777777" w:rsidR="004F20FF" w:rsidRPr="00F61D59" w:rsidRDefault="004F20FF"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2020-21</w:t>
            </w:r>
          </w:p>
        </w:tc>
        <w:tc>
          <w:tcPr>
            <w:tcW w:w="1000" w:type="dxa"/>
            <w:tcBorders>
              <w:top w:val="nil"/>
              <w:left w:val="nil"/>
              <w:bottom w:val="single" w:sz="8" w:space="0" w:color="D9D9D9"/>
              <w:right w:val="single" w:sz="8" w:space="0" w:color="FFFFFF"/>
            </w:tcBorders>
            <w:shd w:val="clear" w:color="000000" w:fill="15272F"/>
            <w:vAlign w:val="center"/>
            <w:hideMark/>
          </w:tcPr>
          <w:p w14:paraId="177A0CD3" w14:textId="77777777" w:rsidR="004F20FF" w:rsidRPr="00F61D59" w:rsidRDefault="004F20FF"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2021-22</w:t>
            </w:r>
          </w:p>
        </w:tc>
        <w:tc>
          <w:tcPr>
            <w:tcW w:w="1001" w:type="dxa"/>
            <w:tcBorders>
              <w:top w:val="nil"/>
              <w:left w:val="nil"/>
              <w:bottom w:val="single" w:sz="8" w:space="0" w:color="D9D9D9"/>
              <w:right w:val="single" w:sz="8" w:space="0" w:color="FFFFFF"/>
            </w:tcBorders>
            <w:shd w:val="clear" w:color="000000" w:fill="15272F"/>
            <w:vAlign w:val="center"/>
            <w:hideMark/>
          </w:tcPr>
          <w:p w14:paraId="404AB998" w14:textId="77777777" w:rsidR="004F20FF" w:rsidRPr="00F61D59" w:rsidRDefault="004F20FF"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2022-23</w:t>
            </w:r>
          </w:p>
        </w:tc>
        <w:tc>
          <w:tcPr>
            <w:tcW w:w="837" w:type="dxa"/>
            <w:tcBorders>
              <w:top w:val="single" w:sz="8" w:space="0" w:color="D9D9D9"/>
              <w:left w:val="nil"/>
              <w:bottom w:val="single" w:sz="8" w:space="0" w:color="D9D9D9"/>
              <w:right w:val="single" w:sz="4" w:space="0" w:color="FFFFFF" w:themeColor="background2"/>
            </w:tcBorders>
            <w:shd w:val="clear" w:color="000000" w:fill="15272F"/>
            <w:vAlign w:val="center"/>
            <w:hideMark/>
          </w:tcPr>
          <w:p w14:paraId="0C1C7619" w14:textId="77777777" w:rsidR="004F20FF" w:rsidRPr="00F61D59" w:rsidRDefault="004F20FF"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2020-21</w:t>
            </w:r>
          </w:p>
        </w:tc>
        <w:tc>
          <w:tcPr>
            <w:tcW w:w="83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3AEB623E" w14:textId="77777777" w:rsidR="004F20FF" w:rsidRPr="00F61D59" w:rsidRDefault="004F20FF"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2021-22</w:t>
            </w:r>
          </w:p>
        </w:tc>
        <w:tc>
          <w:tcPr>
            <w:tcW w:w="86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7324B119" w14:textId="77777777" w:rsidR="004F20FF" w:rsidRPr="00F61D59" w:rsidRDefault="004F20FF"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2022-23</w:t>
            </w:r>
          </w:p>
        </w:tc>
      </w:tr>
      <w:tr w:rsidR="004136C0" w:rsidRPr="00AC02CF" w14:paraId="637BB934" w14:textId="77777777" w:rsidTr="0009351E">
        <w:trPr>
          <w:gridAfter w:val="1"/>
          <w:wAfter w:w="11" w:type="dxa"/>
          <w:trHeight w:val="305"/>
          <w:jc w:val="center"/>
        </w:trPr>
        <w:tc>
          <w:tcPr>
            <w:tcW w:w="1277" w:type="dxa"/>
            <w:tcBorders>
              <w:top w:val="nil"/>
              <w:left w:val="nil"/>
              <w:bottom w:val="single" w:sz="8" w:space="0" w:color="D9D9D9"/>
              <w:right w:val="single" w:sz="8" w:space="0" w:color="FFFFFF"/>
            </w:tcBorders>
            <w:shd w:val="clear" w:color="auto" w:fill="auto"/>
            <w:vAlign w:val="center"/>
            <w:hideMark/>
          </w:tcPr>
          <w:p w14:paraId="77EC7651" w14:textId="77777777" w:rsidR="004136C0" w:rsidRPr="00F61D59" w:rsidRDefault="004136C0" w:rsidP="004136C0">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NSW</w:t>
            </w:r>
          </w:p>
        </w:tc>
        <w:tc>
          <w:tcPr>
            <w:tcW w:w="1127" w:type="dxa"/>
            <w:tcBorders>
              <w:top w:val="nil"/>
              <w:left w:val="nil"/>
              <w:bottom w:val="single" w:sz="8" w:space="0" w:color="D9D9D9"/>
              <w:right w:val="single" w:sz="8" w:space="0" w:color="FFFFFF"/>
            </w:tcBorders>
            <w:shd w:val="clear" w:color="000000" w:fill="F2F2F2"/>
            <w:vAlign w:val="center"/>
            <w:hideMark/>
          </w:tcPr>
          <w:p w14:paraId="45840766" w14:textId="1464177A" w:rsidR="004136C0" w:rsidRPr="004136C0" w:rsidRDefault="004136C0" w:rsidP="004136C0">
            <w:pPr>
              <w:spacing w:before="40" w:after="40" w:line="240" w:lineRule="auto"/>
              <w:jc w:val="right"/>
              <w:rPr>
                <w:rFonts w:eastAsia="Times New Roman" w:cs="Arial"/>
                <w:color w:val="1C1C1C"/>
                <w:sz w:val="16"/>
                <w:szCs w:val="16"/>
                <w:lang w:eastAsia="en-AU"/>
              </w:rPr>
            </w:pPr>
            <w:r w:rsidRPr="004136C0">
              <w:rPr>
                <w:rFonts w:cs="Arial"/>
                <w:sz w:val="16"/>
                <w:szCs w:val="16"/>
              </w:rPr>
              <w:t>100</w:t>
            </w:r>
          </w:p>
        </w:tc>
        <w:tc>
          <w:tcPr>
            <w:tcW w:w="1000" w:type="dxa"/>
            <w:tcBorders>
              <w:top w:val="nil"/>
              <w:left w:val="nil"/>
              <w:bottom w:val="single" w:sz="8" w:space="0" w:color="D9D9D9"/>
              <w:right w:val="single" w:sz="8" w:space="0" w:color="FFFFFF"/>
            </w:tcBorders>
            <w:shd w:val="clear" w:color="000000" w:fill="F2F2F2"/>
            <w:vAlign w:val="center"/>
            <w:hideMark/>
          </w:tcPr>
          <w:p w14:paraId="751CA533" w14:textId="2D1CE082" w:rsidR="004136C0" w:rsidRPr="00F61D59"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100</w:t>
            </w:r>
          </w:p>
        </w:tc>
        <w:tc>
          <w:tcPr>
            <w:tcW w:w="1001" w:type="dxa"/>
            <w:tcBorders>
              <w:top w:val="nil"/>
              <w:left w:val="nil"/>
              <w:bottom w:val="single" w:sz="8" w:space="0" w:color="D9D9D9"/>
              <w:right w:val="single" w:sz="8" w:space="0" w:color="FFFFFF"/>
            </w:tcBorders>
            <w:shd w:val="clear" w:color="000000" w:fill="F2F2F2"/>
            <w:vAlign w:val="center"/>
            <w:hideMark/>
          </w:tcPr>
          <w:p w14:paraId="66FA8ADD" w14:textId="0F68E9A1" w:rsidR="004136C0" w:rsidRPr="00F61D59" w:rsidRDefault="004136C0" w:rsidP="004136C0">
            <w:pPr>
              <w:spacing w:before="40" w:after="40" w:line="240" w:lineRule="auto"/>
              <w:jc w:val="right"/>
              <w:rPr>
                <w:rFonts w:eastAsia="Times New Roman" w:cs="Arial"/>
                <w:color w:val="1C1C1C"/>
                <w:sz w:val="16"/>
                <w:szCs w:val="16"/>
                <w:lang w:eastAsia="en-AU"/>
              </w:rPr>
            </w:pPr>
            <w:r w:rsidRPr="00FF3C9D">
              <w:rPr>
                <w:rFonts w:eastAsia="Times New Roman" w:cs="Arial"/>
                <w:color w:val="1C1C1C"/>
                <w:sz w:val="16"/>
                <w:szCs w:val="16"/>
                <w:lang w:eastAsia="en-AU"/>
              </w:rPr>
              <w:t>100</w:t>
            </w:r>
          </w:p>
        </w:tc>
        <w:tc>
          <w:tcPr>
            <w:tcW w:w="837" w:type="dxa"/>
            <w:tcBorders>
              <w:top w:val="nil"/>
              <w:left w:val="nil"/>
              <w:bottom w:val="single" w:sz="8" w:space="0" w:color="D9D9D9"/>
              <w:right w:val="single" w:sz="8" w:space="0" w:color="FFFFFF"/>
            </w:tcBorders>
            <w:shd w:val="clear" w:color="000000" w:fill="F2F2F2"/>
            <w:vAlign w:val="center"/>
            <w:hideMark/>
          </w:tcPr>
          <w:p w14:paraId="67856D44" w14:textId="3177A675" w:rsidR="004136C0" w:rsidRPr="004136C0" w:rsidRDefault="004136C0" w:rsidP="004136C0">
            <w:pPr>
              <w:spacing w:before="40" w:after="40" w:line="240" w:lineRule="auto"/>
              <w:jc w:val="right"/>
              <w:rPr>
                <w:rFonts w:eastAsia="Times New Roman" w:cs="Arial"/>
                <w:color w:val="1C1C1C"/>
                <w:sz w:val="16"/>
                <w:szCs w:val="16"/>
                <w:lang w:eastAsia="en-AU"/>
              </w:rPr>
            </w:pPr>
            <w:r w:rsidRPr="004914B2">
              <w:rPr>
                <w:rFonts w:cs="Arial"/>
                <w:color w:val="15272F"/>
                <w:sz w:val="16"/>
                <w:szCs w:val="16"/>
              </w:rPr>
              <w:t>68</w:t>
            </w:r>
          </w:p>
        </w:tc>
        <w:tc>
          <w:tcPr>
            <w:tcW w:w="837" w:type="dxa"/>
            <w:tcBorders>
              <w:top w:val="single" w:sz="4" w:space="0" w:color="FFFFFF" w:themeColor="background2"/>
              <w:left w:val="nil"/>
              <w:bottom w:val="single" w:sz="8" w:space="0" w:color="D9D9D9"/>
              <w:right w:val="single" w:sz="8" w:space="0" w:color="FFFFFF"/>
            </w:tcBorders>
            <w:shd w:val="clear" w:color="000000" w:fill="F2F2F2"/>
            <w:vAlign w:val="center"/>
            <w:hideMark/>
          </w:tcPr>
          <w:p w14:paraId="04BDB06F" w14:textId="043B17D7" w:rsidR="004136C0" w:rsidRPr="00F61D59"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67</w:t>
            </w:r>
          </w:p>
        </w:tc>
        <w:tc>
          <w:tcPr>
            <w:tcW w:w="867" w:type="dxa"/>
            <w:tcBorders>
              <w:top w:val="single" w:sz="4" w:space="0" w:color="FFFFFF" w:themeColor="background2"/>
              <w:left w:val="nil"/>
              <w:bottom w:val="single" w:sz="8" w:space="0" w:color="D9D9D9"/>
              <w:right w:val="single" w:sz="8" w:space="0" w:color="FFFFFF"/>
            </w:tcBorders>
            <w:shd w:val="clear" w:color="000000" w:fill="F2F2F2"/>
            <w:vAlign w:val="center"/>
            <w:hideMark/>
          </w:tcPr>
          <w:p w14:paraId="7C2646EC" w14:textId="0FA977A6" w:rsidR="004136C0" w:rsidRPr="00F61D59" w:rsidRDefault="004136C0" w:rsidP="004136C0">
            <w:pPr>
              <w:spacing w:before="40" w:after="40" w:line="240" w:lineRule="auto"/>
              <w:jc w:val="right"/>
              <w:rPr>
                <w:rFonts w:eastAsia="Times New Roman" w:cs="Arial"/>
                <w:color w:val="1C1C1C"/>
                <w:sz w:val="16"/>
                <w:szCs w:val="16"/>
                <w:lang w:eastAsia="en-AU"/>
              </w:rPr>
            </w:pPr>
            <w:r>
              <w:rPr>
                <w:rFonts w:eastAsia="Times New Roman" w:cs="Arial"/>
                <w:color w:val="1C1C1C"/>
                <w:sz w:val="16"/>
                <w:szCs w:val="16"/>
                <w:lang w:eastAsia="en-AU"/>
              </w:rPr>
              <w:t>81</w:t>
            </w:r>
          </w:p>
        </w:tc>
      </w:tr>
      <w:tr w:rsidR="004136C0" w:rsidRPr="00AC02CF" w14:paraId="028BF965" w14:textId="77777777" w:rsidTr="0009351E">
        <w:trPr>
          <w:gridAfter w:val="1"/>
          <w:wAfter w:w="11" w:type="dxa"/>
          <w:trHeight w:val="305"/>
          <w:jc w:val="center"/>
        </w:trPr>
        <w:tc>
          <w:tcPr>
            <w:tcW w:w="1277" w:type="dxa"/>
            <w:tcBorders>
              <w:top w:val="nil"/>
              <w:left w:val="nil"/>
              <w:bottom w:val="single" w:sz="8" w:space="0" w:color="D9D9D9"/>
              <w:right w:val="single" w:sz="8" w:space="0" w:color="FFFFFF"/>
            </w:tcBorders>
            <w:shd w:val="clear" w:color="auto" w:fill="auto"/>
            <w:vAlign w:val="center"/>
            <w:hideMark/>
          </w:tcPr>
          <w:p w14:paraId="1C7CE845" w14:textId="77777777" w:rsidR="004136C0" w:rsidRPr="00F61D59" w:rsidRDefault="004136C0" w:rsidP="004136C0">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Vic</w:t>
            </w:r>
          </w:p>
        </w:tc>
        <w:tc>
          <w:tcPr>
            <w:tcW w:w="1127" w:type="dxa"/>
            <w:tcBorders>
              <w:top w:val="nil"/>
              <w:left w:val="nil"/>
              <w:bottom w:val="single" w:sz="8" w:space="0" w:color="D9D9D9"/>
              <w:right w:val="single" w:sz="8" w:space="0" w:color="FFFFFF"/>
            </w:tcBorders>
            <w:shd w:val="clear" w:color="000000" w:fill="F2F2F2"/>
            <w:vAlign w:val="center"/>
            <w:hideMark/>
          </w:tcPr>
          <w:p w14:paraId="7EE75383" w14:textId="1F763F54" w:rsidR="004136C0" w:rsidRPr="004136C0" w:rsidRDefault="004136C0" w:rsidP="004136C0">
            <w:pPr>
              <w:spacing w:before="40" w:after="40" w:line="240" w:lineRule="auto"/>
              <w:jc w:val="right"/>
              <w:rPr>
                <w:rFonts w:eastAsia="Times New Roman" w:cs="Arial"/>
                <w:color w:val="1C1C1C"/>
                <w:sz w:val="16"/>
                <w:szCs w:val="16"/>
                <w:lang w:eastAsia="en-AU"/>
              </w:rPr>
            </w:pPr>
            <w:r w:rsidRPr="004136C0">
              <w:rPr>
                <w:rFonts w:cs="Arial"/>
                <w:sz w:val="16"/>
                <w:szCs w:val="16"/>
              </w:rPr>
              <w:t>93</w:t>
            </w:r>
          </w:p>
        </w:tc>
        <w:tc>
          <w:tcPr>
            <w:tcW w:w="1000" w:type="dxa"/>
            <w:tcBorders>
              <w:top w:val="nil"/>
              <w:left w:val="nil"/>
              <w:bottom w:val="single" w:sz="8" w:space="0" w:color="D9D9D9"/>
              <w:right w:val="single" w:sz="8" w:space="0" w:color="FFFFFF"/>
            </w:tcBorders>
            <w:shd w:val="clear" w:color="000000" w:fill="F2F2F2"/>
            <w:vAlign w:val="center"/>
            <w:hideMark/>
          </w:tcPr>
          <w:p w14:paraId="0B7BCE7E" w14:textId="47DDB1EB" w:rsidR="004136C0" w:rsidRPr="00F61D59"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93</w:t>
            </w:r>
          </w:p>
        </w:tc>
        <w:tc>
          <w:tcPr>
            <w:tcW w:w="1001" w:type="dxa"/>
            <w:tcBorders>
              <w:top w:val="nil"/>
              <w:left w:val="nil"/>
              <w:bottom w:val="single" w:sz="8" w:space="0" w:color="D9D9D9"/>
              <w:right w:val="single" w:sz="8" w:space="0" w:color="FFFFFF"/>
            </w:tcBorders>
            <w:shd w:val="clear" w:color="000000" w:fill="F2F2F2"/>
            <w:vAlign w:val="center"/>
            <w:hideMark/>
          </w:tcPr>
          <w:p w14:paraId="27AD5BAA" w14:textId="46D77272" w:rsidR="004136C0" w:rsidRPr="00F61D59" w:rsidRDefault="004136C0" w:rsidP="004136C0">
            <w:pPr>
              <w:spacing w:before="40" w:after="40" w:line="240" w:lineRule="auto"/>
              <w:jc w:val="right"/>
              <w:rPr>
                <w:rFonts w:eastAsia="Times New Roman" w:cs="Arial"/>
                <w:color w:val="1C1C1C"/>
                <w:sz w:val="16"/>
                <w:szCs w:val="16"/>
                <w:lang w:eastAsia="en-AU"/>
              </w:rPr>
            </w:pPr>
            <w:r>
              <w:rPr>
                <w:rFonts w:eastAsia="Times New Roman" w:cs="Arial"/>
                <w:color w:val="1C1C1C"/>
                <w:sz w:val="16"/>
                <w:szCs w:val="16"/>
                <w:lang w:eastAsia="en-AU"/>
              </w:rPr>
              <w:t>93</w:t>
            </w:r>
          </w:p>
        </w:tc>
        <w:tc>
          <w:tcPr>
            <w:tcW w:w="837" w:type="dxa"/>
            <w:tcBorders>
              <w:top w:val="nil"/>
              <w:left w:val="nil"/>
              <w:bottom w:val="single" w:sz="8" w:space="0" w:color="D9D9D9"/>
              <w:right w:val="single" w:sz="8" w:space="0" w:color="FFFFFF"/>
            </w:tcBorders>
            <w:shd w:val="clear" w:color="000000" w:fill="F2F2F2"/>
            <w:vAlign w:val="center"/>
            <w:hideMark/>
          </w:tcPr>
          <w:p w14:paraId="7060A132" w14:textId="7B889028" w:rsidR="004136C0" w:rsidRPr="004136C0" w:rsidRDefault="004136C0" w:rsidP="004136C0">
            <w:pPr>
              <w:spacing w:before="40" w:after="40" w:line="240" w:lineRule="auto"/>
              <w:jc w:val="right"/>
              <w:rPr>
                <w:rFonts w:eastAsia="Times New Roman" w:cs="Arial"/>
                <w:color w:val="1C1C1C"/>
                <w:sz w:val="16"/>
                <w:szCs w:val="16"/>
                <w:lang w:eastAsia="en-AU"/>
              </w:rPr>
            </w:pPr>
            <w:r w:rsidRPr="004914B2">
              <w:rPr>
                <w:rFonts w:cs="Arial"/>
                <w:color w:val="15272F"/>
                <w:sz w:val="16"/>
                <w:szCs w:val="16"/>
              </w:rPr>
              <w:t>84</w:t>
            </w:r>
          </w:p>
        </w:tc>
        <w:tc>
          <w:tcPr>
            <w:tcW w:w="837" w:type="dxa"/>
            <w:tcBorders>
              <w:top w:val="nil"/>
              <w:left w:val="nil"/>
              <w:bottom w:val="single" w:sz="8" w:space="0" w:color="D9D9D9"/>
              <w:right w:val="single" w:sz="8" w:space="0" w:color="FFFFFF"/>
            </w:tcBorders>
            <w:shd w:val="clear" w:color="000000" w:fill="F2F2F2"/>
            <w:vAlign w:val="center"/>
            <w:hideMark/>
          </w:tcPr>
          <w:p w14:paraId="4614E2B7" w14:textId="6A0E5544" w:rsidR="004136C0" w:rsidRPr="00F61D59"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82</w:t>
            </w:r>
          </w:p>
        </w:tc>
        <w:tc>
          <w:tcPr>
            <w:tcW w:w="867" w:type="dxa"/>
            <w:tcBorders>
              <w:top w:val="nil"/>
              <w:left w:val="nil"/>
              <w:bottom w:val="single" w:sz="8" w:space="0" w:color="D9D9D9"/>
              <w:right w:val="single" w:sz="8" w:space="0" w:color="FFFFFF"/>
            </w:tcBorders>
            <w:shd w:val="clear" w:color="000000" w:fill="F2F2F2"/>
            <w:vAlign w:val="center"/>
            <w:hideMark/>
          </w:tcPr>
          <w:p w14:paraId="2A4A6185" w14:textId="735FCC3B" w:rsidR="004136C0" w:rsidRPr="00F61D59" w:rsidRDefault="004136C0" w:rsidP="004136C0">
            <w:pPr>
              <w:spacing w:before="40" w:after="40" w:line="240" w:lineRule="auto"/>
              <w:jc w:val="right"/>
              <w:rPr>
                <w:rFonts w:eastAsia="Times New Roman" w:cs="Arial"/>
                <w:color w:val="1C1C1C"/>
                <w:sz w:val="16"/>
                <w:szCs w:val="16"/>
                <w:lang w:eastAsia="en-AU"/>
              </w:rPr>
            </w:pPr>
            <w:r>
              <w:rPr>
                <w:rFonts w:eastAsia="Times New Roman" w:cs="Arial"/>
                <w:color w:val="1C1C1C"/>
                <w:sz w:val="16"/>
                <w:szCs w:val="16"/>
                <w:lang w:eastAsia="en-AU"/>
              </w:rPr>
              <w:t>81</w:t>
            </w:r>
          </w:p>
        </w:tc>
      </w:tr>
      <w:tr w:rsidR="004136C0" w:rsidRPr="00AC02CF" w14:paraId="4B1C7F41" w14:textId="77777777" w:rsidTr="0009351E">
        <w:trPr>
          <w:gridAfter w:val="1"/>
          <w:wAfter w:w="11" w:type="dxa"/>
          <w:trHeight w:val="305"/>
          <w:jc w:val="center"/>
        </w:trPr>
        <w:tc>
          <w:tcPr>
            <w:tcW w:w="1277" w:type="dxa"/>
            <w:tcBorders>
              <w:top w:val="nil"/>
              <w:left w:val="nil"/>
              <w:bottom w:val="single" w:sz="8" w:space="0" w:color="D9D9D9"/>
              <w:right w:val="single" w:sz="8" w:space="0" w:color="FFFFFF"/>
            </w:tcBorders>
            <w:shd w:val="clear" w:color="auto" w:fill="auto"/>
            <w:vAlign w:val="center"/>
            <w:hideMark/>
          </w:tcPr>
          <w:p w14:paraId="4EEB5582" w14:textId="77777777" w:rsidR="004136C0" w:rsidRPr="00F61D59" w:rsidRDefault="004136C0" w:rsidP="004136C0">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Qld</w:t>
            </w:r>
          </w:p>
        </w:tc>
        <w:tc>
          <w:tcPr>
            <w:tcW w:w="1127" w:type="dxa"/>
            <w:tcBorders>
              <w:top w:val="nil"/>
              <w:left w:val="nil"/>
              <w:bottom w:val="single" w:sz="8" w:space="0" w:color="D9D9D9"/>
              <w:right w:val="single" w:sz="8" w:space="0" w:color="FFFFFF"/>
            </w:tcBorders>
            <w:shd w:val="clear" w:color="000000" w:fill="F2F2F2"/>
            <w:vAlign w:val="center"/>
            <w:hideMark/>
          </w:tcPr>
          <w:p w14:paraId="353C3073" w14:textId="35454170" w:rsidR="004136C0" w:rsidRPr="004136C0" w:rsidRDefault="004136C0" w:rsidP="004136C0">
            <w:pPr>
              <w:spacing w:before="40" w:after="40" w:line="240" w:lineRule="auto"/>
              <w:jc w:val="right"/>
              <w:rPr>
                <w:rFonts w:eastAsia="Times New Roman" w:cs="Arial"/>
                <w:color w:val="1C1C1C"/>
                <w:sz w:val="16"/>
                <w:szCs w:val="16"/>
                <w:lang w:eastAsia="en-AU"/>
              </w:rPr>
            </w:pPr>
            <w:r w:rsidRPr="004136C0">
              <w:rPr>
                <w:rFonts w:cs="Arial"/>
                <w:sz w:val="16"/>
                <w:szCs w:val="16"/>
              </w:rPr>
              <w:t>100</w:t>
            </w:r>
          </w:p>
        </w:tc>
        <w:tc>
          <w:tcPr>
            <w:tcW w:w="1000" w:type="dxa"/>
            <w:tcBorders>
              <w:top w:val="nil"/>
              <w:left w:val="nil"/>
              <w:bottom w:val="single" w:sz="8" w:space="0" w:color="D9D9D9"/>
              <w:right w:val="single" w:sz="8" w:space="0" w:color="FFFFFF"/>
            </w:tcBorders>
            <w:shd w:val="clear" w:color="000000" w:fill="F2F2F2"/>
            <w:vAlign w:val="center"/>
            <w:hideMark/>
          </w:tcPr>
          <w:p w14:paraId="611B7C8C" w14:textId="1EFF6448" w:rsidR="004136C0" w:rsidRPr="00F61D59"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100</w:t>
            </w:r>
          </w:p>
        </w:tc>
        <w:tc>
          <w:tcPr>
            <w:tcW w:w="1001" w:type="dxa"/>
            <w:tcBorders>
              <w:top w:val="nil"/>
              <w:left w:val="nil"/>
              <w:bottom w:val="single" w:sz="8" w:space="0" w:color="D9D9D9"/>
              <w:right w:val="single" w:sz="8" w:space="0" w:color="FFFFFF"/>
            </w:tcBorders>
            <w:shd w:val="clear" w:color="000000" w:fill="F2F2F2"/>
            <w:vAlign w:val="center"/>
            <w:hideMark/>
          </w:tcPr>
          <w:p w14:paraId="7685FFB7" w14:textId="524E58A7" w:rsidR="004136C0" w:rsidRPr="00F61D59" w:rsidRDefault="004136C0" w:rsidP="004136C0">
            <w:pPr>
              <w:spacing w:before="40" w:after="40" w:line="240" w:lineRule="auto"/>
              <w:jc w:val="right"/>
              <w:rPr>
                <w:rFonts w:eastAsia="Times New Roman" w:cs="Arial"/>
                <w:color w:val="1C1C1C"/>
                <w:sz w:val="16"/>
                <w:szCs w:val="16"/>
                <w:lang w:eastAsia="en-AU"/>
              </w:rPr>
            </w:pPr>
            <w:r w:rsidRPr="00FF3C9D">
              <w:rPr>
                <w:rFonts w:eastAsia="Times New Roman" w:cs="Arial"/>
                <w:color w:val="1C1C1C"/>
                <w:sz w:val="16"/>
                <w:szCs w:val="16"/>
                <w:lang w:eastAsia="en-AU"/>
              </w:rPr>
              <w:t>100</w:t>
            </w:r>
          </w:p>
        </w:tc>
        <w:tc>
          <w:tcPr>
            <w:tcW w:w="837" w:type="dxa"/>
            <w:tcBorders>
              <w:top w:val="nil"/>
              <w:left w:val="nil"/>
              <w:bottom w:val="single" w:sz="8" w:space="0" w:color="D9D9D9"/>
              <w:right w:val="single" w:sz="8" w:space="0" w:color="FFFFFF"/>
            </w:tcBorders>
            <w:shd w:val="clear" w:color="000000" w:fill="F2F2F2"/>
            <w:vAlign w:val="center"/>
            <w:hideMark/>
          </w:tcPr>
          <w:p w14:paraId="3105109A" w14:textId="05407D8B" w:rsidR="004136C0" w:rsidRPr="004136C0" w:rsidRDefault="004136C0" w:rsidP="004136C0">
            <w:pPr>
              <w:spacing w:before="40" w:after="40" w:line="240" w:lineRule="auto"/>
              <w:jc w:val="right"/>
              <w:rPr>
                <w:rFonts w:eastAsia="Times New Roman" w:cs="Arial"/>
                <w:color w:val="1C1C1C"/>
                <w:sz w:val="16"/>
                <w:szCs w:val="16"/>
                <w:lang w:eastAsia="en-AU"/>
              </w:rPr>
            </w:pPr>
            <w:r w:rsidRPr="004914B2">
              <w:rPr>
                <w:rFonts w:cs="Arial"/>
                <w:color w:val="15272F"/>
                <w:sz w:val="16"/>
                <w:szCs w:val="16"/>
              </w:rPr>
              <w:t>85</w:t>
            </w:r>
          </w:p>
        </w:tc>
        <w:tc>
          <w:tcPr>
            <w:tcW w:w="837" w:type="dxa"/>
            <w:tcBorders>
              <w:top w:val="nil"/>
              <w:left w:val="nil"/>
              <w:bottom w:val="single" w:sz="8" w:space="0" w:color="D9D9D9"/>
              <w:right w:val="single" w:sz="8" w:space="0" w:color="FFFFFF"/>
            </w:tcBorders>
            <w:shd w:val="clear" w:color="000000" w:fill="F2F2F2"/>
            <w:vAlign w:val="center"/>
            <w:hideMark/>
          </w:tcPr>
          <w:p w14:paraId="2A5AA1FD" w14:textId="42E9FA74" w:rsidR="004136C0" w:rsidRPr="00F61D59"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79</w:t>
            </w:r>
          </w:p>
        </w:tc>
        <w:tc>
          <w:tcPr>
            <w:tcW w:w="867" w:type="dxa"/>
            <w:tcBorders>
              <w:top w:val="nil"/>
              <w:left w:val="nil"/>
              <w:bottom w:val="single" w:sz="8" w:space="0" w:color="D9D9D9"/>
              <w:right w:val="single" w:sz="8" w:space="0" w:color="FFFFFF"/>
            </w:tcBorders>
            <w:shd w:val="clear" w:color="000000" w:fill="F2F2F2"/>
            <w:vAlign w:val="center"/>
            <w:hideMark/>
          </w:tcPr>
          <w:p w14:paraId="720529AB" w14:textId="0A0F6BF1" w:rsidR="004136C0" w:rsidRPr="00F61D59" w:rsidRDefault="004136C0" w:rsidP="004136C0">
            <w:pPr>
              <w:spacing w:before="40" w:after="40" w:line="240" w:lineRule="auto"/>
              <w:jc w:val="right"/>
              <w:rPr>
                <w:rFonts w:eastAsia="Times New Roman" w:cs="Arial"/>
                <w:color w:val="1C1C1C"/>
                <w:sz w:val="16"/>
                <w:szCs w:val="16"/>
                <w:lang w:eastAsia="en-AU"/>
              </w:rPr>
            </w:pPr>
            <w:r>
              <w:rPr>
                <w:rFonts w:eastAsia="Times New Roman" w:cs="Arial"/>
                <w:color w:val="1C1C1C"/>
                <w:sz w:val="16"/>
                <w:szCs w:val="16"/>
                <w:lang w:eastAsia="en-AU"/>
              </w:rPr>
              <w:t>9</w:t>
            </w:r>
            <w:r w:rsidR="00344130">
              <w:rPr>
                <w:rFonts w:eastAsia="Times New Roman" w:cs="Arial"/>
                <w:color w:val="1C1C1C"/>
                <w:sz w:val="16"/>
                <w:szCs w:val="16"/>
                <w:lang w:eastAsia="en-AU"/>
              </w:rPr>
              <w:t>2</w:t>
            </w:r>
          </w:p>
        </w:tc>
      </w:tr>
      <w:tr w:rsidR="004136C0" w:rsidRPr="00AC02CF" w14:paraId="18DB5555" w14:textId="77777777" w:rsidTr="0009351E">
        <w:trPr>
          <w:gridAfter w:val="1"/>
          <w:wAfter w:w="11" w:type="dxa"/>
          <w:trHeight w:val="305"/>
          <w:jc w:val="center"/>
        </w:trPr>
        <w:tc>
          <w:tcPr>
            <w:tcW w:w="1277" w:type="dxa"/>
            <w:tcBorders>
              <w:top w:val="nil"/>
              <w:left w:val="nil"/>
              <w:bottom w:val="single" w:sz="8" w:space="0" w:color="D9D9D9"/>
              <w:right w:val="single" w:sz="8" w:space="0" w:color="FFFFFF"/>
            </w:tcBorders>
            <w:shd w:val="clear" w:color="auto" w:fill="auto"/>
            <w:vAlign w:val="center"/>
            <w:hideMark/>
          </w:tcPr>
          <w:p w14:paraId="1F4ABD74" w14:textId="77777777" w:rsidR="004136C0" w:rsidRPr="00F61D59" w:rsidRDefault="004136C0" w:rsidP="004136C0">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SA</w:t>
            </w:r>
          </w:p>
        </w:tc>
        <w:tc>
          <w:tcPr>
            <w:tcW w:w="1127" w:type="dxa"/>
            <w:tcBorders>
              <w:top w:val="nil"/>
              <w:left w:val="nil"/>
              <w:bottom w:val="single" w:sz="8" w:space="0" w:color="D9D9D9"/>
              <w:right w:val="single" w:sz="8" w:space="0" w:color="FFFFFF"/>
            </w:tcBorders>
            <w:shd w:val="clear" w:color="000000" w:fill="F2F2F2"/>
            <w:vAlign w:val="center"/>
            <w:hideMark/>
          </w:tcPr>
          <w:p w14:paraId="1152C0A5" w14:textId="4DAA1716" w:rsidR="004136C0" w:rsidRPr="004136C0" w:rsidRDefault="004136C0" w:rsidP="004136C0">
            <w:pPr>
              <w:spacing w:before="40" w:after="40" w:line="240" w:lineRule="auto"/>
              <w:jc w:val="right"/>
              <w:rPr>
                <w:rFonts w:eastAsia="Times New Roman" w:cs="Arial"/>
                <w:color w:val="1C1C1C"/>
                <w:sz w:val="16"/>
                <w:szCs w:val="16"/>
                <w:lang w:eastAsia="en-AU"/>
              </w:rPr>
            </w:pPr>
            <w:r w:rsidRPr="004136C0">
              <w:rPr>
                <w:rFonts w:cs="Arial"/>
                <w:sz w:val="16"/>
                <w:szCs w:val="16"/>
              </w:rPr>
              <w:t>86</w:t>
            </w:r>
          </w:p>
        </w:tc>
        <w:tc>
          <w:tcPr>
            <w:tcW w:w="1000" w:type="dxa"/>
            <w:tcBorders>
              <w:top w:val="nil"/>
              <w:left w:val="nil"/>
              <w:bottom w:val="single" w:sz="8" w:space="0" w:color="D9D9D9"/>
              <w:right w:val="single" w:sz="8" w:space="0" w:color="FFFFFF"/>
            </w:tcBorders>
            <w:shd w:val="clear" w:color="000000" w:fill="F2F2F2"/>
            <w:vAlign w:val="center"/>
            <w:hideMark/>
          </w:tcPr>
          <w:p w14:paraId="2EB52194" w14:textId="46B6E4D0" w:rsidR="004136C0" w:rsidRPr="00DA13A2"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98</w:t>
            </w:r>
          </w:p>
        </w:tc>
        <w:tc>
          <w:tcPr>
            <w:tcW w:w="1001" w:type="dxa"/>
            <w:tcBorders>
              <w:top w:val="nil"/>
              <w:left w:val="nil"/>
              <w:bottom w:val="single" w:sz="8" w:space="0" w:color="D9D9D9"/>
              <w:right w:val="single" w:sz="8" w:space="0" w:color="FFFFFF"/>
            </w:tcBorders>
            <w:shd w:val="clear" w:color="000000" w:fill="F2F2F2"/>
            <w:vAlign w:val="center"/>
            <w:hideMark/>
          </w:tcPr>
          <w:p w14:paraId="75D607F9" w14:textId="22ABE552" w:rsidR="004136C0" w:rsidRPr="00DA13A2" w:rsidRDefault="004136C0" w:rsidP="004136C0">
            <w:pPr>
              <w:spacing w:before="40" w:after="40" w:line="240" w:lineRule="auto"/>
              <w:jc w:val="right"/>
              <w:rPr>
                <w:rFonts w:eastAsia="Times New Roman" w:cs="Arial"/>
                <w:color w:val="1C1C1C"/>
                <w:sz w:val="16"/>
                <w:szCs w:val="16"/>
                <w:lang w:eastAsia="en-AU"/>
              </w:rPr>
            </w:pPr>
            <w:r w:rsidRPr="00FF3C9D">
              <w:rPr>
                <w:rFonts w:eastAsia="Times New Roman" w:cs="Arial"/>
                <w:color w:val="1C1C1C"/>
                <w:sz w:val="16"/>
                <w:szCs w:val="16"/>
                <w:lang w:eastAsia="en-AU"/>
              </w:rPr>
              <w:t>99</w:t>
            </w:r>
          </w:p>
        </w:tc>
        <w:tc>
          <w:tcPr>
            <w:tcW w:w="837" w:type="dxa"/>
            <w:tcBorders>
              <w:top w:val="nil"/>
              <w:left w:val="nil"/>
              <w:bottom w:val="single" w:sz="8" w:space="0" w:color="D9D9D9"/>
              <w:right w:val="single" w:sz="8" w:space="0" w:color="FFFFFF"/>
            </w:tcBorders>
            <w:shd w:val="clear" w:color="000000" w:fill="F2F2F2"/>
            <w:vAlign w:val="center"/>
            <w:hideMark/>
          </w:tcPr>
          <w:p w14:paraId="7154B3BC" w14:textId="72159271" w:rsidR="004136C0" w:rsidRPr="004136C0" w:rsidRDefault="004136C0" w:rsidP="004136C0">
            <w:pPr>
              <w:spacing w:before="40" w:after="40" w:line="240" w:lineRule="auto"/>
              <w:jc w:val="right"/>
              <w:rPr>
                <w:rFonts w:eastAsia="Times New Roman" w:cs="Arial"/>
                <w:color w:val="1C1C1C"/>
                <w:sz w:val="16"/>
                <w:szCs w:val="16"/>
                <w:lang w:eastAsia="en-AU"/>
              </w:rPr>
            </w:pPr>
            <w:r w:rsidRPr="004914B2">
              <w:rPr>
                <w:rFonts w:cs="Arial"/>
                <w:color w:val="15272F"/>
                <w:sz w:val="16"/>
                <w:szCs w:val="16"/>
              </w:rPr>
              <w:t>94</w:t>
            </w:r>
          </w:p>
        </w:tc>
        <w:tc>
          <w:tcPr>
            <w:tcW w:w="837" w:type="dxa"/>
            <w:tcBorders>
              <w:top w:val="nil"/>
              <w:left w:val="nil"/>
              <w:bottom w:val="single" w:sz="8" w:space="0" w:color="D9D9D9"/>
              <w:right w:val="single" w:sz="8" w:space="0" w:color="FFFFFF"/>
            </w:tcBorders>
            <w:shd w:val="clear" w:color="000000" w:fill="F2F2F2"/>
            <w:vAlign w:val="center"/>
            <w:hideMark/>
          </w:tcPr>
          <w:p w14:paraId="59801F91" w14:textId="253A0B6F" w:rsidR="004136C0" w:rsidRPr="00F61D59"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92</w:t>
            </w:r>
          </w:p>
        </w:tc>
        <w:tc>
          <w:tcPr>
            <w:tcW w:w="867" w:type="dxa"/>
            <w:tcBorders>
              <w:top w:val="nil"/>
              <w:left w:val="nil"/>
              <w:bottom w:val="single" w:sz="8" w:space="0" w:color="D9D9D9"/>
              <w:right w:val="single" w:sz="8" w:space="0" w:color="FFFFFF"/>
            </w:tcBorders>
            <w:shd w:val="clear" w:color="000000" w:fill="F2F2F2"/>
            <w:vAlign w:val="center"/>
            <w:hideMark/>
          </w:tcPr>
          <w:p w14:paraId="2347E9A6" w14:textId="31957FA0" w:rsidR="004136C0" w:rsidRPr="00F61D59" w:rsidRDefault="004136C0" w:rsidP="004136C0">
            <w:pPr>
              <w:spacing w:before="40" w:after="40" w:line="240" w:lineRule="auto"/>
              <w:jc w:val="right"/>
              <w:rPr>
                <w:rFonts w:eastAsia="Times New Roman" w:cs="Arial"/>
                <w:color w:val="1C1C1C"/>
                <w:sz w:val="16"/>
                <w:szCs w:val="16"/>
                <w:lang w:eastAsia="en-AU"/>
              </w:rPr>
            </w:pPr>
            <w:r w:rsidRPr="0007638E">
              <w:rPr>
                <w:rFonts w:eastAsia="Times New Roman" w:cs="Arial"/>
                <w:color w:val="1C1C1C"/>
                <w:sz w:val="16"/>
                <w:szCs w:val="16"/>
                <w:lang w:eastAsia="en-AU"/>
              </w:rPr>
              <w:t>9</w:t>
            </w:r>
            <w:r>
              <w:rPr>
                <w:rFonts w:eastAsia="Times New Roman" w:cs="Arial"/>
                <w:color w:val="1C1C1C"/>
                <w:sz w:val="16"/>
                <w:szCs w:val="16"/>
                <w:lang w:eastAsia="en-AU"/>
              </w:rPr>
              <w:t>1</w:t>
            </w:r>
          </w:p>
        </w:tc>
      </w:tr>
      <w:tr w:rsidR="004136C0" w:rsidRPr="00AC02CF" w14:paraId="16E754E1" w14:textId="77777777" w:rsidTr="0009351E">
        <w:trPr>
          <w:gridAfter w:val="1"/>
          <w:wAfter w:w="11" w:type="dxa"/>
          <w:trHeight w:val="305"/>
          <w:jc w:val="center"/>
        </w:trPr>
        <w:tc>
          <w:tcPr>
            <w:tcW w:w="1277" w:type="dxa"/>
            <w:tcBorders>
              <w:top w:val="nil"/>
              <w:left w:val="nil"/>
              <w:bottom w:val="nil"/>
              <w:right w:val="single" w:sz="8" w:space="0" w:color="FFFFFF"/>
            </w:tcBorders>
            <w:shd w:val="clear" w:color="auto" w:fill="auto"/>
            <w:vAlign w:val="center"/>
            <w:hideMark/>
          </w:tcPr>
          <w:p w14:paraId="3165510E" w14:textId="77777777" w:rsidR="004136C0" w:rsidRPr="00F61D59" w:rsidRDefault="004136C0" w:rsidP="004136C0">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WA</w:t>
            </w:r>
          </w:p>
        </w:tc>
        <w:tc>
          <w:tcPr>
            <w:tcW w:w="1127" w:type="dxa"/>
            <w:tcBorders>
              <w:top w:val="nil"/>
              <w:left w:val="nil"/>
              <w:bottom w:val="single" w:sz="8" w:space="0" w:color="D9D9D9"/>
              <w:right w:val="single" w:sz="8" w:space="0" w:color="FFFFFF"/>
            </w:tcBorders>
            <w:shd w:val="clear" w:color="000000" w:fill="F2F2F2"/>
            <w:vAlign w:val="center"/>
            <w:hideMark/>
          </w:tcPr>
          <w:p w14:paraId="16E36240" w14:textId="0CB315AF" w:rsidR="004136C0" w:rsidRPr="004136C0" w:rsidRDefault="004136C0" w:rsidP="004136C0">
            <w:pPr>
              <w:spacing w:before="40" w:after="40" w:line="240" w:lineRule="auto"/>
              <w:jc w:val="right"/>
              <w:rPr>
                <w:rFonts w:eastAsia="Times New Roman" w:cs="Arial"/>
                <w:b/>
                <w:bCs/>
                <w:color w:val="1C1C1C"/>
                <w:sz w:val="16"/>
                <w:szCs w:val="16"/>
                <w:u w:val="single"/>
                <w:lang w:eastAsia="en-AU"/>
              </w:rPr>
            </w:pPr>
            <w:r w:rsidRPr="004136C0">
              <w:rPr>
                <w:rFonts w:cs="Arial"/>
                <w:sz w:val="16"/>
                <w:szCs w:val="16"/>
              </w:rPr>
              <w:t>98</w:t>
            </w:r>
          </w:p>
        </w:tc>
        <w:tc>
          <w:tcPr>
            <w:tcW w:w="1000" w:type="dxa"/>
            <w:tcBorders>
              <w:top w:val="nil"/>
              <w:left w:val="nil"/>
              <w:bottom w:val="single" w:sz="8" w:space="0" w:color="D9D9D9"/>
              <w:right w:val="single" w:sz="8" w:space="0" w:color="FFFFFF"/>
            </w:tcBorders>
            <w:shd w:val="clear" w:color="000000" w:fill="F2F2F2"/>
            <w:vAlign w:val="center"/>
            <w:hideMark/>
          </w:tcPr>
          <w:p w14:paraId="2C3CF4C3" w14:textId="7174E46A" w:rsidR="004136C0" w:rsidRPr="00F61D59"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90</w:t>
            </w:r>
          </w:p>
        </w:tc>
        <w:tc>
          <w:tcPr>
            <w:tcW w:w="1001" w:type="dxa"/>
            <w:tcBorders>
              <w:top w:val="nil"/>
              <w:left w:val="nil"/>
              <w:bottom w:val="single" w:sz="8" w:space="0" w:color="D9D9D9"/>
              <w:right w:val="single" w:sz="8" w:space="0" w:color="FFFFFF"/>
            </w:tcBorders>
            <w:shd w:val="clear" w:color="000000" w:fill="F2F2F2"/>
            <w:vAlign w:val="center"/>
            <w:hideMark/>
          </w:tcPr>
          <w:p w14:paraId="3986A991" w14:textId="37894EC9" w:rsidR="004136C0" w:rsidRPr="00F61D59" w:rsidRDefault="004136C0" w:rsidP="004136C0">
            <w:pPr>
              <w:spacing w:before="40" w:after="40" w:line="240" w:lineRule="auto"/>
              <w:jc w:val="right"/>
              <w:rPr>
                <w:rFonts w:eastAsia="Times New Roman" w:cs="Arial"/>
                <w:color w:val="1C1C1C"/>
                <w:sz w:val="16"/>
                <w:szCs w:val="16"/>
                <w:lang w:eastAsia="en-AU"/>
              </w:rPr>
            </w:pPr>
            <w:r w:rsidRPr="00FF3C9D">
              <w:rPr>
                <w:rFonts w:eastAsia="Times New Roman" w:cs="Arial"/>
                <w:color w:val="1C1C1C"/>
                <w:sz w:val="16"/>
                <w:szCs w:val="16"/>
                <w:lang w:eastAsia="en-AU"/>
              </w:rPr>
              <w:t>89</w:t>
            </w:r>
          </w:p>
        </w:tc>
        <w:tc>
          <w:tcPr>
            <w:tcW w:w="837" w:type="dxa"/>
            <w:tcBorders>
              <w:top w:val="nil"/>
              <w:left w:val="nil"/>
              <w:bottom w:val="single" w:sz="8" w:space="0" w:color="D9D9D9"/>
              <w:right w:val="single" w:sz="8" w:space="0" w:color="FFFFFF"/>
            </w:tcBorders>
            <w:shd w:val="clear" w:color="000000" w:fill="F2F2F2"/>
            <w:vAlign w:val="center"/>
            <w:hideMark/>
          </w:tcPr>
          <w:p w14:paraId="3FA1FAEC" w14:textId="52443A4A" w:rsidR="004136C0" w:rsidRPr="004136C0" w:rsidRDefault="004136C0" w:rsidP="004136C0">
            <w:pPr>
              <w:spacing w:before="40" w:after="40" w:line="240" w:lineRule="auto"/>
              <w:jc w:val="right"/>
              <w:rPr>
                <w:rFonts w:eastAsia="Times New Roman" w:cs="Arial"/>
                <w:color w:val="1C1C1C"/>
                <w:sz w:val="16"/>
                <w:szCs w:val="16"/>
                <w:lang w:eastAsia="en-AU"/>
              </w:rPr>
            </w:pPr>
            <w:r w:rsidRPr="004914B2">
              <w:rPr>
                <w:rFonts w:cs="Arial"/>
                <w:color w:val="15272F"/>
                <w:sz w:val="16"/>
                <w:szCs w:val="16"/>
              </w:rPr>
              <w:t>82</w:t>
            </w:r>
          </w:p>
        </w:tc>
        <w:tc>
          <w:tcPr>
            <w:tcW w:w="837" w:type="dxa"/>
            <w:tcBorders>
              <w:top w:val="nil"/>
              <w:left w:val="nil"/>
              <w:bottom w:val="single" w:sz="8" w:space="0" w:color="D9D9D9"/>
              <w:right w:val="single" w:sz="8" w:space="0" w:color="FFFFFF"/>
            </w:tcBorders>
            <w:shd w:val="clear" w:color="000000" w:fill="F2F2F2"/>
            <w:vAlign w:val="center"/>
            <w:hideMark/>
          </w:tcPr>
          <w:p w14:paraId="4423F33F" w14:textId="3ED56C41" w:rsidR="004136C0" w:rsidRPr="00F61D59"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83</w:t>
            </w:r>
          </w:p>
        </w:tc>
        <w:tc>
          <w:tcPr>
            <w:tcW w:w="867" w:type="dxa"/>
            <w:tcBorders>
              <w:top w:val="nil"/>
              <w:left w:val="nil"/>
              <w:bottom w:val="single" w:sz="8" w:space="0" w:color="D9D9D9"/>
              <w:right w:val="single" w:sz="8" w:space="0" w:color="FFFFFF"/>
            </w:tcBorders>
            <w:shd w:val="clear" w:color="000000" w:fill="F2F2F2"/>
            <w:vAlign w:val="center"/>
            <w:hideMark/>
          </w:tcPr>
          <w:p w14:paraId="3237849D" w14:textId="4F4DDE9D" w:rsidR="004136C0" w:rsidRPr="00F61D59" w:rsidRDefault="004136C0" w:rsidP="004136C0">
            <w:pPr>
              <w:spacing w:before="40" w:after="40" w:line="240" w:lineRule="auto"/>
              <w:jc w:val="right"/>
              <w:rPr>
                <w:rFonts w:eastAsia="Times New Roman" w:cs="Arial"/>
                <w:color w:val="1C1C1C"/>
                <w:sz w:val="16"/>
                <w:szCs w:val="16"/>
                <w:lang w:eastAsia="en-AU"/>
              </w:rPr>
            </w:pPr>
            <w:r>
              <w:rPr>
                <w:rFonts w:eastAsia="Times New Roman" w:cs="Arial"/>
                <w:color w:val="1C1C1C"/>
                <w:sz w:val="16"/>
                <w:szCs w:val="16"/>
                <w:lang w:eastAsia="en-AU"/>
              </w:rPr>
              <w:t>84</w:t>
            </w:r>
          </w:p>
        </w:tc>
      </w:tr>
      <w:tr w:rsidR="004136C0" w:rsidRPr="00AC02CF" w14:paraId="12BC5B45" w14:textId="77777777" w:rsidTr="0009351E">
        <w:trPr>
          <w:gridAfter w:val="1"/>
          <w:wAfter w:w="11" w:type="dxa"/>
          <w:trHeight w:val="305"/>
          <w:jc w:val="center"/>
        </w:trPr>
        <w:tc>
          <w:tcPr>
            <w:tcW w:w="1277" w:type="dxa"/>
            <w:tcBorders>
              <w:top w:val="single" w:sz="8" w:space="0" w:color="D9D9D9"/>
              <w:left w:val="nil"/>
              <w:bottom w:val="single" w:sz="8" w:space="0" w:color="D9D9D9"/>
              <w:right w:val="single" w:sz="8" w:space="0" w:color="FFFFFF"/>
            </w:tcBorders>
            <w:shd w:val="clear" w:color="auto" w:fill="auto"/>
            <w:vAlign w:val="center"/>
            <w:hideMark/>
          </w:tcPr>
          <w:p w14:paraId="43AFE70C" w14:textId="77777777" w:rsidR="004136C0" w:rsidRPr="00F61D59" w:rsidRDefault="004136C0" w:rsidP="004136C0">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Tas</w:t>
            </w:r>
          </w:p>
        </w:tc>
        <w:tc>
          <w:tcPr>
            <w:tcW w:w="1127" w:type="dxa"/>
            <w:tcBorders>
              <w:top w:val="nil"/>
              <w:left w:val="nil"/>
              <w:bottom w:val="single" w:sz="8" w:space="0" w:color="D9D9D9"/>
              <w:right w:val="single" w:sz="8" w:space="0" w:color="FFFFFF"/>
            </w:tcBorders>
            <w:shd w:val="clear" w:color="000000" w:fill="F2F2F2"/>
            <w:vAlign w:val="center"/>
            <w:hideMark/>
          </w:tcPr>
          <w:p w14:paraId="4E3F90C0" w14:textId="18B70352" w:rsidR="004136C0" w:rsidRPr="004136C0" w:rsidRDefault="004136C0" w:rsidP="004136C0">
            <w:pPr>
              <w:spacing w:before="40" w:after="40" w:line="240" w:lineRule="auto"/>
              <w:jc w:val="right"/>
              <w:rPr>
                <w:rFonts w:eastAsia="Times New Roman" w:cs="Arial"/>
                <w:b/>
                <w:bCs/>
                <w:color w:val="1C1C1C"/>
                <w:sz w:val="16"/>
                <w:szCs w:val="16"/>
                <w:u w:val="single"/>
                <w:lang w:eastAsia="en-AU"/>
              </w:rPr>
            </w:pPr>
            <w:r w:rsidRPr="004136C0">
              <w:rPr>
                <w:rFonts w:cs="Arial"/>
                <w:sz w:val="16"/>
                <w:szCs w:val="16"/>
              </w:rPr>
              <w:t>99</w:t>
            </w:r>
          </w:p>
        </w:tc>
        <w:tc>
          <w:tcPr>
            <w:tcW w:w="1000" w:type="dxa"/>
            <w:tcBorders>
              <w:top w:val="nil"/>
              <w:left w:val="nil"/>
              <w:bottom w:val="single" w:sz="8" w:space="0" w:color="D9D9D9"/>
              <w:right w:val="single" w:sz="8" w:space="0" w:color="FFFFFF"/>
            </w:tcBorders>
            <w:shd w:val="clear" w:color="000000" w:fill="F2F2F2"/>
            <w:vAlign w:val="center"/>
            <w:hideMark/>
          </w:tcPr>
          <w:p w14:paraId="77A0E3F9" w14:textId="2C6BA315" w:rsidR="004136C0" w:rsidRPr="00F61D59"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97</w:t>
            </w:r>
          </w:p>
        </w:tc>
        <w:tc>
          <w:tcPr>
            <w:tcW w:w="1001" w:type="dxa"/>
            <w:tcBorders>
              <w:top w:val="nil"/>
              <w:left w:val="nil"/>
              <w:bottom w:val="single" w:sz="8" w:space="0" w:color="D9D9D9"/>
              <w:right w:val="single" w:sz="8" w:space="0" w:color="FFFFFF"/>
            </w:tcBorders>
            <w:shd w:val="clear" w:color="000000" w:fill="F2F2F2"/>
            <w:vAlign w:val="center"/>
            <w:hideMark/>
          </w:tcPr>
          <w:p w14:paraId="7256B992" w14:textId="29A04040" w:rsidR="004136C0" w:rsidRPr="00F61D59" w:rsidRDefault="004136C0" w:rsidP="004136C0">
            <w:pPr>
              <w:spacing w:before="40" w:after="40" w:line="240" w:lineRule="auto"/>
              <w:jc w:val="right"/>
              <w:rPr>
                <w:rFonts w:eastAsia="Times New Roman" w:cs="Arial"/>
                <w:color w:val="1C1C1C"/>
                <w:sz w:val="16"/>
                <w:szCs w:val="16"/>
                <w:lang w:eastAsia="en-AU"/>
              </w:rPr>
            </w:pPr>
            <w:r w:rsidRPr="00FF3C9D">
              <w:rPr>
                <w:rFonts w:eastAsia="Times New Roman" w:cs="Arial"/>
                <w:color w:val="1C1C1C"/>
                <w:sz w:val="16"/>
                <w:szCs w:val="16"/>
                <w:lang w:eastAsia="en-AU"/>
              </w:rPr>
              <w:t>98</w:t>
            </w:r>
          </w:p>
        </w:tc>
        <w:tc>
          <w:tcPr>
            <w:tcW w:w="837" w:type="dxa"/>
            <w:tcBorders>
              <w:top w:val="nil"/>
              <w:left w:val="nil"/>
              <w:bottom w:val="single" w:sz="8" w:space="0" w:color="D9D9D9"/>
              <w:right w:val="single" w:sz="8" w:space="0" w:color="FFFFFF"/>
            </w:tcBorders>
            <w:shd w:val="clear" w:color="000000" w:fill="F2F2F2"/>
            <w:vAlign w:val="center"/>
            <w:hideMark/>
          </w:tcPr>
          <w:p w14:paraId="1896DF8C" w14:textId="3FC6C362" w:rsidR="004136C0" w:rsidRPr="004136C0" w:rsidRDefault="004136C0" w:rsidP="004136C0">
            <w:pPr>
              <w:spacing w:before="40" w:after="40" w:line="240" w:lineRule="auto"/>
              <w:jc w:val="right"/>
              <w:rPr>
                <w:rFonts w:eastAsia="Times New Roman" w:cs="Arial"/>
                <w:color w:val="1C1C1C"/>
                <w:sz w:val="16"/>
                <w:szCs w:val="16"/>
                <w:lang w:eastAsia="en-AU"/>
              </w:rPr>
            </w:pPr>
            <w:r w:rsidRPr="004914B2">
              <w:rPr>
                <w:rFonts w:cs="Arial"/>
                <w:color w:val="15272F"/>
                <w:sz w:val="16"/>
                <w:szCs w:val="16"/>
              </w:rPr>
              <w:t>86</w:t>
            </w:r>
          </w:p>
        </w:tc>
        <w:tc>
          <w:tcPr>
            <w:tcW w:w="837" w:type="dxa"/>
            <w:tcBorders>
              <w:top w:val="nil"/>
              <w:left w:val="nil"/>
              <w:bottom w:val="single" w:sz="8" w:space="0" w:color="D9D9D9"/>
              <w:right w:val="single" w:sz="8" w:space="0" w:color="FFFFFF"/>
            </w:tcBorders>
            <w:shd w:val="clear" w:color="000000" w:fill="F2F2F2"/>
            <w:vAlign w:val="center"/>
            <w:hideMark/>
          </w:tcPr>
          <w:p w14:paraId="6F0AAD5D" w14:textId="1CA6C5AB" w:rsidR="004136C0" w:rsidRPr="00F61D59"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67</w:t>
            </w:r>
          </w:p>
        </w:tc>
        <w:tc>
          <w:tcPr>
            <w:tcW w:w="867" w:type="dxa"/>
            <w:tcBorders>
              <w:top w:val="nil"/>
              <w:left w:val="nil"/>
              <w:bottom w:val="single" w:sz="8" w:space="0" w:color="D9D9D9"/>
              <w:right w:val="single" w:sz="8" w:space="0" w:color="FFFFFF"/>
            </w:tcBorders>
            <w:shd w:val="clear" w:color="000000" w:fill="F2F2F2"/>
            <w:vAlign w:val="center"/>
            <w:hideMark/>
          </w:tcPr>
          <w:p w14:paraId="07A9A8C6" w14:textId="7961FD6E" w:rsidR="004136C0" w:rsidRPr="00F61D59" w:rsidRDefault="004136C0" w:rsidP="004136C0">
            <w:pPr>
              <w:spacing w:before="40" w:after="40" w:line="240" w:lineRule="auto"/>
              <w:jc w:val="right"/>
              <w:rPr>
                <w:rFonts w:eastAsia="Times New Roman" w:cs="Arial"/>
                <w:color w:val="1C1C1C"/>
                <w:sz w:val="16"/>
                <w:szCs w:val="16"/>
                <w:lang w:eastAsia="en-AU"/>
              </w:rPr>
            </w:pPr>
            <w:r>
              <w:rPr>
                <w:rFonts w:eastAsia="Times New Roman" w:cs="Arial"/>
                <w:color w:val="1C1C1C"/>
                <w:sz w:val="16"/>
                <w:szCs w:val="16"/>
                <w:lang w:eastAsia="en-AU"/>
              </w:rPr>
              <w:t>94</w:t>
            </w:r>
          </w:p>
        </w:tc>
      </w:tr>
      <w:tr w:rsidR="004136C0" w:rsidRPr="00AC02CF" w14:paraId="02A6DF5C" w14:textId="77777777" w:rsidTr="0009351E">
        <w:trPr>
          <w:gridAfter w:val="1"/>
          <w:wAfter w:w="11" w:type="dxa"/>
          <w:trHeight w:val="305"/>
          <w:jc w:val="center"/>
        </w:trPr>
        <w:tc>
          <w:tcPr>
            <w:tcW w:w="1277" w:type="dxa"/>
            <w:tcBorders>
              <w:top w:val="nil"/>
              <w:left w:val="nil"/>
              <w:bottom w:val="nil"/>
              <w:right w:val="single" w:sz="8" w:space="0" w:color="FFFFFF"/>
            </w:tcBorders>
            <w:shd w:val="clear" w:color="auto" w:fill="auto"/>
            <w:vAlign w:val="center"/>
            <w:hideMark/>
          </w:tcPr>
          <w:p w14:paraId="5F062767" w14:textId="77777777" w:rsidR="004136C0" w:rsidRPr="00F61D59" w:rsidRDefault="004136C0" w:rsidP="004136C0">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NT</w:t>
            </w:r>
          </w:p>
        </w:tc>
        <w:tc>
          <w:tcPr>
            <w:tcW w:w="1127" w:type="dxa"/>
            <w:tcBorders>
              <w:top w:val="nil"/>
              <w:left w:val="nil"/>
              <w:bottom w:val="single" w:sz="8" w:space="0" w:color="D9D9D9"/>
              <w:right w:val="single" w:sz="8" w:space="0" w:color="FFFFFF"/>
            </w:tcBorders>
            <w:shd w:val="clear" w:color="000000" w:fill="F2F2F2"/>
            <w:vAlign w:val="center"/>
            <w:hideMark/>
          </w:tcPr>
          <w:p w14:paraId="0A22833F" w14:textId="6CEE8BDC" w:rsidR="004136C0" w:rsidRPr="004136C0" w:rsidRDefault="004136C0" w:rsidP="004136C0">
            <w:pPr>
              <w:spacing w:before="40" w:after="40" w:line="240" w:lineRule="auto"/>
              <w:jc w:val="right"/>
              <w:rPr>
                <w:rFonts w:eastAsia="Times New Roman" w:cs="Arial"/>
                <w:b/>
                <w:bCs/>
                <w:color w:val="1C1C1C"/>
                <w:sz w:val="16"/>
                <w:szCs w:val="16"/>
                <w:u w:val="single"/>
                <w:lang w:eastAsia="en-AU"/>
              </w:rPr>
            </w:pPr>
            <w:r w:rsidRPr="004136C0">
              <w:rPr>
                <w:rFonts w:cs="Arial"/>
                <w:sz w:val="16"/>
                <w:szCs w:val="16"/>
              </w:rPr>
              <w:t>100</w:t>
            </w:r>
          </w:p>
        </w:tc>
        <w:tc>
          <w:tcPr>
            <w:tcW w:w="1000" w:type="dxa"/>
            <w:tcBorders>
              <w:top w:val="nil"/>
              <w:left w:val="nil"/>
              <w:bottom w:val="single" w:sz="8" w:space="0" w:color="D9D9D9"/>
              <w:right w:val="single" w:sz="8" w:space="0" w:color="FFFFFF"/>
            </w:tcBorders>
            <w:shd w:val="clear" w:color="000000" w:fill="F2F2F2"/>
            <w:vAlign w:val="center"/>
            <w:hideMark/>
          </w:tcPr>
          <w:p w14:paraId="6911BFC8" w14:textId="385C17C0" w:rsidR="004136C0" w:rsidRPr="00F61D59"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100</w:t>
            </w:r>
          </w:p>
        </w:tc>
        <w:tc>
          <w:tcPr>
            <w:tcW w:w="1001" w:type="dxa"/>
            <w:tcBorders>
              <w:top w:val="nil"/>
              <w:left w:val="nil"/>
              <w:bottom w:val="single" w:sz="8" w:space="0" w:color="D9D9D9"/>
              <w:right w:val="single" w:sz="8" w:space="0" w:color="FFFFFF"/>
            </w:tcBorders>
            <w:shd w:val="clear" w:color="000000" w:fill="F2F2F2"/>
            <w:vAlign w:val="center"/>
            <w:hideMark/>
          </w:tcPr>
          <w:p w14:paraId="68F748D3" w14:textId="03CD98D1" w:rsidR="004136C0" w:rsidRPr="00DA13A2" w:rsidRDefault="004136C0" w:rsidP="004136C0">
            <w:pPr>
              <w:spacing w:before="40" w:after="40" w:line="240" w:lineRule="auto"/>
              <w:jc w:val="right"/>
              <w:rPr>
                <w:rFonts w:eastAsia="Times New Roman" w:cs="Arial"/>
                <w:color w:val="1C1C1C"/>
                <w:sz w:val="16"/>
                <w:szCs w:val="16"/>
                <w:lang w:eastAsia="en-AU"/>
              </w:rPr>
            </w:pPr>
            <w:r w:rsidRPr="00FF3C9D">
              <w:rPr>
                <w:rFonts w:eastAsia="Times New Roman" w:cs="Arial"/>
                <w:color w:val="1C1C1C"/>
                <w:sz w:val="16"/>
                <w:szCs w:val="16"/>
                <w:lang w:eastAsia="en-AU"/>
              </w:rPr>
              <w:t>100</w:t>
            </w:r>
          </w:p>
        </w:tc>
        <w:tc>
          <w:tcPr>
            <w:tcW w:w="837" w:type="dxa"/>
            <w:tcBorders>
              <w:top w:val="nil"/>
              <w:left w:val="nil"/>
              <w:bottom w:val="single" w:sz="8" w:space="0" w:color="D9D9D9"/>
              <w:right w:val="single" w:sz="8" w:space="0" w:color="FFFFFF"/>
            </w:tcBorders>
            <w:shd w:val="clear" w:color="000000" w:fill="F2F2F2"/>
            <w:vAlign w:val="center"/>
            <w:hideMark/>
          </w:tcPr>
          <w:p w14:paraId="4E290174" w14:textId="596EF5BB" w:rsidR="004136C0" w:rsidRPr="004136C0" w:rsidRDefault="004136C0" w:rsidP="004136C0">
            <w:pPr>
              <w:spacing w:before="40" w:after="40" w:line="240" w:lineRule="auto"/>
              <w:jc w:val="right"/>
              <w:rPr>
                <w:rFonts w:eastAsia="Times New Roman" w:cs="Arial"/>
                <w:color w:val="1C1C1C"/>
                <w:sz w:val="16"/>
                <w:szCs w:val="16"/>
                <w:lang w:eastAsia="en-AU"/>
              </w:rPr>
            </w:pPr>
            <w:r w:rsidRPr="004914B2">
              <w:rPr>
                <w:rFonts w:cs="Arial"/>
                <w:color w:val="15272F"/>
                <w:sz w:val="16"/>
                <w:szCs w:val="16"/>
              </w:rPr>
              <w:t>70</w:t>
            </w:r>
          </w:p>
        </w:tc>
        <w:tc>
          <w:tcPr>
            <w:tcW w:w="837" w:type="dxa"/>
            <w:tcBorders>
              <w:top w:val="nil"/>
              <w:left w:val="nil"/>
              <w:bottom w:val="single" w:sz="8" w:space="0" w:color="D9D9D9"/>
              <w:right w:val="single" w:sz="8" w:space="0" w:color="FFFFFF"/>
            </w:tcBorders>
            <w:shd w:val="clear" w:color="000000" w:fill="F2F2F2"/>
            <w:vAlign w:val="center"/>
            <w:hideMark/>
          </w:tcPr>
          <w:p w14:paraId="16299756" w14:textId="44F9F29C" w:rsidR="004136C0" w:rsidRPr="00F61D59"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69</w:t>
            </w:r>
          </w:p>
        </w:tc>
        <w:tc>
          <w:tcPr>
            <w:tcW w:w="867" w:type="dxa"/>
            <w:tcBorders>
              <w:top w:val="nil"/>
              <w:left w:val="nil"/>
              <w:bottom w:val="single" w:sz="8" w:space="0" w:color="D9D9D9"/>
              <w:right w:val="single" w:sz="8" w:space="0" w:color="FFFFFF"/>
            </w:tcBorders>
            <w:shd w:val="clear" w:color="000000" w:fill="F2F2F2"/>
            <w:vAlign w:val="center"/>
            <w:hideMark/>
          </w:tcPr>
          <w:p w14:paraId="549F69B3" w14:textId="3F446158" w:rsidR="004136C0" w:rsidRPr="00F61D59" w:rsidRDefault="004136C0" w:rsidP="004136C0">
            <w:pPr>
              <w:spacing w:before="40" w:after="40" w:line="240" w:lineRule="auto"/>
              <w:jc w:val="right"/>
              <w:rPr>
                <w:rFonts w:eastAsia="Times New Roman" w:cs="Arial"/>
                <w:color w:val="1C1C1C"/>
                <w:sz w:val="16"/>
                <w:szCs w:val="16"/>
                <w:lang w:eastAsia="en-AU"/>
              </w:rPr>
            </w:pPr>
            <w:r>
              <w:rPr>
                <w:rFonts w:eastAsia="Times New Roman" w:cs="Arial"/>
                <w:color w:val="1C1C1C"/>
                <w:sz w:val="16"/>
                <w:szCs w:val="16"/>
                <w:lang w:eastAsia="en-AU"/>
              </w:rPr>
              <w:t>70</w:t>
            </w:r>
          </w:p>
        </w:tc>
      </w:tr>
      <w:tr w:rsidR="004136C0" w:rsidRPr="00AC02CF" w14:paraId="3D05B287" w14:textId="77777777" w:rsidTr="0009351E">
        <w:trPr>
          <w:gridAfter w:val="1"/>
          <w:wAfter w:w="11" w:type="dxa"/>
          <w:trHeight w:val="305"/>
          <w:jc w:val="center"/>
        </w:trPr>
        <w:tc>
          <w:tcPr>
            <w:tcW w:w="1277" w:type="dxa"/>
            <w:tcBorders>
              <w:top w:val="single" w:sz="8" w:space="0" w:color="D9D9D9"/>
              <w:left w:val="nil"/>
              <w:bottom w:val="single" w:sz="8" w:space="0" w:color="D9D9D9"/>
              <w:right w:val="single" w:sz="8" w:space="0" w:color="FFFFFF"/>
            </w:tcBorders>
            <w:shd w:val="clear" w:color="auto" w:fill="auto"/>
            <w:vAlign w:val="center"/>
            <w:hideMark/>
          </w:tcPr>
          <w:p w14:paraId="56D36C0A" w14:textId="77777777" w:rsidR="004136C0" w:rsidRPr="00F61D59" w:rsidRDefault="004136C0" w:rsidP="004136C0">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ACT</w:t>
            </w:r>
          </w:p>
        </w:tc>
        <w:tc>
          <w:tcPr>
            <w:tcW w:w="1127" w:type="dxa"/>
            <w:tcBorders>
              <w:top w:val="nil"/>
              <w:left w:val="nil"/>
              <w:bottom w:val="single" w:sz="8" w:space="0" w:color="D9D9D9"/>
              <w:right w:val="single" w:sz="8" w:space="0" w:color="FFFFFF"/>
            </w:tcBorders>
            <w:shd w:val="clear" w:color="000000" w:fill="F2F2F2"/>
            <w:vAlign w:val="center"/>
            <w:hideMark/>
          </w:tcPr>
          <w:p w14:paraId="07E4AE81" w14:textId="264DFAA6" w:rsidR="004136C0" w:rsidRPr="004136C0" w:rsidRDefault="004136C0" w:rsidP="004136C0">
            <w:pPr>
              <w:spacing w:before="40" w:after="40" w:line="240" w:lineRule="auto"/>
              <w:jc w:val="right"/>
              <w:rPr>
                <w:rFonts w:eastAsia="Times New Roman" w:cs="Arial"/>
                <w:b/>
                <w:bCs/>
                <w:color w:val="1C1C1C"/>
                <w:sz w:val="16"/>
                <w:szCs w:val="16"/>
                <w:u w:val="single"/>
                <w:lang w:eastAsia="en-AU"/>
              </w:rPr>
            </w:pPr>
            <w:r w:rsidRPr="004136C0">
              <w:rPr>
                <w:rFonts w:cs="Arial"/>
                <w:sz w:val="16"/>
                <w:szCs w:val="16"/>
              </w:rPr>
              <w:t>99</w:t>
            </w:r>
          </w:p>
        </w:tc>
        <w:tc>
          <w:tcPr>
            <w:tcW w:w="1000" w:type="dxa"/>
            <w:tcBorders>
              <w:top w:val="nil"/>
              <w:left w:val="nil"/>
              <w:bottom w:val="single" w:sz="8" w:space="0" w:color="D9D9D9"/>
              <w:right w:val="single" w:sz="8" w:space="0" w:color="FFFFFF"/>
            </w:tcBorders>
            <w:shd w:val="clear" w:color="000000" w:fill="F2F2F2"/>
            <w:vAlign w:val="center"/>
            <w:hideMark/>
          </w:tcPr>
          <w:p w14:paraId="6B07406F" w14:textId="4007E04A" w:rsidR="004136C0" w:rsidRPr="00F61D59"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100</w:t>
            </w:r>
          </w:p>
        </w:tc>
        <w:tc>
          <w:tcPr>
            <w:tcW w:w="1001" w:type="dxa"/>
            <w:tcBorders>
              <w:top w:val="nil"/>
              <w:left w:val="nil"/>
              <w:bottom w:val="single" w:sz="8" w:space="0" w:color="D9D9D9"/>
              <w:right w:val="single" w:sz="8" w:space="0" w:color="FFFFFF"/>
            </w:tcBorders>
            <w:shd w:val="clear" w:color="000000" w:fill="F2F2F2"/>
            <w:vAlign w:val="center"/>
            <w:hideMark/>
          </w:tcPr>
          <w:p w14:paraId="103FDDA9" w14:textId="301D8E5C" w:rsidR="004136C0" w:rsidRPr="00F61D59" w:rsidRDefault="004136C0" w:rsidP="004136C0">
            <w:pPr>
              <w:spacing w:before="40" w:after="40" w:line="240" w:lineRule="auto"/>
              <w:jc w:val="right"/>
              <w:rPr>
                <w:rFonts w:eastAsia="Times New Roman" w:cs="Arial"/>
                <w:color w:val="1C1C1C"/>
                <w:sz w:val="16"/>
                <w:szCs w:val="16"/>
                <w:lang w:eastAsia="en-AU"/>
              </w:rPr>
            </w:pPr>
            <w:r w:rsidRPr="00FF3C9D">
              <w:rPr>
                <w:rFonts w:eastAsia="Times New Roman" w:cs="Arial"/>
                <w:color w:val="1C1C1C"/>
                <w:sz w:val="16"/>
                <w:szCs w:val="16"/>
                <w:lang w:eastAsia="en-AU"/>
              </w:rPr>
              <w:t>-</w:t>
            </w:r>
          </w:p>
        </w:tc>
        <w:tc>
          <w:tcPr>
            <w:tcW w:w="837" w:type="dxa"/>
            <w:tcBorders>
              <w:top w:val="nil"/>
              <w:left w:val="nil"/>
              <w:bottom w:val="single" w:sz="8" w:space="0" w:color="D9D9D9"/>
              <w:right w:val="single" w:sz="8" w:space="0" w:color="FFFFFF"/>
            </w:tcBorders>
            <w:shd w:val="clear" w:color="000000" w:fill="F2F2F2"/>
            <w:vAlign w:val="center"/>
            <w:hideMark/>
          </w:tcPr>
          <w:p w14:paraId="2CC84114" w14:textId="774B070A" w:rsidR="004136C0" w:rsidRPr="004136C0" w:rsidRDefault="004136C0" w:rsidP="004136C0">
            <w:pPr>
              <w:spacing w:before="40" w:after="40" w:line="240" w:lineRule="auto"/>
              <w:jc w:val="right"/>
              <w:rPr>
                <w:rFonts w:eastAsia="Times New Roman" w:cs="Arial"/>
                <w:color w:val="1C1C1C"/>
                <w:sz w:val="16"/>
                <w:szCs w:val="16"/>
                <w:lang w:eastAsia="en-AU"/>
              </w:rPr>
            </w:pPr>
            <w:r w:rsidRPr="004914B2">
              <w:rPr>
                <w:rFonts w:cs="Arial"/>
                <w:color w:val="15272F"/>
                <w:sz w:val="16"/>
                <w:szCs w:val="16"/>
              </w:rPr>
              <w:t>87</w:t>
            </w:r>
          </w:p>
        </w:tc>
        <w:tc>
          <w:tcPr>
            <w:tcW w:w="837" w:type="dxa"/>
            <w:tcBorders>
              <w:top w:val="nil"/>
              <w:left w:val="nil"/>
              <w:bottom w:val="single" w:sz="8" w:space="0" w:color="D9D9D9"/>
              <w:right w:val="single" w:sz="8" w:space="0" w:color="FFFFFF"/>
            </w:tcBorders>
            <w:shd w:val="clear" w:color="000000" w:fill="F2F2F2"/>
            <w:vAlign w:val="center"/>
            <w:hideMark/>
          </w:tcPr>
          <w:p w14:paraId="19755597" w14:textId="43DD1B12" w:rsidR="004136C0" w:rsidRPr="00DA13A2" w:rsidRDefault="004136C0" w:rsidP="004136C0">
            <w:pPr>
              <w:spacing w:before="40" w:after="40" w:line="240" w:lineRule="auto"/>
              <w:jc w:val="right"/>
              <w:rPr>
                <w:rFonts w:eastAsia="Times New Roman" w:cs="Arial"/>
                <w:color w:val="1C1C1C"/>
                <w:sz w:val="16"/>
                <w:szCs w:val="16"/>
                <w:lang w:eastAsia="en-AU"/>
              </w:rPr>
            </w:pPr>
            <w:r w:rsidRPr="00DA13A2">
              <w:rPr>
                <w:rFonts w:eastAsia="Times New Roman" w:cs="Arial"/>
                <w:color w:val="1C1C1C"/>
                <w:sz w:val="16"/>
                <w:szCs w:val="16"/>
                <w:lang w:eastAsia="en-AU"/>
              </w:rPr>
              <w:t>97</w:t>
            </w:r>
          </w:p>
        </w:tc>
        <w:tc>
          <w:tcPr>
            <w:tcW w:w="867" w:type="dxa"/>
            <w:tcBorders>
              <w:top w:val="nil"/>
              <w:left w:val="nil"/>
              <w:bottom w:val="single" w:sz="8" w:space="0" w:color="D9D9D9"/>
              <w:right w:val="single" w:sz="8" w:space="0" w:color="FFFFFF"/>
            </w:tcBorders>
            <w:shd w:val="clear" w:color="000000" w:fill="F2F2F2"/>
            <w:vAlign w:val="center"/>
            <w:hideMark/>
          </w:tcPr>
          <w:p w14:paraId="4561339C" w14:textId="43A8212F" w:rsidR="004136C0" w:rsidRPr="00F61D59" w:rsidRDefault="004136C0" w:rsidP="004136C0">
            <w:pPr>
              <w:spacing w:before="40" w:after="40" w:line="240" w:lineRule="auto"/>
              <w:jc w:val="right"/>
              <w:rPr>
                <w:rFonts w:eastAsia="Times New Roman" w:cs="Arial"/>
                <w:color w:val="1C1C1C"/>
                <w:sz w:val="16"/>
                <w:szCs w:val="16"/>
                <w:lang w:eastAsia="en-AU"/>
              </w:rPr>
            </w:pPr>
            <w:r>
              <w:rPr>
                <w:rFonts w:eastAsia="Times New Roman" w:cs="Arial"/>
                <w:color w:val="1C1C1C"/>
                <w:sz w:val="16"/>
                <w:szCs w:val="16"/>
                <w:lang w:eastAsia="en-AU"/>
              </w:rPr>
              <w:t>-</w:t>
            </w:r>
          </w:p>
        </w:tc>
      </w:tr>
      <w:tr w:rsidR="004136C0" w:rsidRPr="00AC02CF" w14:paraId="1490CCE9" w14:textId="77777777" w:rsidTr="0009351E">
        <w:trPr>
          <w:gridAfter w:val="1"/>
          <w:wAfter w:w="11" w:type="dxa"/>
          <w:trHeight w:val="289"/>
          <w:jc w:val="center"/>
        </w:trPr>
        <w:tc>
          <w:tcPr>
            <w:tcW w:w="1277" w:type="dxa"/>
            <w:tcBorders>
              <w:top w:val="nil"/>
              <w:left w:val="nil"/>
              <w:bottom w:val="nil"/>
              <w:right w:val="single" w:sz="8" w:space="0" w:color="FFFFFF"/>
            </w:tcBorders>
            <w:shd w:val="clear" w:color="000000" w:fill="DFEBF1"/>
            <w:vAlign w:val="center"/>
            <w:hideMark/>
          </w:tcPr>
          <w:p w14:paraId="1E9EAA21" w14:textId="77777777" w:rsidR="004136C0" w:rsidRPr="00F61D59" w:rsidRDefault="004136C0" w:rsidP="004136C0">
            <w:pPr>
              <w:spacing w:before="40" w:after="40" w:line="240" w:lineRule="auto"/>
              <w:rPr>
                <w:rFonts w:eastAsia="Times New Roman" w:cs="Arial"/>
                <w:b/>
                <w:bCs/>
                <w:color w:val="1C1C1C"/>
                <w:sz w:val="16"/>
                <w:szCs w:val="16"/>
                <w:lang w:eastAsia="en-AU"/>
              </w:rPr>
            </w:pPr>
            <w:r w:rsidRPr="00F61D59">
              <w:rPr>
                <w:rFonts w:eastAsia="Times New Roman" w:cs="Arial"/>
                <w:b/>
                <w:bCs/>
                <w:color w:val="1C1C1C"/>
                <w:sz w:val="16"/>
                <w:szCs w:val="16"/>
                <w:lang w:eastAsia="en-AU"/>
              </w:rPr>
              <w:t>National</w:t>
            </w:r>
          </w:p>
        </w:tc>
        <w:tc>
          <w:tcPr>
            <w:tcW w:w="1127" w:type="dxa"/>
            <w:tcBorders>
              <w:top w:val="nil"/>
              <w:left w:val="nil"/>
              <w:bottom w:val="nil"/>
              <w:right w:val="single" w:sz="8" w:space="0" w:color="FFFFFF"/>
            </w:tcBorders>
            <w:shd w:val="clear" w:color="000000" w:fill="DFEBF1"/>
            <w:vAlign w:val="center"/>
            <w:hideMark/>
          </w:tcPr>
          <w:p w14:paraId="47F17999" w14:textId="37740F8F" w:rsidR="004136C0" w:rsidRPr="00CC63DA" w:rsidRDefault="004136C0" w:rsidP="004136C0">
            <w:pPr>
              <w:spacing w:before="40" w:after="40" w:line="240" w:lineRule="auto"/>
              <w:jc w:val="right"/>
              <w:rPr>
                <w:rFonts w:eastAsia="Times New Roman" w:cs="Arial"/>
                <w:b/>
                <w:bCs/>
                <w:color w:val="1C1C1C"/>
                <w:sz w:val="16"/>
                <w:szCs w:val="16"/>
                <w:lang w:eastAsia="en-AU"/>
              </w:rPr>
            </w:pPr>
            <w:r w:rsidRPr="00CC63DA">
              <w:rPr>
                <w:rFonts w:cs="Arial"/>
                <w:b/>
                <w:bCs/>
                <w:sz w:val="16"/>
                <w:szCs w:val="16"/>
              </w:rPr>
              <w:t>97</w:t>
            </w:r>
          </w:p>
        </w:tc>
        <w:tc>
          <w:tcPr>
            <w:tcW w:w="1000" w:type="dxa"/>
            <w:tcBorders>
              <w:top w:val="nil"/>
              <w:left w:val="nil"/>
              <w:bottom w:val="nil"/>
              <w:right w:val="single" w:sz="8" w:space="0" w:color="FFFFFF"/>
            </w:tcBorders>
            <w:shd w:val="clear" w:color="000000" w:fill="DFEBF1"/>
            <w:vAlign w:val="center"/>
            <w:hideMark/>
          </w:tcPr>
          <w:p w14:paraId="15D2B29C" w14:textId="093451ED" w:rsidR="004136C0" w:rsidRPr="00DA13A2" w:rsidRDefault="004136C0" w:rsidP="004136C0">
            <w:pPr>
              <w:spacing w:before="40" w:after="40" w:line="240" w:lineRule="auto"/>
              <w:jc w:val="right"/>
              <w:rPr>
                <w:rFonts w:eastAsia="Times New Roman" w:cs="Arial"/>
                <w:b/>
                <w:bCs/>
                <w:color w:val="1C1C1C"/>
                <w:sz w:val="16"/>
                <w:szCs w:val="16"/>
                <w:lang w:eastAsia="en-AU"/>
              </w:rPr>
            </w:pPr>
            <w:r w:rsidRPr="00DA13A2">
              <w:rPr>
                <w:rFonts w:eastAsia="Times New Roman" w:cs="Arial"/>
                <w:b/>
                <w:bCs/>
                <w:color w:val="1C1C1C"/>
                <w:sz w:val="16"/>
                <w:szCs w:val="16"/>
                <w:lang w:eastAsia="en-AU"/>
              </w:rPr>
              <w:t>97</w:t>
            </w:r>
          </w:p>
        </w:tc>
        <w:tc>
          <w:tcPr>
            <w:tcW w:w="1001" w:type="dxa"/>
            <w:tcBorders>
              <w:top w:val="nil"/>
              <w:left w:val="nil"/>
              <w:bottom w:val="nil"/>
              <w:right w:val="single" w:sz="8" w:space="0" w:color="FFFFFF"/>
            </w:tcBorders>
            <w:shd w:val="clear" w:color="000000" w:fill="DFEBF1"/>
            <w:vAlign w:val="center"/>
            <w:hideMark/>
          </w:tcPr>
          <w:p w14:paraId="4F1ABDD9" w14:textId="78EB275A" w:rsidR="004136C0" w:rsidRPr="00DA13A2" w:rsidRDefault="004136C0" w:rsidP="004136C0">
            <w:pPr>
              <w:spacing w:before="40" w:after="40" w:line="240" w:lineRule="auto"/>
              <w:jc w:val="right"/>
              <w:rPr>
                <w:rFonts w:eastAsia="Times New Roman" w:cs="Arial"/>
                <w:b/>
                <w:bCs/>
                <w:color w:val="1C1C1C"/>
                <w:sz w:val="16"/>
                <w:szCs w:val="16"/>
                <w:lang w:eastAsia="en-AU"/>
              </w:rPr>
            </w:pPr>
            <w:r w:rsidRPr="00DA13A2">
              <w:rPr>
                <w:rFonts w:eastAsia="Times New Roman" w:cs="Arial"/>
                <w:b/>
                <w:bCs/>
                <w:color w:val="1C1C1C"/>
                <w:sz w:val="16"/>
                <w:szCs w:val="16"/>
                <w:lang w:eastAsia="en-AU"/>
              </w:rPr>
              <w:t>97</w:t>
            </w:r>
          </w:p>
        </w:tc>
        <w:tc>
          <w:tcPr>
            <w:tcW w:w="837" w:type="dxa"/>
            <w:tcBorders>
              <w:top w:val="nil"/>
              <w:left w:val="nil"/>
              <w:bottom w:val="nil"/>
              <w:right w:val="single" w:sz="8" w:space="0" w:color="FFFFFF"/>
            </w:tcBorders>
            <w:shd w:val="clear" w:color="000000" w:fill="DFEBF1"/>
            <w:vAlign w:val="center"/>
            <w:hideMark/>
          </w:tcPr>
          <w:p w14:paraId="44E7783F" w14:textId="5C6470AA" w:rsidR="004136C0" w:rsidRPr="00CC63DA" w:rsidRDefault="004136C0" w:rsidP="004136C0">
            <w:pPr>
              <w:spacing w:before="40" w:after="40" w:line="240" w:lineRule="auto"/>
              <w:jc w:val="right"/>
              <w:rPr>
                <w:rFonts w:eastAsia="Times New Roman" w:cs="Arial"/>
                <w:b/>
                <w:bCs/>
                <w:color w:val="1C1C1C"/>
                <w:sz w:val="16"/>
                <w:szCs w:val="16"/>
                <w:lang w:eastAsia="en-AU"/>
              </w:rPr>
            </w:pPr>
            <w:r w:rsidRPr="00CC63DA">
              <w:rPr>
                <w:rFonts w:cs="Arial"/>
                <w:b/>
                <w:bCs/>
                <w:color w:val="15272F"/>
                <w:sz w:val="16"/>
                <w:szCs w:val="16"/>
              </w:rPr>
              <w:t>78</w:t>
            </w:r>
          </w:p>
        </w:tc>
        <w:tc>
          <w:tcPr>
            <w:tcW w:w="837" w:type="dxa"/>
            <w:tcBorders>
              <w:top w:val="nil"/>
              <w:left w:val="nil"/>
              <w:bottom w:val="nil"/>
              <w:right w:val="single" w:sz="8" w:space="0" w:color="FFFFFF"/>
            </w:tcBorders>
            <w:shd w:val="clear" w:color="000000" w:fill="DFEBF1"/>
            <w:vAlign w:val="center"/>
            <w:hideMark/>
          </w:tcPr>
          <w:p w14:paraId="7EFCDA8E" w14:textId="1464578F" w:rsidR="004136C0" w:rsidRPr="00DA13A2" w:rsidRDefault="004136C0" w:rsidP="004136C0">
            <w:pPr>
              <w:spacing w:before="40" w:after="40" w:line="240" w:lineRule="auto"/>
              <w:jc w:val="right"/>
              <w:rPr>
                <w:rFonts w:eastAsia="Times New Roman" w:cs="Arial"/>
                <w:b/>
                <w:bCs/>
                <w:color w:val="1C1C1C"/>
                <w:sz w:val="16"/>
                <w:szCs w:val="16"/>
                <w:lang w:eastAsia="en-AU"/>
              </w:rPr>
            </w:pPr>
            <w:r w:rsidRPr="00DA13A2">
              <w:rPr>
                <w:rFonts w:eastAsia="Times New Roman" w:cs="Arial"/>
                <w:b/>
                <w:bCs/>
                <w:color w:val="1C1C1C"/>
                <w:sz w:val="16"/>
                <w:szCs w:val="16"/>
                <w:lang w:eastAsia="en-AU"/>
              </w:rPr>
              <w:t>77</w:t>
            </w:r>
          </w:p>
        </w:tc>
        <w:tc>
          <w:tcPr>
            <w:tcW w:w="867" w:type="dxa"/>
            <w:tcBorders>
              <w:top w:val="nil"/>
              <w:left w:val="nil"/>
              <w:bottom w:val="nil"/>
              <w:right w:val="single" w:sz="8" w:space="0" w:color="FFFFFF"/>
            </w:tcBorders>
            <w:shd w:val="clear" w:color="000000" w:fill="DFEBF1"/>
            <w:vAlign w:val="center"/>
            <w:hideMark/>
          </w:tcPr>
          <w:p w14:paraId="45597957" w14:textId="0B3FF6F7" w:rsidR="004136C0" w:rsidRPr="00DA13A2" w:rsidRDefault="004136C0" w:rsidP="004136C0">
            <w:pPr>
              <w:spacing w:before="40" w:after="40" w:line="240" w:lineRule="auto"/>
              <w:jc w:val="right"/>
              <w:rPr>
                <w:rFonts w:eastAsia="Times New Roman" w:cs="Arial"/>
                <w:b/>
                <w:bCs/>
                <w:color w:val="1C1C1C"/>
                <w:sz w:val="16"/>
                <w:szCs w:val="16"/>
                <w:lang w:eastAsia="en-AU"/>
              </w:rPr>
            </w:pPr>
            <w:r w:rsidRPr="00DA13A2">
              <w:rPr>
                <w:rFonts w:eastAsia="Times New Roman" w:cs="Arial"/>
                <w:b/>
                <w:bCs/>
                <w:color w:val="1C1C1C"/>
                <w:sz w:val="16"/>
                <w:szCs w:val="16"/>
                <w:lang w:eastAsia="en-AU"/>
              </w:rPr>
              <w:t>8</w:t>
            </w:r>
            <w:r w:rsidR="00CC63DA">
              <w:rPr>
                <w:rFonts w:eastAsia="Times New Roman" w:cs="Arial"/>
                <w:b/>
                <w:bCs/>
                <w:color w:val="1C1C1C"/>
                <w:sz w:val="16"/>
                <w:szCs w:val="16"/>
                <w:lang w:eastAsia="en-AU"/>
              </w:rPr>
              <w:t>3</w:t>
            </w:r>
          </w:p>
        </w:tc>
      </w:tr>
    </w:tbl>
    <w:p w14:paraId="38647D1D" w14:textId="26A91007" w:rsidR="005B4919" w:rsidRPr="00CE058E" w:rsidRDefault="005B4919" w:rsidP="005B4919">
      <w:pPr>
        <w:pStyle w:val="Heading2"/>
      </w:pPr>
      <w:r w:rsidRPr="00CE058E">
        <w:t>Participation</w:t>
      </w:r>
      <w:bookmarkEnd w:id="41"/>
      <w:bookmarkEnd w:id="42"/>
      <w:bookmarkEnd w:id="43"/>
    </w:p>
    <w:p w14:paraId="57E867E2" w14:textId="6BB50A05" w:rsidR="000F0200" w:rsidRPr="00A42FF4" w:rsidRDefault="00F44DA7" w:rsidP="00FA39AE">
      <w:pPr>
        <w:spacing w:line="276" w:lineRule="auto"/>
        <w:rPr>
          <w:rFonts w:cs="Arial"/>
        </w:rPr>
      </w:pPr>
      <w:r w:rsidRPr="00A42FF4">
        <w:rPr>
          <w:rFonts w:cs="Arial"/>
        </w:rPr>
        <w:t xml:space="preserve">IHACPA receives data from </w:t>
      </w:r>
      <w:r w:rsidR="005B4919" w:rsidRPr="00A42FF4">
        <w:rPr>
          <w:rFonts w:cs="Arial"/>
        </w:rPr>
        <w:t xml:space="preserve">public hospitals (including health services) </w:t>
      </w:r>
      <w:r w:rsidRPr="00A42FF4">
        <w:rPr>
          <w:rFonts w:cs="Arial"/>
        </w:rPr>
        <w:t xml:space="preserve">for the ABF activity collection and NHCDC. </w:t>
      </w:r>
      <w:r w:rsidR="00183C52" w:rsidRPr="00183C52">
        <w:rPr>
          <w:rFonts w:cs="Arial"/>
        </w:rPr>
        <w:fldChar w:fldCharType="begin"/>
      </w:r>
      <w:r w:rsidR="00183C52" w:rsidRPr="00183C52">
        <w:rPr>
          <w:rFonts w:cs="Arial"/>
        </w:rPr>
        <w:instrText xml:space="preserve"> REF _Ref185835852 \h </w:instrText>
      </w:r>
      <w:r w:rsidR="00183C52" w:rsidRPr="00183C52">
        <w:rPr>
          <w:rFonts w:cs="Arial"/>
        </w:rPr>
      </w:r>
      <w:r w:rsidR="00183C52" w:rsidRPr="00183C52">
        <w:rPr>
          <w:rFonts w:cs="Arial"/>
        </w:rPr>
        <w:fldChar w:fldCharType="separate"/>
      </w:r>
      <w:r w:rsidR="00183C52" w:rsidRPr="00296833">
        <w:rPr>
          <w:rFonts w:cstheme="majorBidi"/>
          <w:lang w:val="en-PH"/>
        </w:rPr>
        <w:t xml:space="preserve">Figure </w:t>
      </w:r>
      <w:r w:rsidR="00183C52" w:rsidRPr="00296833">
        <w:rPr>
          <w:rFonts w:cstheme="majorBidi"/>
          <w:noProof/>
          <w:lang w:val="en-PH"/>
        </w:rPr>
        <w:t>2</w:t>
      </w:r>
      <w:r w:rsidR="00183C52" w:rsidRPr="00183C52">
        <w:rPr>
          <w:rFonts w:cs="Arial"/>
        </w:rPr>
        <w:fldChar w:fldCharType="end"/>
      </w:r>
      <w:r w:rsidR="00E71DDB" w:rsidRPr="00183C52">
        <w:rPr>
          <w:rFonts w:cs="Arial"/>
        </w:rPr>
        <w:t xml:space="preserve"> shows </w:t>
      </w:r>
      <w:r w:rsidR="00E71DDB" w:rsidRPr="00A42FF4">
        <w:rPr>
          <w:rFonts w:cs="Arial"/>
        </w:rPr>
        <w:t xml:space="preserve">the </w:t>
      </w:r>
      <w:r w:rsidR="000501B8">
        <w:rPr>
          <w:rFonts w:cs="Arial"/>
        </w:rPr>
        <w:t>number</w:t>
      </w:r>
      <w:r w:rsidR="000501B8" w:rsidRPr="00A42FF4">
        <w:rPr>
          <w:rFonts w:cs="Arial"/>
        </w:rPr>
        <w:t xml:space="preserve"> </w:t>
      </w:r>
      <w:r w:rsidR="00E71DDB" w:rsidRPr="00A42FF4">
        <w:rPr>
          <w:rFonts w:cs="Arial"/>
        </w:rPr>
        <w:t xml:space="preserve">of </w:t>
      </w:r>
      <w:r w:rsidR="00204E81">
        <w:rPr>
          <w:rFonts w:cs="Arial"/>
        </w:rPr>
        <w:t>establishments</w:t>
      </w:r>
      <w:r w:rsidR="00E71DDB" w:rsidRPr="00A42FF4">
        <w:rPr>
          <w:rFonts w:cs="Arial"/>
        </w:rPr>
        <w:t xml:space="preserve"> reported in the NHCDC compared to the ABF collection </w:t>
      </w:r>
      <w:r w:rsidR="00206AAE">
        <w:rPr>
          <w:rFonts w:cs="Arial"/>
        </w:rPr>
        <w:t xml:space="preserve">by jurisdiction, </w:t>
      </w:r>
      <w:r w:rsidR="00E71DDB" w:rsidRPr="00A42FF4">
        <w:rPr>
          <w:rFonts w:cs="Arial"/>
        </w:rPr>
        <w:t xml:space="preserve">from 2020-21 to </w:t>
      </w:r>
      <w:r w:rsidR="00E71DDB" w:rsidRPr="00A42FF4">
        <w:rPr>
          <w:rFonts w:cstheme="majorBidi"/>
          <w:lang w:val="en-PH"/>
        </w:rPr>
        <w:t>2022-23</w:t>
      </w:r>
      <w:bookmarkStart w:id="48" w:name="_Hlk185251895"/>
      <w:r w:rsidR="00E71DDB" w:rsidRPr="00A42FF4">
        <w:rPr>
          <w:rFonts w:cs="Arial"/>
        </w:rPr>
        <w:t>.</w:t>
      </w:r>
      <w:r w:rsidR="00E71DDB" w:rsidRPr="00A42FF4">
        <w:t xml:space="preserve"> </w:t>
      </w:r>
      <w:r w:rsidR="005B4919" w:rsidRPr="00A42FF4">
        <w:rPr>
          <w:rFonts w:cs="Arial"/>
        </w:rPr>
        <w:t xml:space="preserve">In </w:t>
      </w:r>
      <w:r w:rsidR="00831766" w:rsidRPr="00A42FF4">
        <w:rPr>
          <w:rFonts w:cstheme="majorBidi"/>
          <w:lang w:val="en-PH"/>
        </w:rPr>
        <w:t>2022-23</w:t>
      </w:r>
      <w:r w:rsidR="005B4919" w:rsidRPr="00A42FF4">
        <w:rPr>
          <w:rFonts w:cs="Arial"/>
        </w:rPr>
        <w:t>, IHACPA received</w:t>
      </w:r>
      <w:r w:rsidR="00E71DDB">
        <w:rPr>
          <w:rFonts w:cs="Arial"/>
        </w:rPr>
        <w:t xml:space="preserve"> in-scope</w:t>
      </w:r>
      <w:r w:rsidR="005B4919" w:rsidRPr="00A42FF4">
        <w:rPr>
          <w:rFonts w:cs="Arial"/>
        </w:rPr>
        <w:t xml:space="preserve"> cost data for </w:t>
      </w:r>
      <w:r w:rsidR="00E71DDB">
        <w:rPr>
          <w:rFonts w:cs="Arial"/>
        </w:rPr>
        <w:t>738</w:t>
      </w:r>
      <w:r w:rsidR="00E71DDB" w:rsidRPr="00A42FF4">
        <w:rPr>
          <w:rFonts w:cs="Arial"/>
        </w:rPr>
        <w:t xml:space="preserve"> </w:t>
      </w:r>
      <w:r w:rsidR="001B4A76">
        <w:rPr>
          <w:rFonts w:cs="Arial"/>
        </w:rPr>
        <w:t xml:space="preserve">establishments </w:t>
      </w:r>
      <w:r w:rsidR="00C6047E">
        <w:rPr>
          <w:rFonts w:cs="Arial"/>
        </w:rPr>
        <w:t>and ABF data for 1</w:t>
      </w:r>
      <w:r w:rsidR="000501B8">
        <w:rPr>
          <w:rFonts w:cs="Arial"/>
        </w:rPr>
        <w:t>,</w:t>
      </w:r>
      <w:r w:rsidR="00C6047E">
        <w:rPr>
          <w:rFonts w:cs="Arial"/>
        </w:rPr>
        <w:t xml:space="preserve">142 </w:t>
      </w:r>
      <w:r w:rsidR="001B4A76">
        <w:rPr>
          <w:rFonts w:cs="Arial"/>
        </w:rPr>
        <w:t>establishments</w:t>
      </w:r>
      <w:r w:rsidR="005B4919" w:rsidRPr="00A42FF4">
        <w:rPr>
          <w:rFonts w:cs="Arial"/>
        </w:rPr>
        <w:t xml:space="preserve">, an increase of </w:t>
      </w:r>
      <w:r w:rsidR="00E71DDB">
        <w:rPr>
          <w:rFonts w:cs="Arial"/>
        </w:rPr>
        <w:t>71</w:t>
      </w:r>
      <w:r w:rsidR="00C6047E">
        <w:rPr>
          <w:rFonts w:cs="Arial"/>
        </w:rPr>
        <w:t xml:space="preserve"> and 1</w:t>
      </w:r>
      <w:r w:rsidR="00F47C39">
        <w:rPr>
          <w:rFonts w:cs="Arial"/>
        </w:rPr>
        <w:t>2</w:t>
      </w:r>
      <w:r w:rsidR="00C6047E">
        <w:rPr>
          <w:rFonts w:cs="Arial"/>
        </w:rPr>
        <w:t xml:space="preserve"> respectively, from 2021-22 to 2022-23.</w:t>
      </w:r>
      <w:r w:rsidR="00AA2EFC">
        <w:rPr>
          <w:rFonts w:cs="Arial"/>
        </w:rPr>
        <w:t xml:space="preserve"> The increase in NHCDC establishments was driven by Western Austral</w:t>
      </w:r>
      <w:r w:rsidR="00AA2EFC" w:rsidRPr="004914B2">
        <w:rPr>
          <w:rFonts w:cs="Arial"/>
        </w:rPr>
        <w:t>ia</w:t>
      </w:r>
      <w:r w:rsidR="009D4A11">
        <w:rPr>
          <w:rFonts w:cs="Arial"/>
        </w:rPr>
        <w:t xml:space="preserve"> (WA)</w:t>
      </w:r>
      <w:r w:rsidR="00AA2EFC" w:rsidRPr="004914B2">
        <w:rPr>
          <w:rFonts w:cs="Arial"/>
        </w:rPr>
        <w:t xml:space="preserve">, increasing </w:t>
      </w:r>
      <w:r w:rsidR="000501B8">
        <w:rPr>
          <w:rFonts w:cs="Arial"/>
        </w:rPr>
        <w:t xml:space="preserve">by </w:t>
      </w:r>
      <w:r w:rsidR="00F52D1E" w:rsidRPr="004914B2">
        <w:rPr>
          <w:rFonts w:cs="Arial"/>
        </w:rPr>
        <w:t xml:space="preserve">45 </w:t>
      </w:r>
      <w:r w:rsidR="00F52D1E" w:rsidRPr="001A724B">
        <w:rPr>
          <w:rFonts w:cs="Arial"/>
        </w:rPr>
        <w:t>es</w:t>
      </w:r>
      <w:r w:rsidR="00AA2EFC" w:rsidRPr="001A724B">
        <w:rPr>
          <w:rFonts w:cs="Arial"/>
        </w:rPr>
        <w:t>tablishments</w:t>
      </w:r>
      <w:r w:rsidR="006F24F8" w:rsidRPr="001A724B">
        <w:rPr>
          <w:rFonts w:cs="Arial"/>
        </w:rPr>
        <w:t>,</w:t>
      </w:r>
      <w:r w:rsidR="00AA2EFC" w:rsidRPr="001A724B">
        <w:rPr>
          <w:rFonts w:cs="Arial"/>
        </w:rPr>
        <w:t xml:space="preserve"> due to increased reporting of </w:t>
      </w:r>
      <w:r w:rsidR="002F3AC9" w:rsidRPr="002F3AC9">
        <w:rPr>
          <w:rFonts w:cs="Arial"/>
        </w:rPr>
        <w:t>contracted care establishments (mainly haemodialysis) and WA’s first submission of community mental health NHCDC data.</w:t>
      </w:r>
      <w:bookmarkEnd w:id="48"/>
    </w:p>
    <w:p w14:paraId="7A0EA787" w14:textId="199081E2" w:rsidR="000A74F5" w:rsidRDefault="00BB2DE2" w:rsidP="00816BA8">
      <w:pPr>
        <w:pStyle w:val="TableFigureheading"/>
      </w:pPr>
      <w:bookmarkStart w:id="49" w:name="_Ref185835852"/>
      <w:bookmarkStart w:id="50" w:name="_Toc151116337"/>
      <w:bookmarkStart w:id="51" w:name="_Toc187312098"/>
      <w:r w:rsidRPr="0093558C">
        <w:rPr>
          <w:lang w:val="en-PH"/>
        </w:rPr>
        <w:t xml:space="preserve">Figure </w:t>
      </w:r>
      <w:r w:rsidRPr="0093558C">
        <w:rPr>
          <w:iCs w:val="0"/>
          <w:lang w:val="en-PH"/>
        </w:rPr>
        <w:fldChar w:fldCharType="begin"/>
      </w:r>
      <w:r w:rsidRPr="0093558C">
        <w:rPr>
          <w:lang w:val="en-PH"/>
        </w:rPr>
        <w:instrText xml:space="preserve"> SEQ Figure \* ARABIC </w:instrText>
      </w:r>
      <w:r w:rsidRPr="0093558C">
        <w:rPr>
          <w:iCs w:val="0"/>
          <w:lang w:val="en-PH"/>
        </w:rPr>
        <w:fldChar w:fldCharType="separate"/>
      </w:r>
      <w:r w:rsidR="00E537E7">
        <w:rPr>
          <w:noProof/>
          <w:lang w:val="en-PH"/>
        </w:rPr>
        <w:t>2</w:t>
      </w:r>
      <w:r w:rsidRPr="0093558C">
        <w:rPr>
          <w:iCs w:val="0"/>
          <w:lang w:val="en-PH"/>
        </w:rPr>
        <w:fldChar w:fldCharType="end"/>
      </w:r>
      <w:bookmarkEnd w:id="49"/>
      <w:r w:rsidR="005B4919" w:rsidRPr="0093558C">
        <w:rPr>
          <w:lang w:val="en-PH"/>
        </w:rPr>
        <w:t xml:space="preserve">: </w:t>
      </w:r>
      <w:r w:rsidR="000501B8">
        <w:rPr>
          <w:lang w:val="en-PH"/>
        </w:rPr>
        <w:t>Number of establishments</w:t>
      </w:r>
      <w:r w:rsidR="005B4919" w:rsidRPr="0093558C">
        <w:rPr>
          <w:lang w:val="en-PH"/>
        </w:rPr>
        <w:t xml:space="preserve">, </w:t>
      </w:r>
      <w:r w:rsidR="00741BA0" w:rsidRPr="00D73FCC">
        <w:rPr>
          <w:lang w:val="en-PH"/>
        </w:rPr>
        <w:t>2020-21</w:t>
      </w:r>
      <w:r w:rsidR="005B4919" w:rsidRPr="0093558C">
        <w:rPr>
          <w:lang w:val="en-PH"/>
        </w:rPr>
        <w:t xml:space="preserve"> to </w:t>
      </w:r>
      <w:r w:rsidR="004F6C82" w:rsidRPr="008B2CD8">
        <w:rPr>
          <w:lang w:val="en-PH"/>
        </w:rPr>
        <w:t>202</w:t>
      </w:r>
      <w:r w:rsidR="004F6C82">
        <w:rPr>
          <w:lang w:val="en-PH"/>
        </w:rPr>
        <w:t>2</w:t>
      </w:r>
      <w:r w:rsidR="004F6C82" w:rsidRPr="008B2CD8">
        <w:rPr>
          <w:lang w:val="en-PH"/>
        </w:rPr>
        <w:t>-2</w:t>
      </w:r>
      <w:r w:rsidR="004F6C82">
        <w:rPr>
          <w:lang w:val="en-PH"/>
        </w:rPr>
        <w:t>3</w:t>
      </w:r>
      <w:bookmarkEnd w:id="50"/>
      <w:bookmarkEnd w:id="51"/>
    </w:p>
    <w:p w14:paraId="148DD003" w14:textId="293E5517" w:rsidR="00AA2EFC" w:rsidRPr="00CE058E" w:rsidRDefault="00AA2EFC" w:rsidP="0007638E">
      <w:pPr>
        <w:jc w:val="center"/>
        <w:rPr>
          <w:rFonts w:cs="Arial"/>
        </w:rPr>
      </w:pPr>
      <w:r>
        <w:rPr>
          <w:noProof/>
        </w:rPr>
        <w:drawing>
          <wp:inline distT="0" distB="0" distL="0" distR="0" wp14:anchorId="2A979655" wp14:editId="42C4AF39">
            <wp:extent cx="6188400" cy="2520000"/>
            <wp:effectExtent l="0" t="0" r="3175" b="0"/>
            <wp:docPr id="885405911" name="Chart 1">
              <a:extLst xmlns:a="http://schemas.openxmlformats.org/drawingml/2006/main">
                <a:ext uri="{FF2B5EF4-FFF2-40B4-BE49-F238E27FC236}">
                  <a16:creationId xmlns:a16="http://schemas.microsoft.com/office/drawing/2014/main" id="{37528996-4318-4BFB-92F3-FB588AE0A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3789FB" w14:textId="6A3D2D3F" w:rsidR="001118E1" w:rsidRPr="00CE058E" w:rsidRDefault="001118E1" w:rsidP="00A47745">
      <w:pPr>
        <w:pStyle w:val="Heading2"/>
      </w:pPr>
      <w:r w:rsidRPr="00CE058E">
        <w:t>Contracted care</w:t>
      </w:r>
    </w:p>
    <w:p w14:paraId="60C3E9A3" w14:textId="084E2749" w:rsidR="00DC3FFA" w:rsidRPr="00A42FF4" w:rsidRDefault="009063CE" w:rsidP="00070481">
      <w:pPr>
        <w:spacing w:line="276" w:lineRule="auto"/>
        <w:rPr>
          <w:rFonts w:cs="Arial"/>
        </w:rPr>
      </w:pPr>
      <w:r w:rsidRPr="009063CE">
        <w:rPr>
          <w:rFonts w:cs="Arial"/>
        </w:rPr>
        <w:t>A contracted care activity occurs when a public institution, such as a public hospital, commissions another institution, such as a private hospital, to provide a service.</w:t>
      </w:r>
      <w:r>
        <w:rPr>
          <w:rFonts w:cs="Arial"/>
        </w:rPr>
        <w:t xml:space="preserve"> </w:t>
      </w:r>
      <w:r w:rsidR="001118E1" w:rsidRPr="00A42FF4">
        <w:rPr>
          <w:rFonts w:cs="Arial"/>
        </w:rPr>
        <w:t>IHACPA uses</w:t>
      </w:r>
      <w:r>
        <w:rPr>
          <w:rFonts w:cs="Arial"/>
        </w:rPr>
        <w:t xml:space="preserve"> the following</w:t>
      </w:r>
      <w:r w:rsidR="001118E1" w:rsidRPr="00A42FF4">
        <w:rPr>
          <w:rFonts w:cs="Arial"/>
        </w:rPr>
        <w:t xml:space="preserve"> specified data fields in the activity dataset to link the activity records </w:t>
      </w:r>
      <w:r w:rsidR="00301519" w:rsidRPr="00A42FF4">
        <w:rPr>
          <w:rFonts w:cs="Arial"/>
        </w:rPr>
        <w:t xml:space="preserve">to </w:t>
      </w:r>
      <w:r w:rsidR="001118E1" w:rsidRPr="00A42FF4">
        <w:rPr>
          <w:rFonts w:cs="Arial"/>
        </w:rPr>
        <w:t>the cost associated with contracted care</w:t>
      </w:r>
      <w:r>
        <w:rPr>
          <w:rFonts w:cs="Arial"/>
        </w:rPr>
        <w:t xml:space="preserve"> and determine the </w:t>
      </w:r>
      <w:r w:rsidR="001118E1" w:rsidRPr="00A42FF4">
        <w:rPr>
          <w:rFonts w:cs="Arial"/>
        </w:rPr>
        <w:t>contracting arrangement:</w:t>
      </w:r>
    </w:p>
    <w:p w14:paraId="78A8561A" w14:textId="2EDAC576" w:rsidR="001118E1" w:rsidRPr="000A74F5" w:rsidRDefault="00AA2EFC" w:rsidP="008926E3">
      <w:pPr>
        <w:numPr>
          <w:ilvl w:val="0"/>
          <w:numId w:val="14"/>
        </w:numPr>
        <w:spacing w:line="276" w:lineRule="auto"/>
        <w:contextualSpacing/>
        <w:rPr>
          <w:rFonts w:eastAsia="Fira Sans regular" w:cs="Arial"/>
        </w:rPr>
      </w:pPr>
      <w:r>
        <w:rPr>
          <w:rFonts w:eastAsia="Fira Sans regular" w:cs="Arial"/>
        </w:rPr>
        <w:lastRenderedPageBreak/>
        <w:t>Records reporting</w:t>
      </w:r>
      <w:r w:rsidR="001118E1" w:rsidRPr="000A74F5">
        <w:rPr>
          <w:rFonts w:eastAsia="Fira Sans regular" w:cs="Arial"/>
        </w:rPr>
        <w:t xml:space="preserve"> ‘Other hospital or public authority (contracted care)’ </w:t>
      </w:r>
      <w:r>
        <w:rPr>
          <w:rFonts w:eastAsia="Fira Sans regular" w:cs="Arial"/>
        </w:rPr>
        <w:t xml:space="preserve">under the ‘Funding source for hospital patient’ </w:t>
      </w:r>
      <w:r w:rsidR="001118E1" w:rsidRPr="000A74F5">
        <w:rPr>
          <w:rFonts w:eastAsia="Fira Sans regular" w:cs="Arial"/>
        </w:rPr>
        <w:t xml:space="preserve">field identifies instances </w:t>
      </w:r>
      <w:r w:rsidR="00301F51" w:rsidRPr="000A74F5">
        <w:rPr>
          <w:rFonts w:eastAsia="Fira Sans regular" w:cs="Arial"/>
        </w:rPr>
        <w:t xml:space="preserve">where </w:t>
      </w:r>
      <w:r w:rsidR="001118E1" w:rsidRPr="000A74F5">
        <w:rPr>
          <w:rFonts w:eastAsia="Fira Sans regular" w:cs="Arial"/>
        </w:rPr>
        <w:t>a patient’s care is funded from a public source through a contract.</w:t>
      </w:r>
    </w:p>
    <w:p w14:paraId="1F6EDFA4" w14:textId="35EA7DAB" w:rsidR="00DC3FFA" w:rsidRPr="003B117A" w:rsidRDefault="001118E1" w:rsidP="008926E3">
      <w:pPr>
        <w:numPr>
          <w:ilvl w:val="0"/>
          <w:numId w:val="14"/>
        </w:numPr>
        <w:spacing w:line="276" w:lineRule="auto"/>
        <w:contextualSpacing/>
        <w:rPr>
          <w:rFonts w:cs="Arial"/>
        </w:rPr>
      </w:pPr>
      <w:r w:rsidRPr="00DC3FFA">
        <w:rPr>
          <w:rFonts w:cs="Arial"/>
        </w:rPr>
        <w:t>The ‘</w:t>
      </w:r>
      <w:r w:rsidR="00206AAE">
        <w:rPr>
          <w:rFonts w:cs="Arial"/>
        </w:rPr>
        <w:t>I</w:t>
      </w:r>
      <w:r w:rsidRPr="00DC3FFA">
        <w:rPr>
          <w:rFonts w:cs="Arial"/>
        </w:rPr>
        <w:t xml:space="preserve">nter-hospital contracted patient status’ field </w:t>
      </w:r>
      <w:r w:rsidR="00AA2EFC">
        <w:rPr>
          <w:rFonts w:cs="Arial"/>
        </w:rPr>
        <w:t>indicates that a patient received contracted care</w:t>
      </w:r>
      <w:r w:rsidRPr="00DC3FFA">
        <w:rPr>
          <w:rFonts w:cs="Arial"/>
        </w:rPr>
        <w:t>.</w:t>
      </w:r>
    </w:p>
    <w:p w14:paraId="7DA23F36" w14:textId="667E8DAF" w:rsidR="007261EA" w:rsidRPr="00A42FF4" w:rsidRDefault="00183C52" w:rsidP="00F30A98">
      <w:pPr>
        <w:spacing w:before="240" w:line="276" w:lineRule="auto"/>
        <w:rPr>
          <w:rFonts w:cs="Arial"/>
        </w:rPr>
      </w:pPr>
      <w:r w:rsidRPr="00183C52">
        <w:rPr>
          <w:rFonts w:cs="Arial"/>
        </w:rPr>
        <w:fldChar w:fldCharType="begin"/>
      </w:r>
      <w:r w:rsidRPr="00183C52">
        <w:rPr>
          <w:rFonts w:cs="Arial"/>
        </w:rPr>
        <w:instrText xml:space="preserve"> REF _Ref185835870 \h </w:instrText>
      </w:r>
      <w:r w:rsidRPr="00183C52">
        <w:rPr>
          <w:rFonts w:cs="Arial"/>
        </w:rPr>
      </w:r>
      <w:r w:rsidRPr="00183C52">
        <w:rPr>
          <w:rFonts w:cs="Arial"/>
        </w:rPr>
        <w:fldChar w:fldCharType="separate"/>
      </w:r>
      <w:r w:rsidRPr="00296833">
        <w:rPr>
          <w:rFonts w:cstheme="majorBidi"/>
          <w:lang w:val="en-PH"/>
        </w:rPr>
        <w:t xml:space="preserve">Table </w:t>
      </w:r>
      <w:r w:rsidRPr="00296833">
        <w:rPr>
          <w:rFonts w:cstheme="majorBidi"/>
          <w:noProof/>
          <w:lang w:val="en-PH"/>
        </w:rPr>
        <w:t>4</w:t>
      </w:r>
      <w:r w:rsidRPr="00183C52">
        <w:rPr>
          <w:rFonts w:cs="Arial"/>
        </w:rPr>
        <w:fldChar w:fldCharType="end"/>
      </w:r>
      <w:r w:rsidR="00E04E12" w:rsidRPr="00183C52">
        <w:rPr>
          <w:rFonts w:cs="Arial"/>
        </w:rPr>
        <w:t xml:space="preserve"> </w:t>
      </w:r>
      <w:r w:rsidR="00E04E12" w:rsidRPr="00A42FF4">
        <w:rPr>
          <w:rFonts w:cs="Arial"/>
        </w:rPr>
        <w:t>shows the contracted care records and cost</w:t>
      </w:r>
      <w:r w:rsidR="00BB0E81" w:rsidRPr="00A42FF4">
        <w:rPr>
          <w:rFonts w:cs="Arial"/>
        </w:rPr>
        <w:t xml:space="preserve"> by jurisdiction from </w:t>
      </w:r>
      <w:r w:rsidR="00646372" w:rsidRPr="00A42FF4">
        <w:rPr>
          <w:rFonts w:cs="Arial"/>
        </w:rPr>
        <w:t>202</w:t>
      </w:r>
      <w:r w:rsidR="00206AAE">
        <w:rPr>
          <w:rFonts w:cs="Arial"/>
        </w:rPr>
        <w:t>0</w:t>
      </w:r>
      <w:r w:rsidR="00646372" w:rsidRPr="00A42FF4">
        <w:rPr>
          <w:rFonts w:cs="Arial"/>
        </w:rPr>
        <w:t>-2</w:t>
      </w:r>
      <w:r w:rsidR="00206AAE">
        <w:rPr>
          <w:rFonts w:cs="Arial"/>
        </w:rPr>
        <w:t>1</w:t>
      </w:r>
      <w:r w:rsidR="00BB0E81" w:rsidRPr="00A42FF4">
        <w:rPr>
          <w:rFonts w:cs="Arial"/>
        </w:rPr>
        <w:t xml:space="preserve"> to </w:t>
      </w:r>
      <w:r w:rsidR="00831766" w:rsidRPr="0044452F">
        <w:rPr>
          <w:rFonts w:cs="Arial"/>
        </w:rPr>
        <w:t>2022-23</w:t>
      </w:r>
      <w:r w:rsidR="00BB0E81" w:rsidRPr="00A42FF4">
        <w:rPr>
          <w:rFonts w:cs="Arial"/>
        </w:rPr>
        <w:t>.</w:t>
      </w:r>
      <w:r w:rsidR="005218E1" w:rsidRPr="00A42FF4">
        <w:rPr>
          <w:rFonts w:cs="Arial"/>
        </w:rPr>
        <w:t xml:space="preserve"> Nationally, contracted care records have increased by </w:t>
      </w:r>
      <w:r w:rsidR="000A45B6" w:rsidRPr="00A42FF4">
        <w:rPr>
          <w:rFonts w:cs="Arial"/>
        </w:rPr>
        <w:t>52,46</w:t>
      </w:r>
      <w:r w:rsidR="00727411">
        <w:rPr>
          <w:rFonts w:cs="Arial"/>
        </w:rPr>
        <w:t>7</w:t>
      </w:r>
      <w:r w:rsidR="005218E1" w:rsidRPr="00A42FF4">
        <w:rPr>
          <w:rFonts w:cs="Arial"/>
        </w:rPr>
        <w:t xml:space="preserve"> </w:t>
      </w:r>
      <w:r w:rsidR="00D93836" w:rsidRPr="00A42FF4">
        <w:rPr>
          <w:rFonts w:cs="Arial"/>
        </w:rPr>
        <w:t>(</w:t>
      </w:r>
      <w:r w:rsidR="005218E1" w:rsidRPr="00A42FF4">
        <w:rPr>
          <w:rFonts w:cs="Arial"/>
        </w:rPr>
        <w:t xml:space="preserve">or </w:t>
      </w:r>
      <w:r w:rsidR="000A45B6" w:rsidRPr="00A42FF4">
        <w:rPr>
          <w:rFonts w:cs="Arial"/>
        </w:rPr>
        <w:t>20</w:t>
      </w:r>
      <w:r w:rsidR="00897090" w:rsidRPr="00A42FF4">
        <w:rPr>
          <w:rFonts w:cs="Arial"/>
        </w:rPr>
        <w:t>%</w:t>
      </w:r>
      <w:r w:rsidR="00D93836" w:rsidRPr="00A42FF4">
        <w:rPr>
          <w:rFonts w:cs="Arial"/>
        </w:rPr>
        <w:t>)</w:t>
      </w:r>
      <w:r w:rsidR="005218E1" w:rsidRPr="00A42FF4">
        <w:rPr>
          <w:rFonts w:cs="Arial"/>
        </w:rPr>
        <w:t xml:space="preserve"> and </w:t>
      </w:r>
      <w:r w:rsidR="000501B8">
        <w:rPr>
          <w:rFonts w:cs="Arial"/>
        </w:rPr>
        <w:t xml:space="preserve">the </w:t>
      </w:r>
      <w:r w:rsidR="005218E1" w:rsidRPr="00A42FF4">
        <w:rPr>
          <w:rFonts w:cs="Arial"/>
        </w:rPr>
        <w:t xml:space="preserve">cost increased </w:t>
      </w:r>
      <w:r w:rsidR="000501B8">
        <w:rPr>
          <w:rFonts w:cs="Arial"/>
        </w:rPr>
        <w:t xml:space="preserve">by </w:t>
      </w:r>
      <w:r w:rsidR="00204E81" w:rsidRPr="00A42FF4">
        <w:rPr>
          <w:rFonts w:cs="Arial"/>
        </w:rPr>
        <w:t>$2</w:t>
      </w:r>
      <w:r w:rsidR="00D3035E">
        <w:rPr>
          <w:rFonts w:cs="Arial"/>
        </w:rPr>
        <w:t>59.9</w:t>
      </w:r>
      <w:r w:rsidR="00204E81">
        <w:rPr>
          <w:rFonts w:cs="Arial"/>
        </w:rPr>
        <w:t> </w:t>
      </w:r>
      <w:r w:rsidR="00204E81" w:rsidRPr="00A42FF4">
        <w:rPr>
          <w:rFonts w:cs="Arial"/>
        </w:rPr>
        <w:t xml:space="preserve">million (or 27%) from 2021-22 to </w:t>
      </w:r>
      <w:r w:rsidR="00204E81" w:rsidRPr="0044452F">
        <w:rPr>
          <w:rFonts w:cs="Arial"/>
        </w:rPr>
        <w:t>2022-23</w:t>
      </w:r>
      <w:r w:rsidR="00204E81" w:rsidRPr="00A42FF4">
        <w:rPr>
          <w:rFonts w:cs="Arial"/>
        </w:rPr>
        <w:t>.</w:t>
      </w:r>
      <w:r w:rsidR="00791FF8">
        <w:rPr>
          <w:rFonts w:cs="Arial"/>
        </w:rPr>
        <w:t xml:space="preserve"> The increase was driven by Victoria</w:t>
      </w:r>
      <w:r w:rsidR="008926E3">
        <w:rPr>
          <w:rFonts w:cs="Arial"/>
        </w:rPr>
        <w:t xml:space="preserve">, reporting </w:t>
      </w:r>
      <w:r w:rsidR="005227CB">
        <w:rPr>
          <w:rFonts w:cs="Arial"/>
        </w:rPr>
        <w:t xml:space="preserve">a larger volume of contracted care with an increase of </w:t>
      </w:r>
      <w:r w:rsidR="00791FF8">
        <w:rPr>
          <w:rFonts w:cs="Arial"/>
        </w:rPr>
        <w:t>15,28</w:t>
      </w:r>
      <w:r w:rsidR="00774E09">
        <w:rPr>
          <w:rFonts w:cs="Arial"/>
        </w:rPr>
        <w:t>9</w:t>
      </w:r>
      <w:r w:rsidR="00791FF8">
        <w:rPr>
          <w:rFonts w:cs="Arial"/>
        </w:rPr>
        <w:t xml:space="preserve"> records (or 72%) and $14</w:t>
      </w:r>
      <w:r w:rsidR="00B66894">
        <w:rPr>
          <w:rFonts w:cs="Arial"/>
        </w:rPr>
        <w:t>0</w:t>
      </w:r>
      <w:r w:rsidR="00791FF8">
        <w:rPr>
          <w:rFonts w:cs="Arial"/>
        </w:rPr>
        <w:t>.</w:t>
      </w:r>
      <w:r w:rsidR="00B66894">
        <w:rPr>
          <w:rFonts w:cs="Arial"/>
        </w:rPr>
        <w:t>3</w:t>
      </w:r>
      <w:r w:rsidR="00791FF8">
        <w:rPr>
          <w:rFonts w:cs="Arial"/>
        </w:rPr>
        <w:t xml:space="preserve"> million cost (or 1</w:t>
      </w:r>
      <w:r w:rsidR="00124A1A">
        <w:rPr>
          <w:rFonts w:cs="Arial"/>
        </w:rPr>
        <w:t>28</w:t>
      </w:r>
      <w:r w:rsidR="00791FF8">
        <w:rPr>
          <w:rFonts w:cs="Arial"/>
        </w:rPr>
        <w:t>%)</w:t>
      </w:r>
      <w:r w:rsidR="00E00752">
        <w:rPr>
          <w:rFonts w:cs="Arial"/>
        </w:rPr>
        <w:t xml:space="preserve"> in 2022-23</w:t>
      </w:r>
      <w:r w:rsidR="00791FF8">
        <w:rPr>
          <w:rFonts w:cs="Arial"/>
        </w:rPr>
        <w:t xml:space="preserve">. The admitted acute stream </w:t>
      </w:r>
      <w:r w:rsidR="00D2396E">
        <w:rPr>
          <w:rFonts w:cs="Arial"/>
        </w:rPr>
        <w:t>had the greatest increase of</w:t>
      </w:r>
      <w:r w:rsidR="00791FF8">
        <w:rPr>
          <w:rFonts w:cs="Arial"/>
        </w:rPr>
        <w:t xml:space="preserve"> 41,603 records (or 17%) and $212.2 million cost (or 26%).</w:t>
      </w:r>
    </w:p>
    <w:p w14:paraId="1E209EB7" w14:textId="408D42F5" w:rsidR="00D304E7" w:rsidRDefault="00524BC6" w:rsidP="00296833">
      <w:pPr>
        <w:pStyle w:val="TableFigureheading"/>
      </w:pPr>
      <w:bookmarkStart w:id="52" w:name="_Ref185835870"/>
      <w:bookmarkStart w:id="53" w:name="_Toc149650904"/>
      <w:bookmarkStart w:id="54" w:name="_Toc177467506"/>
      <w:bookmarkStart w:id="55" w:name="_Toc185852211"/>
      <w:bookmarkStart w:id="56" w:name="_Toc187312130"/>
      <w:r w:rsidRPr="0093558C">
        <w:rPr>
          <w:lang w:val="en-PH"/>
        </w:rPr>
        <w:t xml:space="preserve">Table </w:t>
      </w:r>
      <w:r w:rsidRPr="0093558C">
        <w:rPr>
          <w:iCs w:val="0"/>
          <w:lang w:val="en-PH"/>
        </w:rPr>
        <w:fldChar w:fldCharType="begin"/>
      </w:r>
      <w:r w:rsidRPr="0093558C">
        <w:rPr>
          <w:lang w:val="en-PH"/>
        </w:rPr>
        <w:instrText xml:space="preserve"> SEQ Table \* ARABIC </w:instrText>
      </w:r>
      <w:r w:rsidRPr="0093558C">
        <w:rPr>
          <w:iCs w:val="0"/>
          <w:lang w:val="en-PH"/>
        </w:rPr>
        <w:fldChar w:fldCharType="separate"/>
      </w:r>
      <w:r w:rsidR="003523AB">
        <w:rPr>
          <w:noProof/>
          <w:lang w:val="en-PH"/>
        </w:rPr>
        <w:t>4</w:t>
      </w:r>
      <w:r w:rsidRPr="0093558C">
        <w:rPr>
          <w:iCs w:val="0"/>
          <w:lang w:val="en-PH"/>
        </w:rPr>
        <w:fldChar w:fldCharType="end"/>
      </w:r>
      <w:bookmarkEnd w:id="52"/>
      <w:r w:rsidRPr="0093558C">
        <w:rPr>
          <w:lang w:val="en-PH"/>
        </w:rPr>
        <w:t xml:space="preserve">: Contracted care records and cost, </w:t>
      </w:r>
      <w:r w:rsidR="00741BA0" w:rsidRPr="00D73FCC">
        <w:rPr>
          <w:lang w:val="en-PH"/>
        </w:rPr>
        <w:t>2020-21</w:t>
      </w:r>
      <w:r w:rsidR="00D73FCC">
        <w:rPr>
          <w:lang w:val="en-PH"/>
        </w:rPr>
        <w:t xml:space="preserve"> </w:t>
      </w:r>
      <w:r w:rsidRPr="0093558C">
        <w:rPr>
          <w:lang w:val="en-PH"/>
        </w:rPr>
        <w:t xml:space="preserve">to </w:t>
      </w:r>
      <w:r w:rsidR="004F6C82" w:rsidRPr="008B2CD8">
        <w:rPr>
          <w:lang w:val="en-PH"/>
        </w:rPr>
        <w:t>202</w:t>
      </w:r>
      <w:r w:rsidR="004F6C82">
        <w:rPr>
          <w:lang w:val="en-PH"/>
        </w:rPr>
        <w:t>2</w:t>
      </w:r>
      <w:r w:rsidR="004F6C82" w:rsidRPr="008B2CD8">
        <w:rPr>
          <w:lang w:val="en-PH"/>
        </w:rPr>
        <w:t>-2</w:t>
      </w:r>
      <w:r w:rsidR="004F6C82">
        <w:rPr>
          <w:lang w:val="en-PH"/>
        </w:rPr>
        <w:t>3</w:t>
      </w:r>
      <w:bookmarkStart w:id="57" w:name="_Toc151129686"/>
      <w:bookmarkStart w:id="58" w:name="_Toc158882537"/>
      <w:bookmarkStart w:id="59" w:name="_Toc158882598"/>
      <w:bookmarkEnd w:id="53"/>
      <w:bookmarkEnd w:id="54"/>
      <w:bookmarkEnd w:id="55"/>
      <w:bookmarkEnd w:id="56"/>
    </w:p>
    <w:tbl>
      <w:tblPr>
        <w:tblStyle w:val="IHPATable"/>
        <w:tblW w:w="9781" w:type="dxa"/>
        <w:tblLayout w:type="fixed"/>
        <w:tblLook w:val="0020" w:firstRow="1" w:lastRow="0" w:firstColumn="0" w:lastColumn="0" w:noHBand="0" w:noVBand="0"/>
      </w:tblPr>
      <w:tblGrid>
        <w:gridCol w:w="1191"/>
        <w:gridCol w:w="1219"/>
        <w:gridCol w:w="1559"/>
        <w:gridCol w:w="1418"/>
        <w:gridCol w:w="1559"/>
        <w:gridCol w:w="1276"/>
        <w:gridCol w:w="1559"/>
      </w:tblGrid>
      <w:tr w:rsidR="00F65212" w:rsidRPr="00077CF5" w14:paraId="7070B2C4" w14:textId="77777777" w:rsidTr="007927F9">
        <w:trPr>
          <w:cnfStyle w:val="100000000000" w:firstRow="1" w:lastRow="0" w:firstColumn="0" w:lastColumn="0" w:oddVBand="0" w:evenVBand="0" w:oddHBand="0" w:evenHBand="0" w:firstRowFirstColumn="0" w:firstRowLastColumn="0" w:lastRowFirstColumn="0" w:lastRowLastColumn="0"/>
          <w:trHeight w:val="20"/>
        </w:trPr>
        <w:tc>
          <w:tcPr>
            <w:tcW w:w="1191" w:type="dxa"/>
            <w:vMerge w:val="restart"/>
            <w:tcBorders>
              <w:right w:val="single" w:sz="4" w:space="0" w:color="FFFFFF" w:themeColor="background2"/>
            </w:tcBorders>
            <w:shd w:val="clear" w:color="auto" w:fill="15272F" w:themeFill="text1"/>
            <w:vAlign w:val="center"/>
          </w:tcPr>
          <w:p w14:paraId="041849F1" w14:textId="18A4AE49" w:rsidR="00F65212" w:rsidRPr="004C6298" w:rsidRDefault="00F65212" w:rsidP="009940F3">
            <w:pPr>
              <w:spacing w:before="40" w:after="40"/>
              <w:jc w:val="center"/>
              <w:rPr>
                <w:rFonts w:cs="Arial"/>
                <w:b/>
                <w:color w:val="FFFFFF" w:themeColor="background2"/>
                <w:sz w:val="16"/>
                <w:szCs w:val="16"/>
                <w:lang w:val="en-US"/>
              </w:rPr>
            </w:pPr>
            <w:r w:rsidRPr="009940F3">
              <w:rPr>
                <w:rFonts w:cs="Arial"/>
                <w:b/>
                <w:bCs/>
                <w:color w:val="FFFFFF" w:themeColor="background2"/>
                <w:sz w:val="16"/>
                <w:szCs w:val="16"/>
              </w:rPr>
              <w:t>Jurisdiction</w:t>
            </w:r>
          </w:p>
        </w:tc>
        <w:tc>
          <w:tcPr>
            <w:tcW w:w="2778" w:type="dxa"/>
            <w:gridSpan w:val="2"/>
            <w:tcBorders>
              <w:left w:val="single" w:sz="4" w:space="0" w:color="FFFFFF" w:themeColor="background2"/>
              <w:right w:val="single" w:sz="4" w:space="0" w:color="FFFFFF" w:themeColor="background2"/>
            </w:tcBorders>
            <w:shd w:val="clear" w:color="auto" w:fill="15272F" w:themeFill="text1"/>
            <w:vAlign w:val="center"/>
          </w:tcPr>
          <w:p w14:paraId="32D95C52" w14:textId="77777777" w:rsidR="00F65212" w:rsidRPr="004C6298" w:rsidRDefault="00F65212" w:rsidP="009940F3">
            <w:pPr>
              <w:spacing w:before="40" w:after="40"/>
              <w:jc w:val="center"/>
              <w:rPr>
                <w:rFonts w:cs="Arial"/>
                <w:b/>
                <w:color w:val="FFFFFF" w:themeColor="background2"/>
                <w:sz w:val="16"/>
                <w:szCs w:val="16"/>
                <w:lang w:val="en-US"/>
              </w:rPr>
            </w:pPr>
            <w:r w:rsidRPr="004C6298">
              <w:rPr>
                <w:rFonts w:cs="Arial"/>
                <w:b/>
                <w:color w:val="FFFFFF" w:themeColor="background2"/>
                <w:sz w:val="16"/>
                <w:szCs w:val="16"/>
                <w:lang w:val="en-US"/>
              </w:rPr>
              <w:t>2020-21</w:t>
            </w:r>
          </w:p>
        </w:tc>
        <w:tc>
          <w:tcPr>
            <w:tcW w:w="2977" w:type="dxa"/>
            <w:gridSpan w:val="2"/>
            <w:tcBorders>
              <w:left w:val="single" w:sz="4" w:space="0" w:color="FFFFFF" w:themeColor="background2"/>
              <w:right w:val="single" w:sz="4" w:space="0" w:color="FFFFFF" w:themeColor="background2"/>
            </w:tcBorders>
            <w:shd w:val="clear" w:color="auto" w:fill="15272F" w:themeFill="text1"/>
            <w:vAlign w:val="center"/>
          </w:tcPr>
          <w:p w14:paraId="57B7915A" w14:textId="77777777" w:rsidR="00F65212" w:rsidRPr="004C6298" w:rsidRDefault="00F65212" w:rsidP="009940F3">
            <w:pPr>
              <w:spacing w:before="40" w:after="40"/>
              <w:jc w:val="center"/>
              <w:rPr>
                <w:rFonts w:cs="Arial"/>
                <w:b/>
                <w:color w:val="FFFFFF" w:themeColor="background2"/>
                <w:sz w:val="16"/>
                <w:szCs w:val="16"/>
                <w:lang w:val="en-US"/>
              </w:rPr>
            </w:pPr>
            <w:r w:rsidRPr="004C6298">
              <w:rPr>
                <w:rFonts w:cs="Arial"/>
                <w:b/>
                <w:color w:val="FFFFFF" w:themeColor="background2"/>
                <w:sz w:val="16"/>
                <w:szCs w:val="16"/>
                <w:lang w:val="en-US"/>
              </w:rPr>
              <w:t>2021-22</w:t>
            </w:r>
          </w:p>
        </w:tc>
        <w:tc>
          <w:tcPr>
            <w:tcW w:w="2835" w:type="dxa"/>
            <w:gridSpan w:val="2"/>
            <w:tcBorders>
              <w:left w:val="single" w:sz="4" w:space="0" w:color="FFFFFF" w:themeColor="background2"/>
            </w:tcBorders>
            <w:shd w:val="clear" w:color="auto" w:fill="15272F" w:themeFill="text1"/>
            <w:vAlign w:val="center"/>
          </w:tcPr>
          <w:p w14:paraId="38500230" w14:textId="77777777" w:rsidR="00F65212" w:rsidRPr="004C6298" w:rsidRDefault="00F65212" w:rsidP="009940F3">
            <w:pPr>
              <w:spacing w:before="40" w:after="40"/>
              <w:jc w:val="center"/>
              <w:rPr>
                <w:rFonts w:cs="Arial"/>
                <w:b/>
                <w:color w:val="FFFFFF" w:themeColor="background2"/>
                <w:sz w:val="16"/>
                <w:szCs w:val="16"/>
                <w:lang w:val="en-US"/>
              </w:rPr>
            </w:pPr>
            <w:r w:rsidRPr="004C6298">
              <w:rPr>
                <w:rFonts w:cs="Arial"/>
                <w:b/>
                <w:color w:val="FFFFFF" w:themeColor="background2"/>
                <w:sz w:val="16"/>
                <w:szCs w:val="16"/>
                <w:lang w:val="en-US"/>
              </w:rPr>
              <w:t>2022-23</w:t>
            </w:r>
          </w:p>
        </w:tc>
      </w:tr>
      <w:tr w:rsidR="00F65212" w:rsidRPr="00C219EA" w14:paraId="738CC62A" w14:textId="77777777" w:rsidTr="007927F9">
        <w:trPr>
          <w:cnfStyle w:val="000000100000" w:firstRow="0" w:lastRow="0" w:firstColumn="0" w:lastColumn="0" w:oddVBand="0" w:evenVBand="0" w:oddHBand="1" w:evenHBand="0" w:firstRowFirstColumn="0" w:firstRowLastColumn="0" w:lastRowFirstColumn="0" w:lastRowLastColumn="0"/>
          <w:trHeight w:val="20"/>
        </w:trPr>
        <w:tc>
          <w:tcPr>
            <w:tcW w:w="1191" w:type="dxa"/>
            <w:vMerge/>
            <w:tcBorders>
              <w:right w:val="single" w:sz="4" w:space="0" w:color="FFFFFF" w:themeColor="background2"/>
            </w:tcBorders>
            <w:shd w:val="clear" w:color="auto" w:fill="DFEBF1" w:themeFill="text2" w:themeFillTint="1A"/>
          </w:tcPr>
          <w:p w14:paraId="2E870669" w14:textId="63A05333" w:rsidR="00F65212" w:rsidRPr="004C6298" w:rsidRDefault="00F65212" w:rsidP="009940F3">
            <w:pPr>
              <w:spacing w:before="40" w:after="40"/>
              <w:jc w:val="center"/>
              <w:rPr>
                <w:rFonts w:cs="Arial"/>
                <w:b/>
                <w:color w:val="000000"/>
                <w:sz w:val="16"/>
                <w:szCs w:val="16"/>
                <w:lang w:val="en-US"/>
              </w:rPr>
            </w:pPr>
          </w:p>
        </w:tc>
        <w:tc>
          <w:tcPr>
            <w:tcW w:w="1219" w:type="dxa"/>
            <w:tcBorders>
              <w:left w:val="single" w:sz="4" w:space="0" w:color="FFFFFF" w:themeColor="background2"/>
              <w:right w:val="single" w:sz="4" w:space="0" w:color="FFFFFF" w:themeColor="background2"/>
            </w:tcBorders>
            <w:shd w:val="clear" w:color="auto" w:fill="15272F" w:themeFill="text2"/>
          </w:tcPr>
          <w:p w14:paraId="0D0DB1B4" w14:textId="77777777" w:rsidR="00F65212" w:rsidRPr="009940F3" w:rsidRDefault="00F65212" w:rsidP="009940F3">
            <w:pPr>
              <w:spacing w:before="40" w:after="40"/>
              <w:jc w:val="center"/>
              <w:rPr>
                <w:rFonts w:cs="Arial"/>
                <w:b/>
                <w:bCs/>
                <w:color w:val="FFFFFF" w:themeColor="background2"/>
                <w:sz w:val="16"/>
                <w:szCs w:val="16"/>
              </w:rPr>
            </w:pPr>
            <w:r w:rsidRPr="009940F3">
              <w:rPr>
                <w:rFonts w:cs="Arial"/>
                <w:b/>
                <w:bCs/>
                <w:color w:val="FFFFFF" w:themeColor="background2"/>
                <w:sz w:val="16"/>
                <w:szCs w:val="16"/>
              </w:rPr>
              <w:t>Records</w:t>
            </w:r>
          </w:p>
        </w:tc>
        <w:tc>
          <w:tcPr>
            <w:tcW w:w="1559" w:type="dxa"/>
            <w:tcBorders>
              <w:left w:val="single" w:sz="4" w:space="0" w:color="FFFFFF" w:themeColor="background2"/>
              <w:right w:val="single" w:sz="4" w:space="0" w:color="FFFFFF" w:themeColor="background2"/>
            </w:tcBorders>
            <w:shd w:val="clear" w:color="auto" w:fill="15272F" w:themeFill="text2"/>
          </w:tcPr>
          <w:p w14:paraId="61670BC6" w14:textId="77777777" w:rsidR="00F65212" w:rsidRPr="009940F3" w:rsidRDefault="00F65212" w:rsidP="009940F3">
            <w:pPr>
              <w:spacing w:before="40" w:after="40"/>
              <w:jc w:val="center"/>
              <w:rPr>
                <w:rFonts w:cs="Arial"/>
                <w:b/>
                <w:bCs/>
                <w:color w:val="FFFFFF" w:themeColor="background2"/>
                <w:sz w:val="16"/>
                <w:szCs w:val="16"/>
              </w:rPr>
            </w:pPr>
            <w:r w:rsidRPr="009940F3">
              <w:rPr>
                <w:rFonts w:cs="Arial"/>
                <w:b/>
                <w:bCs/>
                <w:color w:val="FFFFFF" w:themeColor="background2"/>
                <w:sz w:val="16"/>
                <w:szCs w:val="16"/>
              </w:rPr>
              <w:t>Cost ($)</w:t>
            </w:r>
          </w:p>
        </w:tc>
        <w:tc>
          <w:tcPr>
            <w:tcW w:w="1418" w:type="dxa"/>
            <w:tcBorders>
              <w:left w:val="single" w:sz="4" w:space="0" w:color="FFFFFF" w:themeColor="background2"/>
              <w:right w:val="single" w:sz="4" w:space="0" w:color="FFFFFF" w:themeColor="background2"/>
            </w:tcBorders>
            <w:shd w:val="clear" w:color="auto" w:fill="15272F" w:themeFill="text2"/>
          </w:tcPr>
          <w:p w14:paraId="493B8C69" w14:textId="77777777" w:rsidR="00F65212" w:rsidRPr="004C6298" w:rsidRDefault="00F65212" w:rsidP="009940F3">
            <w:pPr>
              <w:spacing w:before="40" w:after="40"/>
              <w:jc w:val="center"/>
              <w:rPr>
                <w:rFonts w:cs="Arial"/>
                <w:b/>
                <w:color w:val="FFFFFF" w:themeColor="background2"/>
                <w:sz w:val="16"/>
                <w:szCs w:val="16"/>
                <w:lang w:val="en-US"/>
              </w:rPr>
            </w:pPr>
            <w:r w:rsidRPr="009940F3">
              <w:rPr>
                <w:rFonts w:cs="Arial"/>
                <w:b/>
                <w:bCs/>
                <w:color w:val="FFFFFF" w:themeColor="background2"/>
                <w:sz w:val="16"/>
                <w:szCs w:val="16"/>
              </w:rPr>
              <w:t>Records</w:t>
            </w:r>
          </w:p>
        </w:tc>
        <w:tc>
          <w:tcPr>
            <w:tcW w:w="1559" w:type="dxa"/>
            <w:tcBorders>
              <w:left w:val="single" w:sz="4" w:space="0" w:color="FFFFFF" w:themeColor="background2"/>
              <w:right w:val="single" w:sz="4" w:space="0" w:color="FFFFFF" w:themeColor="background2"/>
            </w:tcBorders>
            <w:shd w:val="clear" w:color="auto" w:fill="15272F" w:themeFill="text2"/>
          </w:tcPr>
          <w:p w14:paraId="0C867E0D" w14:textId="77777777" w:rsidR="00F65212" w:rsidRPr="004C6298" w:rsidRDefault="00F65212" w:rsidP="009940F3">
            <w:pPr>
              <w:spacing w:before="40" w:after="40"/>
              <w:jc w:val="center"/>
              <w:rPr>
                <w:rFonts w:cs="Arial"/>
                <w:b/>
                <w:color w:val="FFFFFF" w:themeColor="background2"/>
                <w:sz w:val="16"/>
                <w:szCs w:val="16"/>
                <w:lang w:val="en-US"/>
              </w:rPr>
            </w:pPr>
            <w:r w:rsidRPr="009940F3">
              <w:rPr>
                <w:rFonts w:cs="Arial"/>
                <w:b/>
                <w:bCs/>
                <w:color w:val="FFFFFF" w:themeColor="background2"/>
                <w:sz w:val="16"/>
                <w:szCs w:val="16"/>
              </w:rPr>
              <w:t>Cost ($)</w:t>
            </w:r>
          </w:p>
        </w:tc>
        <w:tc>
          <w:tcPr>
            <w:tcW w:w="1276" w:type="dxa"/>
            <w:tcBorders>
              <w:left w:val="single" w:sz="4" w:space="0" w:color="FFFFFF" w:themeColor="background2"/>
              <w:right w:val="single" w:sz="4" w:space="0" w:color="FFFFFF" w:themeColor="background2"/>
            </w:tcBorders>
            <w:shd w:val="clear" w:color="auto" w:fill="15272F" w:themeFill="text2"/>
          </w:tcPr>
          <w:p w14:paraId="1E9E6D66" w14:textId="77777777" w:rsidR="00F65212" w:rsidRPr="009940F3" w:rsidRDefault="00F65212" w:rsidP="009940F3">
            <w:pPr>
              <w:spacing w:before="40" w:after="40"/>
              <w:jc w:val="center"/>
              <w:rPr>
                <w:rFonts w:cs="Arial"/>
                <w:b/>
                <w:bCs/>
                <w:color w:val="FFFFFF" w:themeColor="background2"/>
                <w:sz w:val="16"/>
                <w:szCs w:val="16"/>
              </w:rPr>
            </w:pPr>
            <w:r w:rsidRPr="009940F3">
              <w:rPr>
                <w:rFonts w:cs="Arial"/>
                <w:b/>
                <w:bCs/>
                <w:color w:val="FFFFFF" w:themeColor="background2"/>
                <w:sz w:val="16"/>
                <w:szCs w:val="16"/>
              </w:rPr>
              <w:t>Records</w:t>
            </w:r>
          </w:p>
        </w:tc>
        <w:tc>
          <w:tcPr>
            <w:tcW w:w="1559" w:type="dxa"/>
            <w:tcBorders>
              <w:left w:val="single" w:sz="4" w:space="0" w:color="FFFFFF" w:themeColor="background2"/>
              <w:right w:val="single" w:sz="4" w:space="0" w:color="FFFFFF" w:themeColor="background2"/>
            </w:tcBorders>
            <w:shd w:val="clear" w:color="auto" w:fill="15272F" w:themeFill="text2"/>
          </w:tcPr>
          <w:p w14:paraId="3ED7B021" w14:textId="77777777" w:rsidR="00F65212" w:rsidRPr="009940F3" w:rsidRDefault="00F65212" w:rsidP="009940F3">
            <w:pPr>
              <w:spacing w:before="40" w:after="40"/>
              <w:jc w:val="center"/>
              <w:rPr>
                <w:rFonts w:cs="Arial"/>
                <w:b/>
                <w:bCs/>
                <w:color w:val="FFFFFF" w:themeColor="background2"/>
                <w:sz w:val="16"/>
                <w:szCs w:val="16"/>
              </w:rPr>
            </w:pPr>
            <w:r w:rsidRPr="009940F3">
              <w:rPr>
                <w:rFonts w:cs="Arial"/>
                <w:b/>
                <w:bCs/>
                <w:color w:val="FFFFFF" w:themeColor="background2"/>
                <w:sz w:val="16"/>
                <w:szCs w:val="16"/>
              </w:rPr>
              <w:t>Cost ($)</w:t>
            </w:r>
          </w:p>
        </w:tc>
      </w:tr>
      <w:tr w:rsidR="000A45B6" w:rsidRPr="00C219EA" w14:paraId="297C51A7" w14:textId="77777777" w:rsidTr="007927F9">
        <w:trPr>
          <w:cnfStyle w:val="000000010000" w:firstRow="0" w:lastRow="0" w:firstColumn="0" w:lastColumn="0" w:oddVBand="0" w:evenVBand="0" w:oddHBand="0" w:evenHBand="1" w:firstRowFirstColumn="0" w:firstRowLastColumn="0" w:lastRowFirstColumn="0" w:lastRowLastColumn="0"/>
          <w:trHeight w:val="20"/>
        </w:trPr>
        <w:tc>
          <w:tcPr>
            <w:tcW w:w="1191" w:type="dxa"/>
            <w:tcBorders>
              <w:bottom w:val="single" w:sz="4" w:space="0" w:color="D9D9D9" w:themeColor="background2" w:themeShade="D9"/>
              <w:right w:val="single" w:sz="4" w:space="0" w:color="FFFFFF" w:themeColor="background2"/>
            </w:tcBorders>
          </w:tcPr>
          <w:p w14:paraId="7A9B33D6" w14:textId="77777777" w:rsidR="000A45B6" w:rsidRPr="004C6298" w:rsidRDefault="000A45B6" w:rsidP="009940F3">
            <w:pPr>
              <w:spacing w:before="40" w:after="40"/>
              <w:rPr>
                <w:rFonts w:cs="Arial"/>
                <w:color w:val="000000"/>
                <w:sz w:val="16"/>
                <w:szCs w:val="16"/>
                <w:lang w:val="en-US"/>
              </w:rPr>
            </w:pPr>
            <w:r w:rsidRPr="009940F3">
              <w:rPr>
                <w:rFonts w:cs="Arial"/>
                <w:color w:val="1C1C1C"/>
                <w:sz w:val="16"/>
                <w:szCs w:val="16"/>
              </w:rPr>
              <w:t>NSW</w:t>
            </w:r>
          </w:p>
        </w:tc>
        <w:tc>
          <w:tcPr>
            <w:tcW w:w="1219" w:type="dxa"/>
            <w:tcBorders>
              <w:left w:val="single" w:sz="4" w:space="0" w:color="FFFFFF" w:themeColor="background2"/>
              <w:right w:val="single" w:sz="4" w:space="0" w:color="FFFFFF" w:themeColor="background2"/>
            </w:tcBorders>
            <w:shd w:val="clear" w:color="auto" w:fill="F2F2F2" w:themeFill="accent6" w:themeFillShade="F2"/>
            <w:vAlign w:val="center"/>
          </w:tcPr>
          <w:p w14:paraId="2F209F3D" w14:textId="5D24CA16" w:rsidR="000A45B6" w:rsidRPr="009940F3" w:rsidRDefault="000A45B6" w:rsidP="009940F3">
            <w:pPr>
              <w:spacing w:before="40" w:after="40"/>
              <w:jc w:val="right"/>
              <w:rPr>
                <w:rFonts w:cs="Arial"/>
                <w:color w:val="1C1C1C"/>
                <w:sz w:val="16"/>
                <w:szCs w:val="16"/>
              </w:rPr>
            </w:pPr>
            <w:r w:rsidRPr="009940F3">
              <w:rPr>
                <w:rFonts w:cs="Arial"/>
                <w:color w:val="1C1C1C"/>
                <w:sz w:val="16"/>
                <w:szCs w:val="16"/>
              </w:rPr>
              <w:t xml:space="preserve"> 62,785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1189C2CD" w14:textId="6769A1AE" w:rsidR="000A45B6" w:rsidRPr="009940F3" w:rsidRDefault="000A45B6" w:rsidP="009940F3">
            <w:pPr>
              <w:spacing w:before="40" w:after="40"/>
              <w:jc w:val="right"/>
              <w:rPr>
                <w:rFonts w:cs="Arial"/>
                <w:color w:val="1C1C1C"/>
                <w:sz w:val="16"/>
                <w:szCs w:val="16"/>
              </w:rPr>
            </w:pPr>
            <w:r w:rsidRPr="009940F3">
              <w:rPr>
                <w:rFonts w:cs="Arial"/>
                <w:color w:val="1C1C1C"/>
                <w:sz w:val="16"/>
                <w:szCs w:val="16"/>
              </w:rPr>
              <w:t xml:space="preserve"> 295,385,611 </w:t>
            </w:r>
          </w:p>
        </w:tc>
        <w:tc>
          <w:tcPr>
            <w:tcW w:w="1418"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D02EB91" w14:textId="5A6C7B6F" w:rsidR="000A45B6" w:rsidRPr="009940F3" w:rsidRDefault="000A45B6" w:rsidP="009940F3">
            <w:pPr>
              <w:spacing w:before="40" w:after="40"/>
              <w:jc w:val="right"/>
              <w:rPr>
                <w:rFonts w:cs="Arial"/>
                <w:color w:val="1C1C1C"/>
                <w:sz w:val="16"/>
                <w:szCs w:val="16"/>
              </w:rPr>
            </w:pPr>
            <w:r w:rsidRPr="009940F3">
              <w:rPr>
                <w:rFonts w:cs="Arial"/>
                <w:color w:val="1C1C1C"/>
                <w:sz w:val="16"/>
                <w:szCs w:val="16"/>
              </w:rPr>
              <w:t xml:space="preserve"> 68,587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24140340" w14:textId="0EC82865" w:rsidR="000A45B6" w:rsidRPr="009940F3" w:rsidRDefault="000A45B6" w:rsidP="009940F3">
            <w:pPr>
              <w:spacing w:before="40" w:after="40"/>
              <w:jc w:val="right"/>
              <w:rPr>
                <w:rFonts w:cs="Arial"/>
                <w:color w:val="1C1C1C"/>
                <w:sz w:val="16"/>
                <w:szCs w:val="16"/>
              </w:rPr>
            </w:pPr>
            <w:r w:rsidRPr="009940F3">
              <w:rPr>
                <w:rFonts w:cs="Arial"/>
                <w:color w:val="1C1C1C"/>
                <w:sz w:val="16"/>
                <w:szCs w:val="16"/>
              </w:rPr>
              <w:t xml:space="preserve"> 480,422,831 </w:t>
            </w:r>
          </w:p>
        </w:tc>
        <w:tc>
          <w:tcPr>
            <w:tcW w:w="1276" w:type="dxa"/>
            <w:tcBorders>
              <w:left w:val="single" w:sz="4" w:space="0" w:color="FFFFFF" w:themeColor="background2"/>
              <w:right w:val="single" w:sz="4" w:space="0" w:color="FFFFFF" w:themeColor="background2"/>
            </w:tcBorders>
            <w:shd w:val="clear" w:color="auto" w:fill="F2F2F2" w:themeFill="accent6" w:themeFillShade="F2"/>
            <w:vAlign w:val="center"/>
          </w:tcPr>
          <w:p w14:paraId="2ECD858B" w14:textId="320C3F15" w:rsidR="000A45B6" w:rsidRPr="009940F3" w:rsidRDefault="000A45B6" w:rsidP="009940F3">
            <w:pPr>
              <w:spacing w:before="40" w:after="40"/>
              <w:jc w:val="right"/>
              <w:rPr>
                <w:rFonts w:cs="Arial"/>
                <w:color w:val="1C1C1C"/>
                <w:sz w:val="16"/>
                <w:szCs w:val="16"/>
              </w:rPr>
            </w:pPr>
            <w:r w:rsidRPr="009940F3">
              <w:rPr>
                <w:rFonts w:cs="Arial"/>
                <w:color w:val="1C1C1C"/>
                <w:sz w:val="16"/>
                <w:szCs w:val="16"/>
              </w:rPr>
              <w:t>80,47</w:t>
            </w:r>
            <w:r w:rsidR="000A74F5">
              <w:rPr>
                <w:rFonts w:cs="Arial"/>
                <w:color w:val="1C1C1C"/>
                <w:sz w:val="16"/>
                <w:szCs w:val="16"/>
              </w:rPr>
              <w:t>3</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1D88F06D" w14:textId="1ADCD4C2" w:rsidR="000A45B6" w:rsidRPr="009940F3" w:rsidRDefault="000A74F5" w:rsidP="009940F3">
            <w:pPr>
              <w:spacing w:before="40" w:after="40"/>
              <w:jc w:val="right"/>
              <w:rPr>
                <w:rFonts w:cs="Arial"/>
                <w:color w:val="1C1C1C"/>
                <w:sz w:val="16"/>
                <w:szCs w:val="16"/>
              </w:rPr>
            </w:pPr>
            <w:r>
              <w:rPr>
                <w:rFonts w:cs="Arial"/>
                <w:color w:val="1C1C1C"/>
                <w:sz w:val="16"/>
                <w:szCs w:val="16"/>
              </w:rPr>
              <w:t>514,793,489</w:t>
            </w:r>
          </w:p>
        </w:tc>
      </w:tr>
      <w:tr w:rsidR="005034B1" w:rsidRPr="00C219EA" w14:paraId="0D80F2D9" w14:textId="77777777" w:rsidTr="007927F9">
        <w:trPr>
          <w:cnfStyle w:val="000000100000" w:firstRow="0" w:lastRow="0" w:firstColumn="0" w:lastColumn="0" w:oddVBand="0" w:evenVBand="0" w:oddHBand="1" w:evenHBand="0" w:firstRowFirstColumn="0" w:firstRowLastColumn="0" w:lastRowFirstColumn="0" w:lastRowLastColumn="0"/>
          <w:trHeight w:val="20"/>
        </w:trPr>
        <w:tc>
          <w:tcPr>
            <w:tcW w:w="1191" w:type="dxa"/>
            <w:tcBorders>
              <w:right w:val="single" w:sz="4" w:space="0" w:color="FFFFFF" w:themeColor="background2"/>
            </w:tcBorders>
          </w:tcPr>
          <w:p w14:paraId="21553528" w14:textId="77777777" w:rsidR="005034B1" w:rsidRPr="004C6298" w:rsidRDefault="005034B1" w:rsidP="009940F3">
            <w:pPr>
              <w:spacing w:before="40" w:after="40"/>
              <w:rPr>
                <w:rFonts w:cs="Arial"/>
                <w:color w:val="000000"/>
                <w:sz w:val="16"/>
                <w:szCs w:val="16"/>
                <w:lang w:val="en-US"/>
              </w:rPr>
            </w:pPr>
            <w:r w:rsidRPr="009940F3">
              <w:rPr>
                <w:rFonts w:cs="Arial"/>
                <w:color w:val="1C1C1C"/>
                <w:sz w:val="16"/>
                <w:szCs w:val="16"/>
              </w:rPr>
              <w:t>Vic</w:t>
            </w:r>
          </w:p>
        </w:tc>
        <w:tc>
          <w:tcPr>
            <w:tcW w:w="1219" w:type="dxa"/>
            <w:tcBorders>
              <w:left w:val="single" w:sz="4" w:space="0" w:color="FFFFFF" w:themeColor="background2"/>
              <w:right w:val="single" w:sz="4" w:space="0" w:color="FFFFFF" w:themeColor="background2"/>
            </w:tcBorders>
            <w:shd w:val="clear" w:color="auto" w:fill="F2F2F2" w:themeFill="accent6" w:themeFillShade="F2"/>
            <w:vAlign w:val="center"/>
          </w:tcPr>
          <w:p w14:paraId="5CE50FEE" w14:textId="2FC260B7"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13,974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5AA0F37A" w14:textId="4F0524E5"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65,466,001 </w:t>
            </w:r>
          </w:p>
        </w:tc>
        <w:tc>
          <w:tcPr>
            <w:tcW w:w="1418" w:type="dxa"/>
            <w:tcBorders>
              <w:left w:val="single" w:sz="4" w:space="0" w:color="FFFFFF" w:themeColor="background2"/>
              <w:right w:val="single" w:sz="4" w:space="0" w:color="FFFFFF" w:themeColor="background2"/>
            </w:tcBorders>
            <w:shd w:val="clear" w:color="auto" w:fill="F2F2F2" w:themeFill="accent6" w:themeFillShade="F2"/>
            <w:vAlign w:val="center"/>
          </w:tcPr>
          <w:p w14:paraId="6BA97D3D" w14:textId="13654BEC"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21,293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603678E8" w14:textId="301E5156"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109,670,608 </w:t>
            </w:r>
          </w:p>
        </w:tc>
        <w:tc>
          <w:tcPr>
            <w:tcW w:w="1276" w:type="dxa"/>
            <w:tcBorders>
              <w:left w:val="single" w:sz="4" w:space="0" w:color="FFFFFF" w:themeColor="background2"/>
              <w:right w:val="single" w:sz="4" w:space="0" w:color="FFFFFF" w:themeColor="background2"/>
            </w:tcBorders>
            <w:shd w:val="clear" w:color="auto" w:fill="F2F2F2" w:themeFill="accent6" w:themeFillShade="F2"/>
            <w:vAlign w:val="center"/>
          </w:tcPr>
          <w:p w14:paraId="24C93DEA" w14:textId="200E5B40"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36,5</w:t>
            </w:r>
            <w:r w:rsidR="001F24CC">
              <w:rPr>
                <w:rFonts w:cs="Arial"/>
                <w:color w:val="1C1C1C"/>
                <w:sz w:val="16"/>
                <w:szCs w:val="16"/>
              </w:rPr>
              <w:t>82</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5759077C" w14:textId="61CF7692" w:rsidR="005034B1" w:rsidRPr="009940F3" w:rsidRDefault="000A74F5" w:rsidP="009940F3">
            <w:pPr>
              <w:spacing w:before="40" w:after="40"/>
              <w:jc w:val="right"/>
              <w:rPr>
                <w:rFonts w:cs="Arial"/>
                <w:color w:val="1C1C1C"/>
                <w:sz w:val="16"/>
                <w:szCs w:val="16"/>
              </w:rPr>
            </w:pPr>
            <w:r>
              <w:rPr>
                <w:rFonts w:cs="Arial"/>
                <w:color w:val="1C1C1C"/>
                <w:sz w:val="16"/>
                <w:szCs w:val="16"/>
              </w:rPr>
              <w:t>2</w:t>
            </w:r>
            <w:r w:rsidR="0038230D">
              <w:rPr>
                <w:rFonts w:cs="Arial"/>
                <w:color w:val="1C1C1C"/>
                <w:sz w:val="16"/>
                <w:szCs w:val="16"/>
              </w:rPr>
              <w:t>49,946,623</w:t>
            </w:r>
          </w:p>
        </w:tc>
      </w:tr>
      <w:tr w:rsidR="00EE53CE" w:rsidRPr="00C219EA" w14:paraId="29D0F310" w14:textId="77777777" w:rsidTr="007927F9">
        <w:trPr>
          <w:cnfStyle w:val="000000010000" w:firstRow="0" w:lastRow="0" w:firstColumn="0" w:lastColumn="0" w:oddVBand="0" w:evenVBand="0" w:oddHBand="0" w:evenHBand="1" w:firstRowFirstColumn="0" w:firstRowLastColumn="0" w:lastRowFirstColumn="0" w:lastRowLastColumn="0"/>
          <w:trHeight w:val="20"/>
        </w:trPr>
        <w:tc>
          <w:tcPr>
            <w:tcW w:w="1191" w:type="dxa"/>
            <w:tcBorders>
              <w:bottom w:val="single" w:sz="4" w:space="0" w:color="D9D9D9" w:themeColor="background2" w:themeShade="D9"/>
              <w:right w:val="single" w:sz="4" w:space="0" w:color="FFFFFF" w:themeColor="background2"/>
            </w:tcBorders>
          </w:tcPr>
          <w:p w14:paraId="26F1174C" w14:textId="77777777" w:rsidR="005034B1" w:rsidRPr="004C6298" w:rsidRDefault="005034B1" w:rsidP="009940F3">
            <w:pPr>
              <w:spacing w:before="40" w:after="40"/>
              <w:rPr>
                <w:rFonts w:cs="Arial"/>
                <w:color w:val="000000"/>
                <w:sz w:val="16"/>
                <w:szCs w:val="16"/>
                <w:lang w:val="en-US"/>
              </w:rPr>
            </w:pPr>
            <w:r w:rsidRPr="009940F3">
              <w:rPr>
                <w:rFonts w:cs="Arial"/>
                <w:color w:val="1C1C1C"/>
                <w:sz w:val="16"/>
                <w:szCs w:val="16"/>
              </w:rPr>
              <w:t>Qld</w:t>
            </w:r>
          </w:p>
        </w:tc>
        <w:tc>
          <w:tcPr>
            <w:tcW w:w="1219" w:type="dxa"/>
            <w:tcBorders>
              <w:left w:val="single" w:sz="4" w:space="0" w:color="FFFFFF" w:themeColor="background2"/>
              <w:right w:val="single" w:sz="4" w:space="0" w:color="FFFFFF" w:themeColor="background2"/>
            </w:tcBorders>
            <w:shd w:val="clear" w:color="auto" w:fill="F2F2F2" w:themeFill="accent6" w:themeFillShade="F2"/>
            <w:vAlign w:val="center"/>
          </w:tcPr>
          <w:p w14:paraId="0A177563" w14:textId="1623175A"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36,293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40FF01F9" w14:textId="5B4399A2"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107,897,456 </w:t>
            </w:r>
          </w:p>
        </w:tc>
        <w:tc>
          <w:tcPr>
            <w:tcW w:w="1418"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11FB9157" w14:textId="4B69AFB2"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34,886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7B036EF3" w14:textId="30862352"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132,438,026 </w:t>
            </w:r>
          </w:p>
        </w:tc>
        <w:tc>
          <w:tcPr>
            <w:tcW w:w="1276" w:type="dxa"/>
            <w:tcBorders>
              <w:left w:val="single" w:sz="4" w:space="0" w:color="FFFFFF" w:themeColor="background2"/>
              <w:right w:val="single" w:sz="4" w:space="0" w:color="FFFFFF" w:themeColor="background2"/>
            </w:tcBorders>
            <w:shd w:val="clear" w:color="auto" w:fill="F2F2F2" w:themeFill="accent6" w:themeFillShade="F2"/>
            <w:vAlign w:val="center"/>
          </w:tcPr>
          <w:p w14:paraId="4DC450E5" w14:textId="0CF961A0"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40,201</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7F603B54" w14:textId="5AC612D6" w:rsidR="005034B1" w:rsidRPr="009940F3" w:rsidRDefault="000A74F5" w:rsidP="009940F3">
            <w:pPr>
              <w:spacing w:before="40" w:after="40"/>
              <w:jc w:val="right"/>
              <w:rPr>
                <w:rFonts w:cs="Arial"/>
                <w:color w:val="1C1C1C"/>
                <w:sz w:val="16"/>
                <w:szCs w:val="16"/>
              </w:rPr>
            </w:pPr>
            <w:r>
              <w:rPr>
                <w:rFonts w:cs="Arial"/>
                <w:color w:val="1C1C1C"/>
                <w:sz w:val="16"/>
                <w:szCs w:val="16"/>
              </w:rPr>
              <w:t>152,488,367</w:t>
            </w:r>
          </w:p>
        </w:tc>
      </w:tr>
      <w:tr w:rsidR="005034B1" w:rsidRPr="00C219EA" w14:paraId="400E7355" w14:textId="77777777" w:rsidTr="007927F9">
        <w:trPr>
          <w:cnfStyle w:val="000000100000" w:firstRow="0" w:lastRow="0" w:firstColumn="0" w:lastColumn="0" w:oddVBand="0" w:evenVBand="0" w:oddHBand="1" w:evenHBand="0" w:firstRowFirstColumn="0" w:firstRowLastColumn="0" w:lastRowFirstColumn="0" w:lastRowLastColumn="0"/>
          <w:trHeight w:val="20"/>
        </w:trPr>
        <w:tc>
          <w:tcPr>
            <w:tcW w:w="1191" w:type="dxa"/>
            <w:tcBorders>
              <w:right w:val="single" w:sz="4" w:space="0" w:color="FFFFFF" w:themeColor="background2"/>
            </w:tcBorders>
          </w:tcPr>
          <w:p w14:paraId="500975DE" w14:textId="77777777" w:rsidR="005034B1" w:rsidRPr="004C6298" w:rsidRDefault="005034B1" w:rsidP="009940F3">
            <w:pPr>
              <w:spacing w:before="40" w:after="40"/>
              <w:rPr>
                <w:rFonts w:cs="Arial"/>
                <w:color w:val="000000"/>
                <w:sz w:val="16"/>
                <w:szCs w:val="16"/>
                <w:lang w:val="en-US"/>
              </w:rPr>
            </w:pPr>
            <w:r w:rsidRPr="009940F3">
              <w:rPr>
                <w:rFonts w:cs="Arial"/>
                <w:color w:val="1C1C1C"/>
                <w:sz w:val="16"/>
                <w:szCs w:val="16"/>
              </w:rPr>
              <w:t>SA</w:t>
            </w:r>
          </w:p>
        </w:tc>
        <w:tc>
          <w:tcPr>
            <w:tcW w:w="1219" w:type="dxa"/>
            <w:tcBorders>
              <w:left w:val="single" w:sz="4" w:space="0" w:color="FFFFFF" w:themeColor="background2"/>
              <w:right w:val="single" w:sz="4" w:space="0" w:color="FFFFFF" w:themeColor="background2"/>
            </w:tcBorders>
            <w:shd w:val="clear" w:color="auto" w:fill="F2F2F2" w:themeFill="accent6" w:themeFillShade="F2"/>
            <w:vAlign w:val="center"/>
          </w:tcPr>
          <w:p w14:paraId="15FBA350" w14:textId="2505CA98"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14,713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71B4E97C" w14:textId="6A39FFD5"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33,437,984 </w:t>
            </w:r>
          </w:p>
        </w:tc>
        <w:tc>
          <w:tcPr>
            <w:tcW w:w="1418" w:type="dxa"/>
            <w:tcBorders>
              <w:left w:val="single" w:sz="4" w:space="0" w:color="FFFFFF" w:themeColor="background2"/>
              <w:right w:val="single" w:sz="4" w:space="0" w:color="FFFFFF" w:themeColor="background2"/>
            </w:tcBorders>
            <w:shd w:val="clear" w:color="auto" w:fill="F2F2F2" w:themeFill="accent6" w:themeFillShade="F2"/>
            <w:vAlign w:val="center"/>
          </w:tcPr>
          <w:p w14:paraId="446E2771" w14:textId="4E188DAE"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16,229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50EBFB62" w14:textId="1F003D5B"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46,663,399 </w:t>
            </w:r>
          </w:p>
        </w:tc>
        <w:tc>
          <w:tcPr>
            <w:tcW w:w="1276" w:type="dxa"/>
            <w:tcBorders>
              <w:left w:val="single" w:sz="4" w:space="0" w:color="FFFFFF" w:themeColor="background2"/>
              <w:right w:val="single" w:sz="4" w:space="0" w:color="FFFFFF" w:themeColor="background2"/>
            </w:tcBorders>
            <w:shd w:val="clear" w:color="auto" w:fill="F2F2F2" w:themeFill="accent6" w:themeFillShade="F2"/>
            <w:vAlign w:val="center"/>
          </w:tcPr>
          <w:p w14:paraId="0817B692" w14:textId="12A35DBC"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25,669</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10C3BBF5" w14:textId="7BCD8636" w:rsidR="005034B1" w:rsidRPr="009940F3" w:rsidRDefault="000A74F5" w:rsidP="009940F3">
            <w:pPr>
              <w:spacing w:before="40" w:after="40"/>
              <w:jc w:val="right"/>
              <w:rPr>
                <w:rFonts w:cs="Arial"/>
                <w:color w:val="1C1C1C"/>
                <w:sz w:val="16"/>
                <w:szCs w:val="16"/>
              </w:rPr>
            </w:pPr>
            <w:r>
              <w:rPr>
                <w:rFonts w:cs="Arial"/>
                <w:color w:val="1C1C1C"/>
                <w:sz w:val="16"/>
                <w:szCs w:val="16"/>
              </w:rPr>
              <w:t>121,767,615</w:t>
            </w:r>
          </w:p>
        </w:tc>
      </w:tr>
      <w:tr w:rsidR="005034B1" w:rsidRPr="00C219EA" w14:paraId="2F265A67" w14:textId="77777777" w:rsidTr="007927F9">
        <w:trPr>
          <w:cnfStyle w:val="000000010000" w:firstRow="0" w:lastRow="0" w:firstColumn="0" w:lastColumn="0" w:oddVBand="0" w:evenVBand="0" w:oddHBand="0" w:evenHBand="1" w:firstRowFirstColumn="0" w:firstRowLastColumn="0" w:lastRowFirstColumn="0" w:lastRowLastColumn="0"/>
          <w:trHeight w:val="20"/>
        </w:trPr>
        <w:tc>
          <w:tcPr>
            <w:tcW w:w="1191" w:type="dxa"/>
            <w:tcBorders>
              <w:right w:val="single" w:sz="4" w:space="0" w:color="FFFFFF" w:themeColor="background2"/>
            </w:tcBorders>
          </w:tcPr>
          <w:p w14:paraId="056B48BE" w14:textId="77777777" w:rsidR="005034B1" w:rsidRPr="009940F3" w:rsidRDefault="005034B1" w:rsidP="009940F3">
            <w:pPr>
              <w:spacing w:before="40" w:after="40"/>
              <w:rPr>
                <w:rFonts w:cs="Arial"/>
                <w:color w:val="1C1C1C"/>
                <w:sz w:val="16"/>
                <w:szCs w:val="16"/>
              </w:rPr>
            </w:pPr>
            <w:r w:rsidRPr="009940F3">
              <w:rPr>
                <w:rFonts w:cs="Arial"/>
                <w:color w:val="1C1C1C"/>
                <w:sz w:val="16"/>
                <w:szCs w:val="16"/>
              </w:rPr>
              <w:t>WA</w:t>
            </w:r>
          </w:p>
        </w:tc>
        <w:tc>
          <w:tcPr>
            <w:tcW w:w="1219" w:type="dxa"/>
            <w:tcBorders>
              <w:left w:val="single" w:sz="4" w:space="0" w:color="FFFFFF" w:themeColor="background2"/>
              <w:right w:val="single" w:sz="4" w:space="0" w:color="FFFFFF" w:themeColor="background2"/>
            </w:tcBorders>
            <w:shd w:val="clear" w:color="auto" w:fill="F2F2F2" w:themeFill="accent6" w:themeFillShade="F2"/>
            <w:vAlign w:val="center"/>
          </w:tcPr>
          <w:p w14:paraId="7FD251B9" w14:textId="673E8A2C"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118,686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429628F5" w14:textId="6547AA13"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88,572,624 </w:t>
            </w:r>
          </w:p>
        </w:tc>
        <w:tc>
          <w:tcPr>
            <w:tcW w:w="1418" w:type="dxa"/>
            <w:tcBorders>
              <w:left w:val="single" w:sz="4" w:space="0" w:color="FFFFFF" w:themeColor="background2"/>
              <w:right w:val="single" w:sz="4" w:space="0" w:color="FFFFFF" w:themeColor="background2"/>
            </w:tcBorders>
            <w:shd w:val="clear" w:color="auto" w:fill="F2F2F2" w:themeFill="accent6" w:themeFillShade="F2"/>
            <w:vAlign w:val="center"/>
          </w:tcPr>
          <w:p w14:paraId="15AE177F" w14:textId="095490EB"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106,701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52C82A78" w14:textId="0C483E12"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87,936,031 </w:t>
            </w:r>
          </w:p>
        </w:tc>
        <w:tc>
          <w:tcPr>
            <w:tcW w:w="1276" w:type="dxa"/>
            <w:tcBorders>
              <w:left w:val="single" w:sz="4" w:space="0" w:color="FFFFFF" w:themeColor="background2"/>
              <w:right w:val="single" w:sz="4" w:space="0" w:color="FFFFFF" w:themeColor="background2"/>
            </w:tcBorders>
            <w:shd w:val="clear" w:color="auto" w:fill="F2F2F2" w:themeFill="accent6" w:themeFillShade="F2"/>
            <w:vAlign w:val="center"/>
          </w:tcPr>
          <w:p w14:paraId="6412146F" w14:textId="2D188DF0"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117,820</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24A6D42C" w14:textId="16A2CA18" w:rsidR="005034B1" w:rsidRPr="009940F3" w:rsidRDefault="000A74F5" w:rsidP="009940F3">
            <w:pPr>
              <w:spacing w:before="40" w:after="40"/>
              <w:jc w:val="right"/>
              <w:rPr>
                <w:rFonts w:cs="Arial"/>
                <w:color w:val="1C1C1C"/>
                <w:sz w:val="16"/>
                <w:szCs w:val="16"/>
              </w:rPr>
            </w:pPr>
            <w:r>
              <w:rPr>
                <w:rFonts w:cs="Arial"/>
                <w:color w:val="1C1C1C"/>
                <w:sz w:val="16"/>
                <w:szCs w:val="16"/>
              </w:rPr>
              <w:t>93,912,812</w:t>
            </w:r>
          </w:p>
        </w:tc>
      </w:tr>
      <w:tr w:rsidR="005034B1" w:rsidRPr="00C219EA" w14:paraId="7F959F19" w14:textId="77777777" w:rsidTr="007927F9">
        <w:trPr>
          <w:cnfStyle w:val="000000100000" w:firstRow="0" w:lastRow="0" w:firstColumn="0" w:lastColumn="0" w:oddVBand="0" w:evenVBand="0" w:oddHBand="1" w:evenHBand="0" w:firstRowFirstColumn="0" w:firstRowLastColumn="0" w:lastRowFirstColumn="0" w:lastRowLastColumn="0"/>
          <w:trHeight w:val="20"/>
        </w:trPr>
        <w:tc>
          <w:tcPr>
            <w:tcW w:w="1191" w:type="dxa"/>
            <w:tcBorders>
              <w:right w:val="single" w:sz="4" w:space="0" w:color="FFFFFF" w:themeColor="background2"/>
            </w:tcBorders>
          </w:tcPr>
          <w:p w14:paraId="6D66E0A8" w14:textId="77777777" w:rsidR="005034B1" w:rsidRPr="009940F3" w:rsidRDefault="005034B1" w:rsidP="009940F3">
            <w:pPr>
              <w:spacing w:before="40" w:after="40"/>
              <w:rPr>
                <w:rFonts w:cs="Arial"/>
                <w:color w:val="1C1C1C"/>
                <w:sz w:val="16"/>
                <w:szCs w:val="16"/>
              </w:rPr>
            </w:pPr>
            <w:r w:rsidRPr="009940F3">
              <w:rPr>
                <w:rFonts w:cs="Arial"/>
                <w:color w:val="1C1C1C"/>
                <w:sz w:val="16"/>
                <w:szCs w:val="16"/>
              </w:rPr>
              <w:t>Tas</w:t>
            </w:r>
          </w:p>
        </w:tc>
        <w:tc>
          <w:tcPr>
            <w:tcW w:w="1219" w:type="dxa"/>
            <w:tcBorders>
              <w:left w:val="single" w:sz="4" w:space="0" w:color="FFFFFF" w:themeColor="background2"/>
              <w:right w:val="single" w:sz="4" w:space="0" w:color="FFFFFF" w:themeColor="background2"/>
            </w:tcBorders>
            <w:shd w:val="clear" w:color="auto" w:fill="F2F2F2" w:themeFill="accent6" w:themeFillShade="F2"/>
            <w:vAlign w:val="center"/>
          </w:tcPr>
          <w:p w14:paraId="1EC57290" w14:textId="4A8202F1"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6,666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17C8B696" w14:textId="78B7BF8C"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35,664,947 </w:t>
            </w:r>
          </w:p>
        </w:tc>
        <w:tc>
          <w:tcPr>
            <w:tcW w:w="1418" w:type="dxa"/>
            <w:tcBorders>
              <w:left w:val="single" w:sz="4" w:space="0" w:color="FFFFFF" w:themeColor="background2"/>
              <w:right w:val="single" w:sz="4" w:space="0" w:color="FFFFFF" w:themeColor="background2"/>
            </w:tcBorders>
            <w:shd w:val="clear" w:color="auto" w:fill="F2F2F2" w:themeFill="accent6" w:themeFillShade="F2"/>
            <w:vAlign w:val="center"/>
          </w:tcPr>
          <w:p w14:paraId="0A115BC8" w14:textId="3C3C628F"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9,481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56FABF7A" w14:textId="739DD5CC"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59,071,756 </w:t>
            </w:r>
          </w:p>
        </w:tc>
        <w:tc>
          <w:tcPr>
            <w:tcW w:w="1276" w:type="dxa"/>
            <w:tcBorders>
              <w:left w:val="single" w:sz="4" w:space="0" w:color="FFFFFF" w:themeColor="background2"/>
              <w:right w:val="single" w:sz="4" w:space="0" w:color="FFFFFF" w:themeColor="background2"/>
            </w:tcBorders>
            <w:shd w:val="clear" w:color="auto" w:fill="F2F2F2" w:themeFill="accent6" w:themeFillShade="F2"/>
            <w:vAlign w:val="center"/>
          </w:tcPr>
          <w:p w14:paraId="6C909185" w14:textId="72558C92"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11,563</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012B923B" w14:textId="2F3B651F"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73,915,073</w:t>
            </w:r>
          </w:p>
        </w:tc>
      </w:tr>
      <w:tr w:rsidR="005034B1" w:rsidRPr="00C219EA" w14:paraId="5898AF40" w14:textId="77777777" w:rsidTr="007927F9">
        <w:trPr>
          <w:cnfStyle w:val="000000010000" w:firstRow="0" w:lastRow="0" w:firstColumn="0" w:lastColumn="0" w:oddVBand="0" w:evenVBand="0" w:oddHBand="0" w:evenHBand="1" w:firstRowFirstColumn="0" w:firstRowLastColumn="0" w:lastRowFirstColumn="0" w:lastRowLastColumn="0"/>
          <w:trHeight w:val="20"/>
        </w:trPr>
        <w:tc>
          <w:tcPr>
            <w:tcW w:w="1191" w:type="dxa"/>
            <w:tcBorders>
              <w:right w:val="single" w:sz="4" w:space="0" w:color="FFFFFF" w:themeColor="background2"/>
            </w:tcBorders>
          </w:tcPr>
          <w:p w14:paraId="2A056EBB" w14:textId="77777777" w:rsidR="005034B1" w:rsidRPr="009940F3" w:rsidRDefault="005034B1" w:rsidP="009940F3">
            <w:pPr>
              <w:spacing w:before="40" w:after="40"/>
              <w:rPr>
                <w:rFonts w:cs="Arial"/>
                <w:color w:val="1C1C1C"/>
                <w:sz w:val="16"/>
                <w:szCs w:val="16"/>
              </w:rPr>
            </w:pPr>
            <w:r w:rsidRPr="009940F3">
              <w:rPr>
                <w:rFonts w:cs="Arial"/>
                <w:color w:val="1C1C1C"/>
                <w:sz w:val="16"/>
                <w:szCs w:val="16"/>
              </w:rPr>
              <w:t>NT</w:t>
            </w:r>
          </w:p>
        </w:tc>
        <w:tc>
          <w:tcPr>
            <w:tcW w:w="1219" w:type="dxa"/>
            <w:tcBorders>
              <w:left w:val="single" w:sz="4" w:space="0" w:color="FFFFFF" w:themeColor="background2"/>
              <w:right w:val="single" w:sz="4" w:space="0" w:color="FFFFFF" w:themeColor="background2"/>
            </w:tcBorders>
            <w:shd w:val="clear" w:color="auto" w:fill="F2F2F2" w:themeFill="accent6" w:themeFillShade="F2"/>
            <w:vAlign w:val="center"/>
          </w:tcPr>
          <w:p w14:paraId="2D75C97C" w14:textId="091FE8C0"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418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1ABF73D0" w14:textId="2830C81F"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5,234,820 </w:t>
            </w:r>
          </w:p>
        </w:tc>
        <w:tc>
          <w:tcPr>
            <w:tcW w:w="1418" w:type="dxa"/>
            <w:tcBorders>
              <w:left w:val="single" w:sz="4" w:space="0" w:color="FFFFFF" w:themeColor="background2"/>
              <w:right w:val="single" w:sz="4" w:space="0" w:color="FFFFFF" w:themeColor="background2"/>
            </w:tcBorders>
            <w:shd w:val="clear" w:color="auto" w:fill="F2F2F2" w:themeFill="accent6" w:themeFillShade="F2"/>
            <w:vAlign w:val="center"/>
          </w:tcPr>
          <w:p w14:paraId="3DCABD44" w14:textId="727A13D7"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1,412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25CBB737" w14:textId="5058235A"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20,670,286 </w:t>
            </w:r>
          </w:p>
        </w:tc>
        <w:tc>
          <w:tcPr>
            <w:tcW w:w="1276" w:type="dxa"/>
            <w:tcBorders>
              <w:left w:val="single" w:sz="4" w:space="0" w:color="FFFFFF" w:themeColor="background2"/>
              <w:right w:val="single" w:sz="4" w:space="0" w:color="FFFFFF" w:themeColor="background2"/>
            </w:tcBorders>
            <w:shd w:val="clear" w:color="auto" w:fill="F2F2F2" w:themeFill="accent6" w:themeFillShade="F2"/>
            <w:vAlign w:val="center"/>
          </w:tcPr>
          <w:p w14:paraId="134086D6" w14:textId="3E6ECDC9"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784</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2D8168A8" w14:textId="6B5ECF16"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9,602,849</w:t>
            </w:r>
          </w:p>
        </w:tc>
      </w:tr>
      <w:tr w:rsidR="005034B1" w:rsidRPr="00C219EA" w14:paraId="2719DB0B" w14:textId="77777777" w:rsidTr="007927F9">
        <w:trPr>
          <w:cnfStyle w:val="000000100000" w:firstRow="0" w:lastRow="0" w:firstColumn="0" w:lastColumn="0" w:oddVBand="0" w:evenVBand="0" w:oddHBand="1" w:evenHBand="0" w:firstRowFirstColumn="0" w:firstRowLastColumn="0" w:lastRowFirstColumn="0" w:lastRowLastColumn="0"/>
          <w:trHeight w:val="20"/>
        </w:trPr>
        <w:tc>
          <w:tcPr>
            <w:tcW w:w="1191" w:type="dxa"/>
            <w:tcBorders>
              <w:right w:val="single" w:sz="4" w:space="0" w:color="FFFFFF" w:themeColor="background2"/>
            </w:tcBorders>
          </w:tcPr>
          <w:p w14:paraId="74880942" w14:textId="77777777" w:rsidR="005034B1" w:rsidRPr="009940F3" w:rsidRDefault="005034B1" w:rsidP="009940F3">
            <w:pPr>
              <w:spacing w:before="40" w:after="40"/>
              <w:rPr>
                <w:rFonts w:cs="Arial"/>
                <w:color w:val="1C1C1C"/>
                <w:sz w:val="16"/>
                <w:szCs w:val="16"/>
              </w:rPr>
            </w:pPr>
            <w:r w:rsidRPr="009940F3">
              <w:rPr>
                <w:rFonts w:cs="Arial"/>
                <w:color w:val="1C1C1C"/>
                <w:sz w:val="16"/>
                <w:szCs w:val="16"/>
              </w:rPr>
              <w:t>ACT</w:t>
            </w:r>
          </w:p>
        </w:tc>
        <w:tc>
          <w:tcPr>
            <w:tcW w:w="1219" w:type="dxa"/>
            <w:tcBorders>
              <w:left w:val="single" w:sz="4" w:space="0" w:color="FFFFFF" w:themeColor="background2"/>
              <w:right w:val="single" w:sz="4" w:space="0" w:color="FFFFFF" w:themeColor="background2"/>
            </w:tcBorders>
            <w:shd w:val="clear" w:color="auto" w:fill="F2F2F2" w:themeFill="accent6" w:themeFillShade="F2"/>
            <w:vAlign w:val="center"/>
          </w:tcPr>
          <w:p w14:paraId="21D80F1B" w14:textId="60512476"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2,424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78C84876" w14:textId="23F0AADF"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26,630,160 </w:t>
            </w:r>
          </w:p>
        </w:tc>
        <w:tc>
          <w:tcPr>
            <w:tcW w:w="1418" w:type="dxa"/>
            <w:tcBorders>
              <w:left w:val="single" w:sz="4" w:space="0" w:color="FFFFFF" w:themeColor="background2"/>
              <w:right w:val="single" w:sz="4" w:space="0" w:color="FFFFFF" w:themeColor="background2"/>
            </w:tcBorders>
            <w:shd w:val="clear" w:color="auto" w:fill="F2F2F2" w:themeFill="accent6" w:themeFillShade="F2"/>
            <w:vAlign w:val="center"/>
          </w:tcPr>
          <w:p w14:paraId="3690C5E9" w14:textId="62D7E4FB"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2,036 </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6B055CF9" w14:textId="0F786553"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 xml:space="preserve"> 19,702,952 </w:t>
            </w:r>
          </w:p>
        </w:tc>
        <w:tc>
          <w:tcPr>
            <w:tcW w:w="1276" w:type="dxa"/>
            <w:tcBorders>
              <w:left w:val="single" w:sz="4" w:space="0" w:color="FFFFFF" w:themeColor="background2"/>
              <w:right w:val="single" w:sz="4" w:space="0" w:color="FFFFFF" w:themeColor="background2"/>
            </w:tcBorders>
            <w:shd w:val="clear" w:color="auto" w:fill="F2F2F2" w:themeFill="accent6" w:themeFillShade="F2"/>
            <w:vAlign w:val="center"/>
          </w:tcPr>
          <w:p w14:paraId="47CCBAC9" w14:textId="48F13E26"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w:t>
            </w:r>
          </w:p>
        </w:tc>
        <w:tc>
          <w:tcPr>
            <w:tcW w:w="1559" w:type="dxa"/>
            <w:tcBorders>
              <w:left w:val="single" w:sz="4" w:space="0" w:color="FFFFFF" w:themeColor="background2"/>
              <w:right w:val="single" w:sz="4" w:space="0" w:color="FFFFFF" w:themeColor="background2"/>
            </w:tcBorders>
            <w:shd w:val="clear" w:color="auto" w:fill="F2F2F2" w:themeFill="accent6" w:themeFillShade="F2"/>
            <w:vAlign w:val="center"/>
          </w:tcPr>
          <w:p w14:paraId="14269474" w14:textId="18400725" w:rsidR="005034B1" w:rsidRPr="009940F3" w:rsidRDefault="005034B1" w:rsidP="009940F3">
            <w:pPr>
              <w:spacing w:before="40" w:after="40"/>
              <w:jc w:val="right"/>
              <w:rPr>
                <w:rFonts w:cs="Arial"/>
                <w:color w:val="1C1C1C"/>
                <w:sz w:val="16"/>
                <w:szCs w:val="16"/>
              </w:rPr>
            </w:pPr>
            <w:r w:rsidRPr="009940F3">
              <w:rPr>
                <w:rFonts w:cs="Arial"/>
                <w:color w:val="1C1C1C"/>
                <w:sz w:val="16"/>
                <w:szCs w:val="16"/>
              </w:rPr>
              <w:t>-</w:t>
            </w:r>
          </w:p>
        </w:tc>
      </w:tr>
      <w:tr w:rsidR="000A45B6" w:rsidRPr="00C219EA" w14:paraId="6DBCFEF3" w14:textId="77777777" w:rsidTr="007927F9">
        <w:trPr>
          <w:cnfStyle w:val="000000010000" w:firstRow="0" w:lastRow="0" w:firstColumn="0" w:lastColumn="0" w:oddVBand="0" w:evenVBand="0" w:oddHBand="0" w:evenHBand="1" w:firstRowFirstColumn="0" w:firstRowLastColumn="0" w:lastRowFirstColumn="0" w:lastRowLastColumn="0"/>
          <w:trHeight w:val="20"/>
        </w:trPr>
        <w:tc>
          <w:tcPr>
            <w:tcW w:w="1191" w:type="dxa"/>
            <w:tcBorders>
              <w:right w:val="single" w:sz="4" w:space="0" w:color="FFFFFF" w:themeColor="background2"/>
            </w:tcBorders>
            <w:shd w:val="clear" w:color="auto" w:fill="DFEBF1" w:themeFill="text2" w:themeFillTint="1A"/>
          </w:tcPr>
          <w:p w14:paraId="25F4F19D" w14:textId="77777777" w:rsidR="000A45B6" w:rsidRPr="009940F3" w:rsidRDefault="000A45B6" w:rsidP="009940F3">
            <w:pPr>
              <w:spacing w:before="40" w:after="40"/>
              <w:rPr>
                <w:rFonts w:cs="Arial"/>
                <w:b/>
                <w:bCs/>
                <w:color w:val="1C1C1C"/>
                <w:sz w:val="16"/>
                <w:szCs w:val="16"/>
              </w:rPr>
            </w:pPr>
            <w:r w:rsidRPr="009940F3">
              <w:rPr>
                <w:rFonts w:cs="Arial"/>
                <w:b/>
                <w:bCs/>
                <w:color w:val="1C1C1C"/>
                <w:sz w:val="16"/>
                <w:szCs w:val="16"/>
              </w:rPr>
              <w:t>National</w:t>
            </w:r>
          </w:p>
        </w:tc>
        <w:tc>
          <w:tcPr>
            <w:tcW w:w="1219" w:type="dxa"/>
            <w:tcBorders>
              <w:left w:val="single" w:sz="4" w:space="0" w:color="FFFFFF" w:themeColor="background2"/>
              <w:right w:val="single" w:sz="4" w:space="0" w:color="FFFFFF" w:themeColor="background2"/>
            </w:tcBorders>
            <w:shd w:val="clear" w:color="auto" w:fill="DFEBF1" w:themeFill="text2" w:themeFillTint="1A"/>
            <w:vAlign w:val="center"/>
          </w:tcPr>
          <w:p w14:paraId="40E5EBDA" w14:textId="18D3E976" w:rsidR="000A45B6" w:rsidRPr="009940F3" w:rsidRDefault="000A45B6" w:rsidP="009940F3">
            <w:pPr>
              <w:spacing w:before="40" w:after="40"/>
              <w:jc w:val="right"/>
              <w:rPr>
                <w:rFonts w:cs="Arial"/>
                <w:b/>
                <w:bCs/>
                <w:color w:val="1C1C1C"/>
                <w:sz w:val="16"/>
                <w:szCs w:val="16"/>
              </w:rPr>
            </w:pPr>
            <w:r w:rsidRPr="009940F3">
              <w:rPr>
                <w:rFonts w:cs="Arial"/>
                <w:b/>
                <w:bCs/>
                <w:color w:val="1C1C1C"/>
                <w:sz w:val="16"/>
                <w:szCs w:val="16"/>
              </w:rPr>
              <w:t xml:space="preserve"> 255,959 </w:t>
            </w:r>
          </w:p>
        </w:tc>
        <w:tc>
          <w:tcPr>
            <w:tcW w:w="1559" w:type="dxa"/>
            <w:tcBorders>
              <w:left w:val="single" w:sz="4" w:space="0" w:color="FFFFFF" w:themeColor="background2"/>
              <w:right w:val="single" w:sz="4" w:space="0" w:color="FFFFFF" w:themeColor="background2"/>
            </w:tcBorders>
            <w:shd w:val="clear" w:color="auto" w:fill="DFEBF1" w:themeFill="text2" w:themeFillTint="1A"/>
            <w:vAlign w:val="center"/>
          </w:tcPr>
          <w:p w14:paraId="4F95DF8A" w14:textId="14B01236" w:rsidR="000A45B6" w:rsidRPr="009940F3" w:rsidRDefault="000A45B6" w:rsidP="009940F3">
            <w:pPr>
              <w:spacing w:before="40" w:after="40"/>
              <w:jc w:val="right"/>
              <w:rPr>
                <w:rFonts w:cs="Arial"/>
                <w:b/>
                <w:bCs/>
                <w:color w:val="1C1C1C"/>
                <w:sz w:val="16"/>
                <w:szCs w:val="16"/>
              </w:rPr>
            </w:pPr>
            <w:r w:rsidRPr="009940F3">
              <w:rPr>
                <w:rFonts w:cs="Arial"/>
                <w:b/>
                <w:bCs/>
                <w:color w:val="1C1C1C"/>
                <w:sz w:val="16"/>
                <w:szCs w:val="16"/>
              </w:rPr>
              <w:t xml:space="preserve"> 658,289,603 </w:t>
            </w:r>
          </w:p>
        </w:tc>
        <w:tc>
          <w:tcPr>
            <w:tcW w:w="1418" w:type="dxa"/>
            <w:tcBorders>
              <w:left w:val="single" w:sz="4" w:space="0" w:color="FFFFFF" w:themeColor="background2"/>
              <w:right w:val="single" w:sz="4" w:space="0" w:color="FFFFFF" w:themeColor="background2"/>
            </w:tcBorders>
            <w:shd w:val="clear" w:color="auto" w:fill="DFEBF1" w:themeFill="text2" w:themeFillTint="1A"/>
            <w:vAlign w:val="center"/>
          </w:tcPr>
          <w:p w14:paraId="43AD86B3" w14:textId="41B759E3" w:rsidR="000A45B6" w:rsidRPr="009940F3" w:rsidRDefault="000A45B6" w:rsidP="009940F3">
            <w:pPr>
              <w:spacing w:before="40" w:after="40"/>
              <w:jc w:val="right"/>
              <w:rPr>
                <w:rFonts w:cs="Arial"/>
                <w:b/>
                <w:bCs/>
                <w:color w:val="1C1C1C"/>
                <w:sz w:val="16"/>
                <w:szCs w:val="16"/>
              </w:rPr>
            </w:pPr>
            <w:r w:rsidRPr="009940F3">
              <w:rPr>
                <w:rFonts w:cs="Arial"/>
                <w:b/>
                <w:bCs/>
                <w:color w:val="1C1C1C"/>
                <w:sz w:val="16"/>
                <w:szCs w:val="16"/>
              </w:rPr>
              <w:t xml:space="preserve"> 260,625 </w:t>
            </w:r>
          </w:p>
        </w:tc>
        <w:tc>
          <w:tcPr>
            <w:tcW w:w="1559" w:type="dxa"/>
            <w:tcBorders>
              <w:left w:val="single" w:sz="4" w:space="0" w:color="FFFFFF" w:themeColor="background2"/>
              <w:right w:val="single" w:sz="4" w:space="0" w:color="FFFFFF" w:themeColor="background2"/>
            </w:tcBorders>
            <w:shd w:val="clear" w:color="auto" w:fill="DFEBF1" w:themeFill="text2" w:themeFillTint="1A"/>
            <w:vAlign w:val="center"/>
          </w:tcPr>
          <w:p w14:paraId="73156B7F" w14:textId="3200431D" w:rsidR="000A45B6" w:rsidRPr="009940F3" w:rsidRDefault="000A45B6" w:rsidP="009940F3">
            <w:pPr>
              <w:spacing w:before="40" w:after="40"/>
              <w:jc w:val="right"/>
              <w:rPr>
                <w:rFonts w:cs="Arial"/>
                <w:b/>
                <w:bCs/>
                <w:color w:val="1C1C1C"/>
                <w:sz w:val="16"/>
                <w:szCs w:val="16"/>
              </w:rPr>
            </w:pPr>
            <w:r w:rsidRPr="009940F3">
              <w:rPr>
                <w:rFonts w:cs="Arial"/>
                <w:b/>
                <w:bCs/>
                <w:color w:val="1C1C1C"/>
                <w:sz w:val="16"/>
                <w:szCs w:val="16"/>
              </w:rPr>
              <w:t xml:space="preserve"> 956,575,889 </w:t>
            </w:r>
          </w:p>
        </w:tc>
        <w:tc>
          <w:tcPr>
            <w:tcW w:w="1276" w:type="dxa"/>
            <w:tcBorders>
              <w:left w:val="single" w:sz="4" w:space="0" w:color="FFFFFF" w:themeColor="background2"/>
              <w:right w:val="single" w:sz="4" w:space="0" w:color="FFFFFF" w:themeColor="background2"/>
            </w:tcBorders>
            <w:shd w:val="clear" w:color="auto" w:fill="DFEBF1" w:themeFill="text2" w:themeFillTint="1A"/>
            <w:vAlign w:val="center"/>
          </w:tcPr>
          <w:p w14:paraId="17C9EB9D" w14:textId="6F04B473" w:rsidR="000A45B6" w:rsidRPr="009940F3" w:rsidRDefault="000A45B6" w:rsidP="009940F3">
            <w:pPr>
              <w:spacing w:before="40" w:after="40"/>
              <w:jc w:val="right"/>
              <w:rPr>
                <w:rFonts w:cs="Arial"/>
                <w:b/>
                <w:bCs/>
                <w:color w:val="1C1C1C"/>
                <w:sz w:val="16"/>
                <w:szCs w:val="16"/>
              </w:rPr>
            </w:pPr>
            <w:r w:rsidRPr="009940F3">
              <w:rPr>
                <w:rFonts w:cs="Arial"/>
                <w:b/>
                <w:bCs/>
                <w:color w:val="1C1C1C"/>
                <w:sz w:val="16"/>
                <w:szCs w:val="16"/>
              </w:rPr>
              <w:t>313,0</w:t>
            </w:r>
            <w:r w:rsidR="00C32F4B">
              <w:rPr>
                <w:rFonts w:cs="Arial"/>
                <w:b/>
                <w:bCs/>
                <w:color w:val="1C1C1C"/>
                <w:sz w:val="16"/>
                <w:szCs w:val="16"/>
              </w:rPr>
              <w:t>92</w:t>
            </w:r>
          </w:p>
        </w:tc>
        <w:tc>
          <w:tcPr>
            <w:tcW w:w="1559" w:type="dxa"/>
            <w:tcBorders>
              <w:left w:val="single" w:sz="4" w:space="0" w:color="FFFFFF" w:themeColor="background2"/>
              <w:right w:val="single" w:sz="4" w:space="0" w:color="FFFFFF" w:themeColor="background2"/>
            </w:tcBorders>
            <w:shd w:val="clear" w:color="auto" w:fill="DFEBF1" w:themeFill="text2" w:themeFillTint="1A"/>
            <w:vAlign w:val="center"/>
          </w:tcPr>
          <w:p w14:paraId="38609EE8" w14:textId="228B91D2" w:rsidR="000A45B6" w:rsidRPr="009940F3" w:rsidRDefault="000A45B6" w:rsidP="009940F3">
            <w:pPr>
              <w:spacing w:before="40" w:after="40"/>
              <w:jc w:val="right"/>
              <w:rPr>
                <w:rFonts w:cs="Arial"/>
                <w:b/>
                <w:bCs/>
                <w:color w:val="1C1C1C"/>
                <w:sz w:val="16"/>
                <w:szCs w:val="16"/>
              </w:rPr>
            </w:pPr>
            <w:r w:rsidRPr="009940F3">
              <w:rPr>
                <w:rFonts w:cs="Arial"/>
                <w:b/>
                <w:bCs/>
                <w:color w:val="1C1C1C"/>
                <w:sz w:val="16"/>
                <w:szCs w:val="16"/>
              </w:rPr>
              <w:t>1,</w:t>
            </w:r>
            <w:r w:rsidR="00E71DDB">
              <w:rPr>
                <w:rFonts w:cs="Arial"/>
                <w:b/>
                <w:bCs/>
                <w:color w:val="1C1C1C"/>
                <w:sz w:val="16"/>
                <w:szCs w:val="16"/>
              </w:rPr>
              <w:t>21</w:t>
            </w:r>
            <w:r w:rsidR="00C32F4B">
              <w:rPr>
                <w:rFonts w:cs="Arial"/>
                <w:b/>
                <w:bCs/>
                <w:color w:val="1C1C1C"/>
                <w:sz w:val="16"/>
                <w:szCs w:val="16"/>
              </w:rPr>
              <w:t>6,426,829</w:t>
            </w:r>
          </w:p>
        </w:tc>
      </w:tr>
    </w:tbl>
    <w:p w14:paraId="2BA4A3FA" w14:textId="7977F472" w:rsidR="00FE7828" w:rsidRPr="00CE058E" w:rsidRDefault="002B4B61" w:rsidP="00A47745">
      <w:pPr>
        <w:pStyle w:val="Heading2"/>
      </w:pPr>
      <w:bookmarkStart w:id="60" w:name="_Hlk185250811"/>
      <w:r w:rsidRPr="00CE058E">
        <w:t xml:space="preserve">National </w:t>
      </w:r>
      <w:r w:rsidR="003C1301">
        <w:t>B</w:t>
      </w:r>
      <w:r w:rsidRPr="00CE058E">
        <w:t xml:space="preserve">enchmarking </w:t>
      </w:r>
      <w:r w:rsidR="003C1301">
        <w:t>P</w:t>
      </w:r>
      <w:r w:rsidRPr="00CE058E">
        <w:t>ortal</w:t>
      </w:r>
      <w:bookmarkEnd w:id="57"/>
      <w:bookmarkEnd w:id="58"/>
      <w:bookmarkEnd w:id="59"/>
    </w:p>
    <w:p w14:paraId="77E25CF0" w14:textId="3945BF73" w:rsidR="0044452F" w:rsidRPr="00ED65E0" w:rsidRDefault="00FE7828" w:rsidP="0086213F">
      <w:pPr>
        <w:spacing w:line="276" w:lineRule="auto"/>
        <w:rPr>
          <w:rFonts w:cs="Arial"/>
        </w:rPr>
      </w:pPr>
      <w:r w:rsidRPr="00ED65E0">
        <w:rPr>
          <w:rFonts w:cs="Arial"/>
        </w:rPr>
        <w:t>The</w:t>
      </w:r>
      <w:r w:rsidRPr="00ED65E0">
        <w:rPr>
          <w:rFonts w:cs="Arial"/>
          <w:color w:val="auto"/>
        </w:rPr>
        <w:t xml:space="preserve"> </w:t>
      </w:r>
      <w:hyperlink r:id="rId22" w:history="1">
        <w:r w:rsidR="002B4B61" w:rsidRPr="00ED65E0">
          <w:rPr>
            <w:rStyle w:val="Hyperlink"/>
            <w:rFonts w:cs="Arial"/>
          </w:rPr>
          <w:t xml:space="preserve">National Benchmarking </w:t>
        </w:r>
        <w:r w:rsidR="00414B5F" w:rsidRPr="00ED65E0">
          <w:rPr>
            <w:rStyle w:val="Hyperlink"/>
            <w:rFonts w:cs="Arial"/>
          </w:rPr>
          <w:t>P</w:t>
        </w:r>
        <w:r w:rsidR="002B4B61" w:rsidRPr="00ED65E0">
          <w:rPr>
            <w:rStyle w:val="Hyperlink"/>
            <w:rFonts w:cs="Arial"/>
          </w:rPr>
          <w:t>ortal (</w:t>
        </w:r>
        <w:r w:rsidRPr="00ED65E0">
          <w:rPr>
            <w:rStyle w:val="Hyperlink"/>
            <w:rFonts w:cs="Arial"/>
          </w:rPr>
          <w:t>NBP</w:t>
        </w:r>
        <w:r w:rsidR="002B4B61" w:rsidRPr="00ED65E0">
          <w:rPr>
            <w:rStyle w:val="Hyperlink"/>
            <w:rFonts w:cs="Arial"/>
          </w:rPr>
          <w:t>)</w:t>
        </w:r>
      </w:hyperlink>
      <w:r w:rsidRPr="00ED65E0">
        <w:rPr>
          <w:rFonts w:cs="Arial"/>
          <w:color w:val="auto"/>
        </w:rPr>
        <w:t xml:space="preserve"> </w:t>
      </w:r>
      <w:r w:rsidR="00E360B3" w:rsidRPr="00ED65E0">
        <w:rPr>
          <w:rFonts w:cs="Arial"/>
        </w:rPr>
        <w:t xml:space="preserve">presents </w:t>
      </w:r>
      <w:r w:rsidR="003A4001" w:rsidRPr="00ED65E0">
        <w:rPr>
          <w:rFonts w:cs="Arial"/>
        </w:rPr>
        <w:t xml:space="preserve">information on </w:t>
      </w:r>
      <w:r w:rsidR="00E360B3" w:rsidRPr="00ED65E0">
        <w:rPr>
          <w:rFonts w:cs="Arial"/>
        </w:rPr>
        <w:t xml:space="preserve">the </w:t>
      </w:r>
      <w:r w:rsidR="00301519" w:rsidRPr="00ED65E0">
        <w:rPr>
          <w:rFonts w:cs="Arial"/>
        </w:rPr>
        <w:t>c</w:t>
      </w:r>
      <w:r w:rsidR="00E360B3" w:rsidRPr="00ED65E0">
        <w:rPr>
          <w:rFonts w:cs="Arial"/>
        </w:rPr>
        <w:t xml:space="preserve">ost per </w:t>
      </w:r>
      <w:r w:rsidR="00301519" w:rsidRPr="00ED65E0">
        <w:rPr>
          <w:rFonts w:cs="Arial"/>
        </w:rPr>
        <w:t xml:space="preserve">national weighted average unit </w:t>
      </w:r>
      <w:r w:rsidR="00E360B3" w:rsidRPr="00ED65E0">
        <w:rPr>
          <w:rFonts w:cs="Arial"/>
        </w:rPr>
        <w:t xml:space="preserve">(NWAU), </w:t>
      </w:r>
      <w:r w:rsidR="00301519" w:rsidRPr="00ED65E0">
        <w:rPr>
          <w:rFonts w:cs="Arial"/>
        </w:rPr>
        <w:t xml:space="preserve">hospital acquired complications </w:t>
      </w:r>
      <w:r w:rsidR="00E360B3" w:rsidRPr="00ED65E0">
        <w:rPr>
          <w:rFonts w:cs="Arial"/>
        </w:rPr>
        <w:t>(HACs)</w:t>
      </w:r>
      <w:r w:rsidR="002F46B1" w:rsidRPr="00ED65E0">
        <w:rPr>
          <w:rFonts w:cs="Arial"/>
        </w:rPr>
        <w:t>,</w:t>
      </w:r>
      <w:r w:rsidR="00E360B3" w:rsidRPr="00ED65E0">
        <w:rPr>
          <w:rFonts w:cs="Arial"/>
        </w:rPr>
        <w:t xml:space="preserve"> and</w:t>
      </w:r>
      <w:r w:rsidR="00206AAE" w:rsidRPr="00ED65E0">
        <w:rPr>
          <w:rFonts w:cs="Arial"/>
        </w:rPr>
        <w:t xml:space="preserve"> </w:t>
      </w:r>
      <w:r w:rsidR="00301519" w:rsidRPr="00ED65E0">
        <w:rPr>
          <w:rFonts w:cs="Arial"/>
        </w:rPr>
        <w:t xml:space="preserve">avoidable hospital readmissions </w:t>
      </w:r>
      <w:r w:rsidR="00E360B3" w:rsidRPr="00ED65E0">
        <w:rPr>
          <w:rFonts w:cs="Arial"/>
        </w:rPr>
        <w:t xml:space="preserve">(AHRs). </w:t>
      </w:r>
      <w:r w:rsidR="008F0C8E" w:rsidRPr="00ED65E0">
        <w:rPr>
          <w:rFonts w:cs="Arial"/>
        </w:rPr>
        <w:t>The</w:t>
      </w:r>
      <w:r w:rsidR="002F46B1" w:rsidRPr="00ED65E0">
        <w:rPr>
          <w:rFonts w:cs="Arial"/>
        </w:rPr>
        <w:t xml:space="preserve"> NBP </w:t>
      </w:r>
      <w:r w:rsidR="008F0C8E" w:rsidRPr="00ED65E0">
        <w:rPr>
          <w:rFonts w:cs="Arial"/>
        </w:rPr>
        <w:t>compare</w:t>
      </w:r>
      <w:r w:rsidR="002F46B1" w:rsidRPr="00ED65E0">
        <w:rPr>
          <w:rFonts w:cs="Arial"/>
        </w:rPr>
        <w:t xml:space="preserve">s </w:t>
      </w:r>
      <w:r w:rsidR="008F0C8E" w:rsidRPr="00ED65E0">
        <w:rPr>
          <w:rFonts w:cs="Arial"/>
        </w:rPr>
        <w:t xml:space="preserve">the results across </w:t>
      </w:r>
      <w:r w:rsidR="008D29C3" w:rsidRPr="00ED65E0">
        <w:rPr>
          <w:rFonts w:cs="Arial"/>
        </w:rPr>
        <w:t>jurisdictions</w:t>
      </w:r>
      <w:r w:rsidRPr="00ED65E0">
        <w:rPr>
          <w:rFonts w:cs="Arial"/>
        </w:rPr>
        <w:t>, local hospital networks, hospital</w:t>
      </w:r>
      <w:r w:rsidR="008D29C3" w:rsidRPr="00ED65E0">
        <w:rPr>
          <w:rFonts w:cs="Arial"/>
        </w:rPr>
        <w:t>s</w:t>
      </w:r>
      <w:r w:rsidR="003A4001" w:rsidRPr="00ED65E0">
        <w:rPr>
          <w:rFonts w:cs="Arial"/>
        </w:rPr>
        <w:t>, peer groups, and other applicable filters</w:t>
      </w:r>
      <w:r w:rsidRPr="00ED65E0">
        <w:rPr>
          <w:rFonts w:cs="Arial"/>
        </w:rPr>
        <w:t xml:space="preserve">. NHCDC data is incorporated into the </w:t>
      </w:r>
      <w:r w:rsidR="00301519" w:rsidRPr="00ED65E0">
        <w:rPr>
          <w:rFonts w:cs="Arial"/>
        </w:rPr>
        <w:t xml:space="preserve">cost </w:t>
      </w:r>
      <w:r w:rsidRPr="00ED65E0">
        <w:rPr>
          <w:rFonts w:cs="Arial"/>
        </w:rPr>
        <w:t>per NWAU set of dashboards</w:t>
      </w:r>
      <w:r w:rsidR="00ED65E0" w:rsidRPr="00ED65E0">
        <w:rPr>
          <w:rFonts w:cs="Arial"/>
        </w:rPr>
        <w:t xml:space="preserve">, following several </w:t>
      </w:r>
      <w:r w:rsidR="00ED65E0">
        <w:rPr>
          <w:rFonts w:cs="Arial"/>
        </w:rPr>
        <w:t>NWAU</w:t>
      </w:r>
      <w:r w:rsidR="00ED65E0" w:rsidRPr="00ED65E0">
        <w:rPr>
          <w:rFonts w:cs="Arial"/>
        </w:rPr>
        <w:t xml:space="preserve"> adjustments</w:t>
      </w:r>
      <w:r w:rsidR="00ED65E0">
        <w:rPr>
          <w:rFonts w:cs="Arial"/>
        </w:rPr>
        <w:t xml:space="preserve"> (e.g., private patient adjustment).</w:t>
      </w:r>
    </w:p>
    <w:p w14:paraId="15E923EE" w14:textId="682221AA" w:rsidR="002955E7" w:rsidRPr="00CE058E" w:rsidRDefault="00FF4707" w:rsidP="0086213F">
      <w:pPr>
        <w:spacing w:line="276" w:lineRule="auto"/>
        <w:rPr>
          <w:rFonts w:eastAsiaTheme="majorEastAsia" w:cs="Arial"/>
          <w:b/>
          <w:color w:val="auto"/>
        </w:rPr>
      </w:pPr>
      <w:r w:rsidRPr="00ED65E0">
        <w:rPr>
          <w:rFonts w:cs="Arial"/>
        </w:rPr>
        <w:t>The</w:t>
      </w:r>
      <w:r w:rsidR="00CD604F" w:rsidRPr="00ED65E0">
        <w:rPr>
          <w:rFonts w:cs="Arial"/>
        </w:rPr>
        <w:t xml:space="preserve"> </w:t>
      </w:r>
      <w:r w:rsidR="00D000A2" w:rsidRPr="00ED65E0">
        <w:rPr>
          <w:rFonts w:cs="Arial"/>
        </w:rPr>
        <w:t>criteria for inclusion to the NBP is different to the NHCDC</w:t>
      </w:r>
      <w:r w:rsidR="00B26045" w:rsidRPr="00ED65E0">
        <w:rPr>
          <w:rFonts w:cs="Arial"/>
        </w:rPr>
        <w:t xml:space="preserve"> (e.g., depreciation is excluded from the NBP)</w:t>
      </w:r>
      <w:r w:rsidR="0044452F" w:rsidRPr="00ED65E0">
        <w:rPr>
          <w:rFonts w:cs="Arial"/>
        </w:rPr>
        <w:t xml:space="preserve">. </w:t>
      </w:r>
      <w:r w:rsidR="0077353F">
        <w:rPr>
          <w:rFonts w:cs="Arial"/>
        </w:rPr>
        <w:t xml:space="preserve">More detailed information on this criteria is as outlined in the </w:t>
      </w:r>
      <w:r w:rsidR="0077353F" w:rsidRPr="00F94F72">
        <w:t>NBP Technical Specifications</w:t>
      </w:r>
      <w:r w:rsidR="0077353F">
        <w:rPr>
          <w:rFonts w:cs="Arial"/>
        </w:rPr>
        <w:t xml:space="preserve"> on </w:t>
      </w:r>
      <w:hyperlink r:id="rId23" w:history="1">
        <w:r w:rsidR="0077353F" w:rsidRPr="0077353F">
          <w:rPr>
            <w:rStyle w:val="Hyperlink"/>
            <w:rFonts w:cs="Arial"/>
          </w:rPr>
          <w:t>IHACPA’s website</w:t>
        </w:r>
      </w:hyperlink>
      <w:r w:rsidR="0077353F">
        <w:rPr>
          <w:rFonts w:cs="Arial"/>
        </w:rPr>
        <w:t xml:space="preserve">. </w:t>
      </w:r>
      <w:r w:rsidR="00383850" w:rsidRPr="00ED65E0">
        <w:rPr>
          <w:rFonts w:cs="Arial"/>
        </w:rPr>
        <w:t xml:space="preserve">The </w:t>
      </w:r>
      <w:r w:rsidR="00DB6D79" w:rsidRPr="00ED65E0">
        <w:rPr>
          <w:rFonts w:cs="Arial"/>
        </w:rPr>
        <w:t>NHCDC</w:t>
      </w:r>
      <w:r w:rsidR="00383850" w:rsidRPr="00ED65E0">
        <w:rPr>
          <w:rFonts w:cs="Arial"/>
        </w:rPr>
        <w:t xml:space="preserve"> data represented in the NBP is restricted to ABF hospitals and episodes of care with funding sources priced by IHACPA, while the NHCDC </w:t>
      </w:r>
      <w:r w:rsidR="00E6386A" w:rsidRPr="00ED65E0">
        <w:rPr>
          <w:rFonts w:cs="Arial"/>
        </w:rPr>
        <w:t>Public Sector</w:t>
      </w:r>
      <w:r w:rsidR="00383850" w:rsidRPr="00ED65E0">
        <w:rPr>
          <w:rFonts w:cs="Arial"/>
        </w:rPr>
        <w:t xml:space="preserve"> Report considers all cost data, regardless of funding source. The</w:t>
      </w:r>
      <w:r w:rsidR="00383850" w:rsidRPr="00383850">
        <w:rPr>
          <w:rFonts w:cs="Arial"/>
        </w:rPr>
        <w:t xml:space="preserve"> NBP only represents data with activity appropriately measured using NWAU, to support more comparable benchmarking. Supporting documents are available on the IHACPA website to help NBP users navigate the portal and understand the differences between the NHCDC Public Sector Report and NBP data record inclusions and exclusions.</w:t>
      </w:r>
      <w:bookmarkEnd w:id="60"/>
      <w:r w:rsidR="001118E1" w:rsidRPr="00CE058E">
        <w:rPr>
          <w:rFonts w:cs="Arial"/>
          <w:color w:val="auto"/>
        </w:rPr>
        <w:br w:type="page"/>
      </w:r>
    </w:p>
    <w:p w14:paraId="5C90AEC2" w14:textId="23FC3269" w:rsidR="00F72D16" w:rsidRPr="00CE058E" w:rsidRDefault="00F72D16" w:rsidP="00EA6CDF">
      <w:pPr>
        <w:pStyle w:val="Heading1"/>
        <w:numPr>
          <w:ilvl w:val="0"/>
          <w:numId w:val="45"/>
        </w:numPr>
        <w:rPr>
          <w:rFonts w:cs="Arial"/>
        </w:rPr>
      </w:pPr>
      <w:bookmarkStart w:id="61" w:name="_Toc158882599"/>
      <w:r w:rsidRPr="00CE058E">
        <w:rPr>
          <w:rFonts w:cs="Arial"/>
        </w:rPr>
        <w:lastRenderedPageBreak/>
        <w:t>Admitted acute</w:t>
      </w:r>
      <w:bookmarkEnd w:id="61"/>
      <w:bookmarkEnd w:id="5"/>
      <w:bookmarkEnd w:id="4"/>
    </w:p>
    <w:p w14:paraId="2906FBF1" w14:textId="014D6CEA" w:rsidR="00BA6C2D" w:rsidRPr="00CE058E" w:rsidRDefault="00BA6C2D" w:rsidP="007B41F8">
      <w:pPr>
        <w:pStyle w:val="Heading2"/>
      </w:pPr>
      <w:bookmarkStart w:id="62" w:name="_Toc144215430"/>
      <w:bookmarkStart w:id="63" w:name="_Toc144967630"/>
      <w:bookmarkStart w:id="64" w:name="_Toc151129688"/>
      <w:bookmarkStart w:id="65" w:name="_Toc158882539"/>
      <w:bookmarkStart w:id="66" w:name="_Toc158882600"/>
      <w:r w:rsidRPr="00CE058E">
        <w:t>Summary</w:t>
      </w:r>
      <w:bookmarkEnd w:id="62"/>
      <w:bookmarkEnd w:id="63"/>
      <w:bookmarkEnd w:id="64"/>
      <w:bookmarkEnd w:id="65"/>
      <w:bookmarkEnd w:id="66"/>
    </w:p>
    <w:p w14:paraId="29BA8C87" w14:textId="5F5B1EF7" w:rsidR="007157D9" w:rsidRPr="00A42FF4" w:rsidRDefault="007026F7" w:rsidP="00BC4620">
      <w:pPr>
        <w:spacing w:line="276" w:lineRule="auto"/>
        <w:rPr>
          <w:rFonts w:cs="Arial"/>
        </w:rPr>
      </w:pPr>
      <w:r w:rsidRPr="00A42FF4">
        <w:rPr>
          <w:rFonts w:cs="Arial"/>
        </w:rPr>
        <w:t xml:space="preserve">This </w:t>
      </w:r>
      <w:r w:rsidR="00DD18A3" w:rsidRPr="00A42FF4">
        <w:rPr>
          <w:rFonts w:cs="Arial"/>
        </w:rPr>
        <w:t xml:space="preserve">chapter </w:t>
      </w:r>
      <w:r w:rsidR="009F4D46" w:rsidRPr="00A42FF4">
        <w:rPr>
          <w:rFonts w:cs="Arial"/>
        </w:rPr>
        <w:t>outlines</w:t>
      </w:r>
      <w:r w:rsidRPr="00A42FF4">
        <w:rPr>
          <w:rFonts w:cs="Arial"/>
        </w:rPr>
        <w:t xml:space="preserve"> the </w:t>
      </w:r>
      <w:r w:rsidR="000F48D8">
        <w:rPr>
          <w:rFonts w:cs="Arial"/>
        </w:rPr>
        <w:t xml:space="preserve">in-scope </w:t>
      </w:r>
      <w:r w:rsidRPr="00A42FF4">
        <w:rPr>
          <w:rFonts w:cs="Arial"/>
        </w:rPr>
        <w:t xml:space="preserve">admitted acute separations, cost, average cost per separation, and average cost per </w:t>
      </w:r>
      <w:r w:rsidR="00206AAE" w:rsidRPr="00A42FF4">
        <w:rPr>
          <w:rFonts w:cs="Arial"/>
        </w:rPr>
        <w:t xml:space="preserve">weighted </w:t>
      </w:r>
      <w:r w:rsidRPr="00A42FF4">
        <w:rPr>
          <w:rFonts w:cs="Arial"/>
        </w:rPr>
        <w:t xml:space="preserve">separation from </w:t>
      </w:r>
      <w:r w:rsidR="00741BA0" w:rsidRPr="00A42FF4">
        <w:rPr>
          <w:rFonts w:cs="Arial"/>
        </w:rPr>
        <w:t>2020-21</w:t>
      </w:r>
      <w:r w:rsidRPr="00A42FF4">
        <w:rPr>
          <w:rFonts w:cs="Arial"/>
        </w:rPr>
        <w:t xml:space="preserve"> to </w:t>
      </w:r>
      <w:r w:rsidR="004F6C82" w:rsidRPr="00A42FF4">
        <w:rPr>
          <w:rFonts w:cstheme="majorBidi"/>
          <w:lang w:val="en-PH"/>
        </w:rPr>
        <w:t>2022-23</w:t>
      </w:r>
      <w:r w:rsidRPr="00A42FF4">
        <w:rPr>
          <w:rFonts w:cs="Arial"/>
        </w:rPr>
        <w:t>.</w:t>
      </w:r>
    </w:p>
    <w:p w14:paraId="7C10F693" w14:textId="0A076601" w:rsidR="007157D9" w:rsidRPr="00A42FF4" w:rsidRDefault="00060AC3" w:rsidP="007157D9">
      <w:pPr>
        <w:spacing w:line="240" w:lineRule="auto"/>
        <w:rPr>
          <w:rFonts w:eastAsia="Fira Sans regular" w:cs="Arial"/>
        </w:rPr>
      </w:pPr>
      <w:r w:rsidRPr="00A42FF4">
        <w:rPr>
          <w:rFonts w:cs="Arial"/>
        </w:rPr>
        <w:t xml:space="preserve">Separations are the administrative process </w:t>
      </w:r>
      <w:r w:rsidR="00664D20">
        <w:rPr>
          <w:rFonts w:cs="Arial"/>
        </w:rPr>
        <w:t xml:space="preserve">that </w:t>
      </w:r>
      <w:r w:rsidRPr="00A42FF4">
        <w:rPr>
          <w:rFonts w:cs="Arial"/>
        </w:rPr>
        <w:t xml:space="preserve">a hospital records </w:t>
      </w:r>
      <w:r w:rsidR="00664D20">
        <w:rPr>
          <w:rFonts w:cs="Arial"/>
        </w:rPr>
        <w:t xml:space="preserve">for </w:t>
      </w:r>
      <w:r w:rsidRPr="00A42FF4">
        <w:rPr>
          <w:rFonts w:cs="Arial"/>
        </w:rPr>
        <w:t xml:space="preserve">the treatment, care, and/or accommodation of a patient. </w:t>
      </w:r>
      <w:r w:rsidR="007157D9" w:rsidRPr="00A42FF4">
        <w:rPr>
          <w:rFonts w:eastAsia="Fira Sans regular" w:cs="Arial"/>
        </w:rPr>
        <w:t xml:space="preserve">An admitted acute care separation represents a formal admission to hospital to receive active, but short-term treatment </w:t>
      </w:r>
      <w:r w:rsidR="00182461">
        <w:rPr>
          <w:rFonts w:eastAsia="Fira Sans regular" w:cs="Arial"/>
        </w:rPr>
        <w:t xml:space="preserve">that is either same day or overnight, </w:t>
      </w:r>
      <w:r w:rsidR="007157D9" w:rsidRPr="00A42FF4">
        <w:rPr>
          <w:rFonts w:eastAsia="Fira Sans regular" w:cs="Arial"/>
        </w:rPr>
        <w:t>with a goal to:</w:t>
      </w:r>
    </w:p>
    <w:p w14:paraId="20E57382" w14:textId="0E378F2B" w:rsidR="007157D9" w:rsidRPr="00A42FF4" w:rsidRDefault="007157D9" w:rsidP="007157D9">
      <w:pPr>
        <w:numPr>
          <w:ilvl w:val="0"/>
          <w:numId w:val="14"/>
        </w:numPr>
        <w:spacing w:line="240" w:lineRule="auto"/>
        <w:contextualSpacing/>
        <w:rPr>
          <w:rFonts w:eastAsia="Fira Sans regular" w:cs="Arial"/>
        </w:rPr>
      </w:pPr>
      <w:r w:rsidRPr="00A42FF4">
        <w:rPr>
          <w:rFonts w:eastAsia="Fira Sans regular" w:cs="Arial"/>
        </w:rPr>
        <w:t>cure illness or provide definitive treatment of injury</w:t>
      </w:r>
    </w:p>
    <w:p w14:paraId="1D8CF33B" w14:textId="2AF3E5AC" w:rsidR="007157D9" w:rsidRPr="00A42FF4" w:rsidRDefault="007157D9" w:rsidP="007157D9">
      <w:pPr>
        <w:numPr>
          <w:ilvl w:val="0"/>
          <w:numId w:val="14"/>
        </w:numPr>
        <w:spacing w:line="240" w:lineRule="auto"/>
        <w:contextualSpacing/>
        <w:rPr>
          <w:rFonts w:eastAsia="Fira Sans regular" w:cs="Arial"/>
        </w:rPr>
      </w:pPr>
      <w:r w:rsidRPr="00A42FF4">
        <w:rPr>
          <w:rFonts w:eastAsia="Fira Sans regular" w:cs="Arial"/>
        </w:rPr>
        <w:t>perform surgery</w:t>
      </w:r>
    </w:p>
    <w:p w14:paraId="435BF055" w14:textId="75770DE5" w:rsidR="007157D9" w:rsidRPr="00A42FF4" w:rsidRDefault="007157D9" w:rsidP="007157D9">
      <w:pPr>
        <w:numPr>
          <w:ilvl w:val="0"/>
          <w:numId w:val="14"/>
        </w:numPr>
        <w:spacing w:line="240" w:lineRule="auto"/>
        <w:contextualSpacing/>
        <w:rPr>
          <w:rFonts w:eastAsia="Fira Sans regular" w:cs="Arial"/>
        </w:rPr>
      </w:pPr>
      <w:r w:rsidRPr="00A42FF4">
        <w:rPr>
          <w:rFonts w:eastAsia="Fira Sans regular" w:cs="Arial"/>
        </w:rPr>
        <w:t>relieve symptoms of illness or injury (excluding palliative care)</w:t>
      </w:r>
    </w:p>
    <w:p w14:paraId="391FB4D0" w14:textId="58122AC3" w:rsidR="007157D9" w:rsidRPr="00A42FF4" w:rsidRDefault="007157D9" w:rsidP="007157D9">
      <w:pPr>
        <w:numPr>
          <w:ilvl w:val="0"/>
          <w:numId w:val="14"/>
        </w:numPr>
        <w:spacing w:line="240" w:lineRule="auto"/>
        <w:contextualSpacing/>
        <w:rPr>
          <w:rFonts w:eastAsia="Fira Sans regular" w:cs="Arial"/>
        </w:rPr>
      </w:pPr>
      <w:r w:rsidRPr="00A42FF4">
        <w:rPr>
          <w:rFonts w:eastAsia="Fira Sans regular" w:cs="Arial"/>
        </w:rPr>
        <w:t>reduce severity of an illness or injury</w:t>
      </w:r>
    </w:p>
    <w:p w14:paraId="181D9570" w14:textId="666FF6B5" w:rsidR="00206AAE" w:rsidRDefault="00C374E2" w:rsidP="00A32EB6">
      <w:pPr>
        <w:numPr>
          <w:ilvl w:val="0"/>
          <w:numId w:val="14"/>
        </w:numPr>
        <w:spacing w:line="240" w:lineRule="auto"/>
        <w:contextualSpacing/>
        <w:rPr>
          <w:rFonts w:eastAsia="Fira Sans regular" w:cs="Arial"/>
        </w:rPr>
      </w:pPr>
      <w:r w:rsidRPr="00DC3FFA">
        <w:rPr>
          <w:rFonts w:eastAsia="Fira Sans regular" w:cs="Arial"/>
        </w:rPr>
        <w:t>perform diagnostic or therapeutic procedures</w:t>
      </w:r>
    </w:p>
    <w:p w14:paraId="63DE8D19" w14:textId="43CE6925" w:rsidR="009D2956" w:rsidRPr="009D2956" w:rsidRDefault="009D2956" w:rsidP="009D2956">
      <w:pPr>
        <w:numPr>
          <w:ilvl w:val="0"/>
          <w:numId w:val="14"/>
        </w:numPr>
        <w:spacing w:line="240" w:lineRule="auto"/>
        <w:contextualSpacing/>
        <w:rPr>
          <w:rFonts w:eastAsia="Fira Sans regular" w:cs="Arial"/>
        </w:rPr>
      </w:pPr>
      <w:r w:rsidRPr="00A42FF4">
        <w:rPr>
          <w:rFonts w:eastAsia="Fira Sans regular" w:cs="Arial"/>
        </w:rPr>
        <w:t>manage labour (obstetrics)</w:t>
      </w:r>
    </w:p>
    <w:p w14:paraId="5352B2F6" w14:textId="0A361C19" w:rsidR="00DC3FFA" w:rsidRPr="00DC3FFA" w:rsidRDefault="007157D9" w:rsidP="00A32EB6">
      <w:pPr>
        <w:numPr>
          <w:ilvl w:val="0"/>
          <w:numId w:val="14"/>
        </w:numPr>
        <w:spacing w:line="240" w:lineRule="auto"/>
        <w:contextualSpacing/>
        <w:rPr>
          <w:rFonts w:eastAsia="Fira Sans regular" w:cs="Arial"/>
        </w:rPr>
      </w:pPr>
      <w:r w:rsidRPr="00DC3FFA">
        <w:rPr>
          <w:rFonts w:eastAsia="Fira Sans regular" w:cs="Arial"/>
        </w:rPr>
        <w:t xml:space="preserve">protect against exacerbation of illness or injury </w:t>
      </w:r>
      <w:r w:rsidR="003639C0" w:rsidRPr="00DC3FFA">
        <w:rPr>
          <w:rFonts w:eastAsia="Fira Sans regular" w:cs="Arial"/>
        </w:rPr>
        <w:t>that</w:t>
      </w:r>
      <w:r w:rsidRPr="00DC3FFA">
        <w:rPr>
          <w:rFonts w:eastAsia="Fira Sans regular" w:cs="Arial"/>
        </w:rPr>
        <w:t xml:space="preserve"> could threaten life or normal function</w:t>
      </w:r>
      <w:r w:rsidR="00C374E2" w:rsidRPr="00DC3FFA">
        <w:rPr>
          <w:rFonts w:eastAsia="Fira Sans regular" w:cs="Arial"/>
        </w:rPr>
        <w:t>.</w:t>
      </w:r>
    </w:p>
    <w:p w14:paraId="0C9FAD6D" w14:textId="77777777" w:rsidR="00DC3FFA" w:rsidRPr="00A32EB6" w:rsidRDefault="00DC3FFA" w:rsidP="00A32EB6">
      <w:pPr>
        <w:spacing w:line="240" w:lineRule="auto"/>
        <w:contextualSpacing/>
        <w:rPr>
          <w:rFonts w:eastAsia="Fira Sans regular" w:cs="Arial"/>
        </w:rPr>
      </w:pPr>
    </w:p>
    <w:p w14:paraId="0F26C2D9" w14:textId="299EB667" w:rsidR="00637255" w:rsidRDefault="00E31918" w:rsidP="00A32EB6">
      <w:pPr>
        <w:spacing w:line="276" w:lineRule="auto"/>
        <w:rPr>
          <w:rFonts w:cs="Arial"/>
        </w:rPr>
      </w:pPr>
      <w:r w:rsidRPr="00DC3FFA">
        <w:rPr>
          <w:rFonts w:cs="Arial"/>
        </w:rPr>
        <w:t xml:space="preserve">The Australian Refined Diagnosis Related Groups (AR-DRG) </w:t>
      </w:r>
      <w:r w:rsidR="008D5A25" w:rsidRPr="00DC3FFA">
        <w:rPr>
          <w:rFonts w:cs="Arial"/>
        </w:rPr>
        <w:t>V</w:t>
      </w:r>
      <w:r w:rsidRPr="00DC3FFA">
        <w:rPr>
          <w:rFonts w:cs="Arial"/>
        </w:rPr>
        <w:t>ersion 11.0 was used to prepare this report. Hospital acute admission activity relates to the management</w:t>
      </w:r>
      <w:r w:rsidR="009A42AD" w:rsidRPr="00DC3FFA">
        <w:rPr>
          <w:rFonts w:cs="Arial"/>
        </w:rPr>
        <w:t xml:space="preserve"> of,</w:t>
      </w:r>
      <w:r w:rsidRPr="00DC3FFA">
        <w:rPr>
          <w:rFonts w:cs="Arial"/>
        </w:rPr>
        <w:t xml:space="preserve"> and the resources used by</w:t>
      </w:r>
      <w:r w:rsidR="009A42AD" w:rsidRPr="00DC3FFA">
        <w:rPr>
          <w:rFonts w:cs="Arial"/>
        </w:rPr>
        <w:t>,</w:t>
      </w:r>
      <w:r w:rsidRPr="00DC3FFA">
        <w:rPr>
          <w:rFonts w:cs="Arial"/>
        </w:rPr>
        <w:t xml:space="preserve"> the patient in relation to their treatment. A public hospital acute separation is allocated to an</w:t>
      </w:r>
      <w:r w:rsidR="00012BF3" w:rsidRPr="00DC3FFA">
        <w:rPr>
          <w:rFonts w:cs="Arial"/>
        </w:rPr>
        <w:t xml:space="preserve"> </w:t>
      </w:r>
      <w:r w:rsidRPr="00DC3FFA">
        <w:rPr>
          <w:rFonts w:cs="Arial"/>
        </w:rPr>
        <w:t>AR</w:t>
      </w:r>
      <w:r w:rsidR="00012BF3" w:rsidRPr="00DC3FFA">
        <w:rPr>
          <w:rFonts w:cs="Arial"/>
        </w:rPr>
        <w:noBreakHyphen/>
      </w:r>
      <w:r w:rsidRPr="00DC3FFA">
        <w:rPr>
          <w:rFonts w:cs="Arial"/>
        </w:rPr>
        <w:t>DRG, allowing for the relative complexity of episodes to be calculated.</w:t>
      </w:r>
      <w:r w:rsidR="00060AC3" w:rsidRPr="00DC3FFA">
        <w:rPr>
          <w:rFonts w:cs="Arial"/>
        </w:rPr>
        <w:t xml:space="preserve"> For more information about admitted acute care visit </w:t>
      </w:r>
      <w:hyperlink r:id="rId24" w:history="1">
        <w:r w:rsidR="00060AC3" w:rsidRPr="0070009C">
          <w:rPr>
            <w:rStyle w:val="Hyperlink"/>
          </w:rPr>
          <w:t>IHACPA’s website</w:t>
        </w:r>
      </w:hyperlink>
      <w:r w:rsidR="002845F4" w:rsidRPr="00A32EB6">
        <w:t>.</w:t>
      </w:r>
      <w:bookmarkStart w:id="67" w:name="_Hlk148425710"/>
    </w:p>
    <w:p w14:paraId="2EBBE8FE" w14:textId="21CDF268" w:rsidR="00492588" w:rsidRPr="00A42FF4" w:rsidRDefault="00183C52" w:rsidP="00637255">
      <w:pPr>
        <w:spacing w:line="276" w:lineRule="auto"/>
        <w:rPr>
          <w:rFonts w:cs="Arial"/>
        </w:rPr>
      </w:pPr>
      <w:r w:rsidRPr="00183C52">
        <w:rPr>
          <w:rFonts w:cs="Arial"/>
        </w:rPr>
        <w:fldChar w:fldCharType="begin"/>
      </w:r>
      <w:r w:rsidRPr="00183C52">
        <w:rPr>
          <w:rFonts w:cs="Arial"/>
        </w:rPr>
        <w:instrText xml:space="preserve"> REF _Ref185835905 \h </w:instrText>
      </w:r>
      <w:r w:rsidRPr="00183C52">
        <w:rPr>
          <w:rFonts w:cs="Arial"/>
        </w:rPr>
      </w:r>
      <w:r w:rsidRPr="00183C52">
        <w:rPr>
          <w:rFonts w:cs="Arial"/>
        </w:rPr>
        <w:fldChar w:fldCharType="separate"/>
      </w:r>
      <w:r w:rsidRPr="00296833">
        <w:rPr>
          <w:rFonts w:cstheme="majorBidi"/>
          <w:lang w:val="en-PH"/>
        </w:rPr>
        <w:t xml:space="preserve">Table </w:t>
      </w:r>
      <w:r w:rsidRPr="00296833">
        <w:rPr>
          <w:rFonts w:cstheme="majorBidi"/>
          <w:noProof/>
          <w:lang w:val="en-PH"/>
        </w:rPr>
        <w:t>5</w:t>
      </w:r>
      <w:r w:rsidRPr="00183C52">
        <w:rPr>
          <w:rFonts w:cs="Arial"/>
        </w:rPr>
        <w:fldChar w:fldCharType="end"/>
      </w:r>
      <w:r w:rsidR="00FC6DDB">
        <w:rPr>
          <w:rFonts w:cs="Arial"/>
        </w:rPr>
        <w:t xml:space="preserve"> summarises the national results from 2020-21 to 2022-23. </w:t>
      </w:r>
      <w:r w:rsidR="007026F7" w:rsidRPr="00A42FF4">
        <w:rPr>
          <w:rFonts w:cs="Arial"/>
        </w:rPr>
        <w:t xml:space="preserve">In </w:t>
      </w:r>
      <w:r w:rsidR="004F6C82" w:rsidRPr="00A32EB6">
        <w:rPr>
          <w:rFonts w:cs="Arial"/>
        </w:rPr>
        <w:t>2022-23</w:t>
      </w:r>
      <w:r w:rsidR="007026F7" w:rsidRPr="00A42FF4">
        <w:rPr>
          <w:rFonts w:cs="Arial"/>
        </w:rPr>
        <w:t xml:space="preserve">, there were </w:t>
      </w:r>
      <w:r w:rsidR="00086B18" w:rsidRPr="00A42FF4">
        <w:rPr>
          <w:rFonts w:cs="Arial"/>
        </w:rPr>
        <w:t>6.</w:t>
      </w:r>
      <w:r w:rsidR="001C0285" w:rsidRPr="00A42FF4">
        <w:rPr>
          <w:rFonts w:cs="Arial"/>
        </w:rPr>
        <w:t>5</w:t>
      </w:r>
      <w:r w:rsidR="001C0285">
        <w:rPr>
          <w:rFonts w:cs="Arial"/>
        </w:rPr>
        <w:t> </w:t>
      </w:r>
      <w:r w:rsidR="002855E3" w:rsidRPr="00A42FF4">
        <w:rPr>
          <w:rFonts w:cs="Arial"/>
        </w:rPr>
        <w:t>million</w:t>
      </w:r>
      <w:r w:rsidR="00B07CA0" w:rsidRPr="00A42FF4">
        <w:rPr>
          <w:rFonts w:cs="Arial"/>
        </w:rPr>
        <w:t xml:space="preserve"> </w:t>
      </w:r>
      <w:r w:rsidR="007026F7" w:rsidRPr="00A42FF4">
        <w:rPr>
          <w:rFonts w:cs="Arial"/>
        </w:rPr>
        <w:t>admitted acute care separations nationally</w:t>
      </w:r>
      <w:r w:rsidR="00627983" w:rsidRPr="00A42FF4">
        <w:rPr>
          <w:rFonts w:cs="Arial"/>
        </w:rPr>
        <w:t xml:space="preserve">, a </w:t>
      </w:r>
      <w:r w:rsidR="002F6916">
        <w:rPr>
          <w:rFonts w:cs="Arial"/>
        </w:rPr>
        <w:t>5</w:t>
      </w:r>
      <w:r w:rsidR="00897090" w:rsidRPr="00A42FF4">
        <w:rPr>
          <w:rFonts w:cs="Arial"/>
        </w:rPr>
        <w:t>%</w:t>
      </w:r>
      <w:r w:rsidR="00627983" w:rsidRPr="00A42FF4">
        <w:rPr>
          <w:rFonts w:cs="Arial"/>
        </w:rPr>
        <w:t xml:space="preserve"> </w:t>
      </w:r>
      <w:r w:rsidR="008912E0" w:rsidRPr="00A42FF4">
        <w:rPr>
          <w:rFonts w:cs="Arial"/>
        </w:rPr>
        <w:t>in</w:t>
      </w:r>
      <w:r w:rsidR="00627983" w:rsidRPr="00A42FF4">
        <w:rPr>
          <w:rFonts w:cs="Arial"/>
        </w:rPr>
        <w:t xml:space="preserve">crease to the </w:t>
      </w:r>
      <w:r w:rsidR="00A85636" w:rsidRPr="00A42FF4">
        <w:rPr>
          <w:rFonts w:cs="Arial"/>
        </w:rPr>
        <w:t>2021-22</w:t>
      </w:r>
      <w:r w:rsidR="00627983" w:rsidRPr="00A42FF4">
        <w:rPr>
          <w:rFonts w:cs="Arial"/>
        </w:rPr>
        <w:t xml:space="preserve"> figure of 6</w:t>
      </w:r>
      <w:r w:rsidR="002855E3" w:rsidRPr="00A42FF4">
        <w:rPr>
          <w:rFonts w:cs="Arial"/>
        </w:rPr>
        <w:t>.</w:t>
      </w:r>
      <w:r w:rsidR="001C0285" w:rsidRPr="00A42FF4">
        <w:rPr>
          <w:rFonts w:cs="Arial"/>
        </w:rPr>
        <w:t>2</w:t>
      </w:r>
      <w:r w:rsidR="001C0285">
        <w:rPr>
          <w:rFonts w:cs="Arial"/>
        </w:rPr>
        <w:t> </w:t>
      </w:r>
      <w:r w:rsidR="002855E3" w:rsidRPr="00A42FF4">
        <w:rPr>
          <w:rFonts w:cs="Arial"/>
        </w:rPr>
        <w:t>million</w:t>
      </w:r>
      <w:r w:rsidR="00627983" w:rsidRPr="00A42FF4">
        <w:rPr>
          <w:rFonts w:cs="Arial"/>
        </w:rPr>
        <w:t xml:space="preserve">. </w:t>
      </w:r>
      <w:bookmarkStart w:id="68" w:name="_Hlk148536063"/>
      <w:r w:rsidR="00627983" w:rsidRPr="00A42FF4">
        <w:rPr>
          <w:rFonts w:cs="Arial"/>
        </w:rPr>
        <w:t xml:space="preserve">The associated cost in </w:t>
      </w:r>
      <w:r w:rsidR="004F6C82" w:rsidRPr="00A42FF4">
        <w:rPr>
          <w:rFonts w:cstheme="majorBidi"/>
          <w:lang w:val="en-PH"/>
        </w:rPr>
        <w:t>2022-23</w:t>
      </w:r>
      <w:r w:rsidR="00594030" w:rsidRPr="00A42FF4">
        <w:rPr>
          <w:rFonts w:cstheme="majorBidi"/>
          <w:lang w:val="en-PH"/>
        </w:rPr>
        <w:t xml:space="preserve"> </w:t>
      </w:r>
      <w:r w:rsidR="00627983" w:rsidRPr="00A42FF4">
        <w:rPr>
          <w:rFonts w:cs="Arial"/>
        </w:rPr>
        <w:t xml:space="preserve">nationally </w:t>
      </w:r>
      <w:r w:rsidR="002855E3" w:rsidRPr="00A42FF4">
        <w:rPr>
          <w:rFonts w:cs="Arial"/>
        </w:rPr>
        <w:t>was</w:t>
      </w:r>
      <w:r w:rsidR="00627983" w:rsidRPr="00A42FF4">
        <w:rPr>
          <w:rFonts w:cs="Arial"/>
        </w:rPr>
        <w:t xml:space="preserve"> $</w:t>
      </w:r>
      <w:r w:rsidR="00086B18" w:rsidRPr="00A42FF4">
        <w:rPr>
          <w:rFonts w:cs="Arial"/>
        </w:rPr>
        <w:t>40.6</w:t>
      </w:r>
      <w:r w:rsidR="00627983" w:rsidRPr="00A42FF4">
        <w:rPr>
          <w:rFonts w:cs="Arial"/>
        </w:rPr>
        <w:t xml:space="preserve"> billion, a</w:t>
      </w:r>
      <w:r w:rsidR="00086B18" w:rsidRPr="00A42FF4">
        <w:rPr>
          <w:rFonts w:cs="Arial"/>
        </w:rPr>
        <w:t xml:space="preserve"> 1</w:t>
      </w:r>
      <w:r w:rsidR="002F6916">
        <w:rPr>
          <w:rFonts w:cs="Arial"/>
        </w:rPr>
        <w:t>2</w:t>
      </w:r>
      <w:r w:rsidR="00897090" w:rsidRPr="00A42FF4">
        <w:rPr>
          <w:rFonts w:cs="Arial"/>
        </w:rPr>
        <w:t>%</w:t>
      </w:r>
      <w:r w:rsidR="00627983" w:rsidRPr="00A42FF4">
        <w:rPr>
          <w:rFonts w:cs="Arial"/>
        </w:rPr>
        <w:t xml:space="preserve"> </w:t>
      </w:r>
      <w:r w:rsidR="00086B18" w:rsidRPr="00A42FF4">
        <w:rPr>
          <w:rFonts w:cs="Arial"/>
        </w:rPr>
        <w:t>in</w:t>
      </w:r>
      <w:r w:rsidR="00627983" w:rsidRPr="00A42FF4">
        <w:rPr>
          <w:rFonts w:cs="Arial"/>
        </w:rPr>
        <w:t xml:space="preserve">crease to the </w:t>
      </w:r>
      <w:r w:rsidR="00A85636" w:rsidRPr="00A42FF4">
        <w:rPr>
          <w:rFonts w:cs="Arial"/>
        </w:rPr>
        <w:t>2021</w:t>
      </w:r>
      <w:r w:rsidR="001C0285">
        <w:rPr>
          <w:rFonts w:cs="Arial"/>
        </w:rPr>
        <w:noBreakHyphen/>
      </w:r>
      <w:r w:rsidR="00A85636" w:rsidRPr="00A42FF4">
        <w:rPr>
          <w:rFonts w:cs="Arial"/>
        </w:rPr>
        <w:t>22</w:t>
      </w:r>
      <w:r w:rsidR="00627983" w:rsidRPr="00A42FF4">
        <w:rPr>
          <w:rFonts w:cs="Arial"/>
        </w:rPr>
        <w:t xml:space="preserve"> figure of $3</w:t>
      </w:r>
      <w:r w:rsidR="001E0FF6" w:rsidRPr="00A42FF4">
        <w:rPr>
          <w:rFonts w:cs="Arial"/>
        </w:rPr>
        <w:t xml:space="preserve">6.2 </w:t>
      </w:r>
      <w:r w:rsidR="00627983" w:rsidRPr="00A42FF4">
        <w:rPr>
          <w:rFonts w:cs="Arial"/>
        </w:rPr>
        <w:t>billion.</w:t>
      </w:r>
      <w:r w:rsidR="007026F7" w:rsidRPr="00A42FF4">
        <w:rPr>
          <w:rFonts w:cs="Arial"/>
        </w:rPr>
        <w:t xml:space="preserve"> </w:t>
      </w:r>
      <w:bookmarkEnd w:id="68"/>
      <w:r w:rsidR="007026F7" w:rsidRPr="00A42FF4">
        <w:rPr>
          <w:rFonts w:cs="Arial"/>
        </w:rPr>
        <w:t xml:space="preserve">The national average cost per acute separation </w:t>
      </w:r>
      <w:r w:rsidR="001255A2" w:rsidRPr="00A42FF4">
        <w:rPr>
          <w:rFonts w:cs="Arial"/>
        </w:rPr>
        <w:t xml:space="preserve">was </w:t>
      </w:r>
      <w:r w:rsidR="00E806D9" w:rsidRPr="00A42FF4">
        <w:rPr>
          <w:rFonts w:cs="Arial"/>
        </w:rPr>
        <w:t>$</w:t>
      </w:r>
      <w:r w:rsidR="001E0FF6" w:rsidRPr="00A42FF4">
        <w:rPr>
          <w:rFonts w:cs="Arial"/>
        </w:rPr>
        <w:t>6,</w:t>
      </w:r>
      <w:r w:rsidR="00086B18" w:rsidRPr="00A42FF4">
        <w:rPr>
          <w:rFonts w:cs="Arial"/>
        </w:rPr>
        <w:t xml:space="preserve">239 </w:t>
      </w:r>
      <w:r w:rsidR="001255A2" w:rsidRPr="00A42FF4">
        <w:rPr>
          <w:rFonts w:cs="Arial"/>
        </w:rPr>
        <w:t xml:space="preserve">for </w:t>
      </w:r>
      <w:r w:rsidR="00831766" w:rsidRPr="00A42FF4">
        <w:rPr>
          <w:rFonts w:cstheme="majorBidi"/>
          <w:lang w:val="en-PH"/>
        </w:rPr>
        <w:t>2022-23</w:t>
      </w:r>
      <w:r w:rsidR="00E806D9" w:rsidRPr="00A42FF4">
        <w:rPr>
          <w:rFonts w:cs="Arial"/>
        </w:rPr>
        <w:t xml:space="preserve">, </w:t>
      </w:r>
      <w:r w:rsidR="001255A2" w:rsidRPr="00A42FF4">
        <w:rPr>
          <w:rFonts w:cs="Arial"/>
        </w:rPr>
        <w:t xml:space="preserve">a </w:t>
      </w:r>
      <w:r w:rsidR="00385F7E" w:rsidRPr="00A42FF4">
        <w:rPr>
          <w:rFonts w:cs="Arial"/>
        </w:rPr>
        <w:t>7</w:t>
      </w:r>
      <w:r w:rsidR="00897090" w:rsidRPr="00A42FF4">
        <w:rPr>
          <w:rFonts w:cs="Arial"/>
        </w:rPr>
        <w:t>%</w:t>
      </w:r>
      <w:r w:rsidR="007026F7" w:rsidRPr="00A42FF4">
        <w:rPr>
          <w:rFonts w:cs="Arial"/>
        </w:rPr>
        <w:t xml:space="preserve"> </w:t>
      </w:r>
      <w:r w:rsidR="001255A2" w:rsidRPr="00A42FF4">
        <w:rPr>
          <w:rFonts w:cs="Arial"/>
        </w:rPr>
        <w:t xml:space="preserve">increase </w:t>
      </w:r>
      <w:r w:rsidR="00625BBD" w:rsidRPr="00A42FF4">
        <w:rPr>
          <w:rFonts w:cs="Arial"/>
        </w:rPr>
        <w:t xml:space="preserve">to </w:t>
      </w:r>
      <w:r w:rsidR="56F64249" w:rsidRPr="00A42FF4">
        <w:rPr>
          <w:rFonts w:cs="Arial"/>
        </w:rPr>
        <w:t>the</w:t>
      </w:r>
      <w:r w:rsidR="007026F7" w:rsidRPr="00A42FF4">
        <w:rPr>
          <w:rFonts w:cs="Arial"/>
        </w:rPr>
        <w:t xml:space="preserve"> </w:t>
      </w:r>
      <w:r w:rsidR="00A85636" w:rsidRPr="00A42FF4">
        <w:rPr>
          <w:rFonts w:cs="Arial"/>
        </w:rPr>
        <w:t>2021-22</w:t>
      </w:r>
      <w:r w:rsidR="00625BBD" w:rsidRPr="00A42FF4">
        <w:rPr>
          <w:rFonts w:cs="Arial"/>
        </w:rPr>
        <w:t xml:space="preserve"> </w:t>
      </w:r>
      <w:r w:rsidR="007026F7" w:rsidRPr="00A42FF4">
        <w:rPr>
          <w:rFonts w:cs="Arial"/>
        </w:rPr>
        <w:t>national average of $</w:t>
      </w:r>
      <w:r w:rsidR="005038F1" w:rsidRPr="00A42FF4">
        <w:rPr>
          <w:rFonts w:cs="Arial"/>
        </w:rPr>
        <w:t>5,</w:t>
      </w:r>
      <w:r w:rsidR="001E0FF6" w:rsidRPr="00A42FF4">
        <w:rPr>
          <w:rFonts w:cs="Arial"/>
        </w:rPr>
        <w:t>809</w:t>
      </w:r>
      <w:r w:rsidR="26F91166" w:rsidRPr="00A42FF4">
        <w:rPr>
          <w:rFonts w:cs="Arial"/>
        </w:rPr>
        <w:t>.</w:t>
      </w:r>
      <w:bookmarkEnd w:id="67"/>
    </w:p>
    <w:p w14:paraId="4916F655" w14:textId="45C84FCF" w:rsidR="00492588" w:rsidRPr="00EA6CDF" w:rsidRDefault="00B54DE9" w:rsidP="00296833">
      <w:pPr>
        <w:pStyle w:val="TableFigureheading"/>
        <w:rPr>
          <w:lang w:val="en-PH"/>
        </w:rPr>
      </w:pPr>
      <w:bookmarkStart w:id="69" w:name="_Ref185835905"/>
      <w:bookmarkStart w:id="70" w:name="_Toc177467507"/>
      <w:bookmarkStart w:id="71" w:name="_Toc185852212"/>
      <w:bookmarkStart w:id="72" w:name="_Toc187312131"/>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3523AB">
        <w:rPr>
          <w:noProof/>
          <w:lang w:val="en-PH"/>
        </w:rPr>
        <w:t>5</w:t>
      </w:r>
      <w:r w:rsidRPr="0093558C">
        <w:rPr>
          <w:lang w:val="en-PH"/>
        </w:rPr>
        <w:fldChar w:fldCharType="end"/>
      </w:r>
      <w:bookmarkEnd w:id="69"/>
      <w:r w:rsidRPr="0093558C">
        <w:rPr>
          <w:lang w:val="en-PH"/>
        </w:rPr>
        <w:t xml:space="preserve">: </w:t>
      </w:r>
      <w:r w:rsidR="00492588" w:rsidRPr="00EA6CDF">
        <w:rPr>
          <w:lang w:val="en-PH"/>
        </w:rPr>
        <w:t>Admitted acute national summary, 2020-21 to 2022-23</w:t>
      </w:r>
      <w:bookmarkEnd w:id="70"/>
      <w:bookmarkEnd w:id="71"/>
      <w:bookmarkEnd w:id="72"/>
    </w:p>
    <w:tbl>
      <w:tblPr>
        <w:tblW w:w="9771" w:type="dxa"/>
        <w:tblLayout w:type="fixed"/>
        <w:tblLook w:val="04A0" w:firstRow="1" w:lastRow="0" w:firstColumn="1" w:lastColumn="0" w:noHBand="0" w:noVBand="1"/>
      </w:tblPr>
      <w:tblGrid>
        <w:gridCol w:w="2967"/>
        <w:gridCol w:w="2413"/>
        <w:gridCol w:w="2268"/>
        <w:gridCol w:w="2123"/>
      </w:tblGrid>
      <w:tr w:rsidR="00492588" w:rsidRPr="00492588" w14:paraId="35D6AEF7" w14:textId="77777777" w:rsidTr="00D16D7C">
        <w:trPr>
          <w:trHeight w:val="298"/>
        </w:trPr>
        <w:tc>
          <w:tcPr>
            <w:tcW w:w="2967" w:type="dxa"/>
            <w:tcBorders>
              <w:top w:val="nil"/>
              <w:left w:val="single" w:sz="8" w:space="0" w:color="FFFFFF"/>
              <w:bottom w:val="nil"/>
              <w:right w:val="nil"/>
            </w:tcBorders>
            <w:shd w:val="clear" w:color="000000" w:fill="15272F"/>
            <w:vAlign w:val="center"/>
            <w:hideMark/>
          </w:tcPr>
          <w:p w14:paraId="23CAB505" w14:textId="77777777" w:rsidR="00492588" w:rsidRPr="009940F3" w:rsidRDefault="00492588" w:rsidP="0007638E">
            <w:pPr>
              <w:spacing w:before="40" w:after="40" w:line="240" w:lineRule="auto"/>
              <w:rPr>
                <w:rFonts w:eastAsia="Times New Roman" w:cs="Arial"/>
                <w:b/>
                <w:bCs/>
                <w:color w:val="FFFFFF"/>
                <w:sz w:val="16"/>
                <w:szCs w:val="16"/>
                <w:lang w:eastAsia="en-AU"/>
              </w:rPr>
            </w:pPr>
            <w:r w:rsidRPr="009940F3">
              <w:rPr>
                <w:rFonts w:eastAsia="Times New Roman" w:cs="Arial"/>
                <w:b/>
                <w:bCs/>
                <w:color w:val="FFFFFF"/>
                <w:sz w:val="16"/>
                <w:szCs w:val="16"/>
                <w:lang w:eastAsia="en-AU"/>
              </w:rPr>
              <w:t> </w:t>
            </w:r>
          </w:p>
        </w:tc>
        <w:tc>
          <w:tcPr>
            <w:tcW w:w="2413" w:type="dxa"/>
            <w:tcBorders>
              <w:top w:val="nil"/>
              <w:left w:val="single" w:sz="8" w:space="0" w:color="FFFFFF"/>
              <w:bottom w:val="nil"/>
              <w:right w:val="nil"/>
            </w:tcBorders>
            <w:shd w:val="clear" w:color="000000" w:fill="15272F"/>
            <w:vAlign w:val="center"/>
            <w:hideMark/>
          </w:tcPr>
          <w:p w14:paraId="328F3C63" w14:textId="77777777" w:rsidR="00492588" w:rsidRPr="009940F3" w:rsidRDefault="00492588" w:rsidP="0007638E">
            <w:pPr>
              <w:spacing w:before="40" w:after="40" w:line="240" w:lineRule="auto"/>
              <w:jc w:val="center"/>
              <w:rPr>
                <w:rFonts w:eastAsia="Times New Roman" w:cs="Arial"/>
                <w:b/>
                <w:bCs/>
                <w:color w:val="FFFFFF"/>
                <w:sz w:val="16"/>
                <w:szCs w:val="16"/>
                <w:lang w:eastAsia="en-AU"/>
              </w:rPr>
            </w:pPr>
            <w:r w:rsidRPr="009940F3">
              <w:rPr>
                <w:rFonts w:eastAsia="Times New Roman" w:cs="Arial"/>
                <w:b/>
                <w:bCs/>
                <w:color w:val="FFFFFF"/>
                <w:sz w:val="16"/>
                <w:szCs w:val="16"/>
                <w:lang w:eastAsia="en-AU"/>
              </w:rPr>
              <w:t>2020-21</w:t>
            </w:r>
          </w:p>
        </w:tc>
        <w:tc>
          <w:tcPr>
            <w:tcW w:w="2268" w:type="dxa"/>
            <w:tcBorders>
              <w:top w:val="nil"/>
              <w:left w:val="single" w:sz="8" w:space="0" w:color="FFFFFF"/>
              <w:bottom w:val="nil"/>
              <w:right w:val="nil"/>
            </w:tcBorders>
            <w:shd w:val="clear" w:color="000000" w:fill="15272F"/>
            <w:vAlign w:val="center"/>
            <w:hideMark/>
          </w:tcPr>
          <w:p w14:paraId="3C0C64F4" w14:textId="77777777" w:rsidR="00492588" w:rsidRPr="009940F3" w:rsidRDefault="00492588" w:rsidP="0007638E">
            <w:pPr>
              <w:spacing w:before="40" w:after="40" w:line="240" w:lineRule="auto"/>
              <w:jc w:val="center"/>
              <w:rPr>
                <w:rFonts w:eastAsia="Times New Roman" w:cs="Arial"/>
                <w:b/>
                <w:bCs/>
                <w:color w:val="FFFFFF"/>
                <w:sz w:val="16"/>
                <w:szCs w:val="16"/>
                <w:lang w:eastAsia="en-AU"/>
              </w:rPr>
            </w:pPr>
            <w:r w:rsidRPr="009940F3">
              <w:rPr>
                <w:rFonts w:eastAsia="Times New Roman" w:cs="Arial"/>
                <w:b/>
                <w:bCs/>
                <w:color w:val="FFFFFF"/>
                <w:sz w:val="16"/>
                <w:szCs w:val="16"/>
                <w:lang w:eastAsia="en-AU"/>
              </w:rPr>
              <w:t>2021-22</w:t>
            </w:r>
          </w:p>
        </w:tc>
        <w:tc>
          <w:tcPr>
            <w:tcW w:w="2123" w:type="dxa"/>
            <w:tcBorders>
              <w:top w:val="nil"/>
              <w:left w:val="single" w:sz="8" w:space="0" w:color="FFFFFF"/>
              <w:bottom w:val="nil"/>
              <w:right w:val="nil"/>
            </w:tcBorders>
            <w:shd w:val="clear" w:color="000000" w:fill="15272F"/>
            <w:vAlign w:val="center"/>
            <w:hideMark/>
          </w:tcPr>
          <w:p w14:paraId="4289A6F4" w14:textId="77777777" w:rsidR="00492588" w:rsidRPr="009940F3" w:rsidRDefault="00492588" w:rsidP="0007638E">
            <w:pPr>
              <w:spacing w:before="40" w:after="40" w:line="240" w:lineRule="auto"/>
              <w:jc w:val="center"/>
              <w:rPr>
                <w:rFonts w:eastAsia="Times New Roman" w:cs="Arial"/>
                <w:b/>
                <w:bCs/>
                <w:color w:val="FFFFFF"/>
                <w:sz w:val="16"/>
                <w:szCs w:val="16"/>
                <w:lang w:eastAsia="en-AU"/>
              </w:rPr>
            </w:pPr>
            <w:r w:rsidRPr="009940F3">
              <w:rPr>
                <w:rFonts w:eastAsia="Times New Roman" w:cs="Arial"/>
                <w:b/>
                <w:bCs/>
                <w:color w:val="FFFFFF"/>
                <w:sz w:val="16"/>
                <w:szCs w:val="16"/>
                <w:lang w:eastAsia="en-AU"/>
              </w:rPr>
              <w:t>2022-23</w:t>
            </w:r>
          </w:p>
        </w:tc>
      </w:tr>
      <w:tr w:rsidR="00492588" w:rsidRPr="00492588" w14:paraId="1880C1A2" w14:textId="77777777" w:rsidTr="00D16D7C">
        <w:trPr>
          <w:trHeight w:val="298"/>
        </w:trPr>
        <w:tc>
          <w:tcPr>
            <w:tcW w:w="2967" w:type="dxa"/>
            <w:tcBorders>
              <w:top w:val="single" w:sz="8" w:space="0" w:color="D9D9D9"/>
              <w:left w:val="nil"/>
              <w:bottom w:val="single" w:sz="8" w:space="0" w:color="D9D9D9"/>
              <w:right w:val="single" w:sz="8" w:space="0" w:color="FFFFFF"/>
            </w:tcBorders>
            <w:shd w:val="clear" w:color="000000" w:fill="F2F2F2"/>
            <w:vAlign w:val="center"/>
            <w:hideMark/>
          </w:tcPr>
          <w:p w14:paraId="080308C9" w14:textId="77777777" w:rsidR="00492588" w:rsidRPr="009940F3" w:rsidRDefault="00492588" w:rsidP="0007638E">
            <w:pPr>
              <w:spacing w:before="40" w:after="40" w:line="240" w:lineRule="auto"/>
              <w:rPr>
                <w:rFonts w:eastAsia="Times New Roman" w:cs="Arial"/>
                <w:color w:val="1C1C1C"/>
                <w:sz w:val="16"/>
                <w:szCs w:val="16"/>
                <w:lang w:eastAsia="en-AU"/>
              </w:rPr>
            </w:pPr>
            <w:r w:rsidRPr="009940F3">
              <w:rPr>
                <w:rFonts w:eastAsia="Times New Roman" w:cs="Arial"/>
                <w:color w:val="1C1C1C"/>
                <w:sz w:val="16"/>
                <w:szCs w:val="16"/>
                <w:lang w:eastAsia="en-AU"/>
              </w:rPr>
              <w:t xml:space="preserve"> Number of establishments  </w:t>
            </w:r>
          </w:p>
        </w:tc>
        <w:tc>
          <w:tcPr>
            <w:tcW w:w="2413" w:type="dxa"/>
            <w:tcBorders>
              <w:top w:val="single" w:sz="8" w:space="0" w:color="D9D9D9"/>
              <w:left w:val="nil"/>
              <w:bottom w:val="single" w:sz="8" w:space="0" w:color="D9D9D9"/>
              <w:right w:val="single" w:sz="8" w:space="0" w:color="FFFFFF"/>
            </w:tcBorders>
            <w:shd w:val="clear" w:color="000000" w:fill="F2F2F2"/>
            <w:vAlign w:val="center"/>
            <w:hideMark/>
          </w:tcPr>
          <w:p w14:paraId="7774AC55" w14:textId="77777777" w:rsidR="00492588" w:rsidRPr="009940F3" w:rsidRDefault="00492588" w:rsidP="0007638E">
            <w:pPr>
              <w:spacing w:before="40" w:after="40" w:line="240" w:lineRule="auto"/>
              <w:jc w:val="right"/>
              <w:rPr>
                <w:rFonts w:eastAsia="Times New Roman" w:cs="Arial"/>
                <w:color w:val="1C1C1C"/>
                <w:sz w:val="16"/>
                <w:szCs w:val="16"/>
                <w:lang w:eastAsia="en-AU"/>
              </w:rPr>
            </w:pPr>
            <w:r w:rsidRPr="009940F3">
              <w:rPr>
                <w:rFonts w:eastAsia="Times New Roman" w:cs="Arial"/>
                <w:color w:val="1C1C1C"/>
                <w:sz w:val="16"/>
                <w:szCs w:val="16"/>
                <w:lang w:eastAsia="en-AU"/>
              </w:rPr>
              <w:t xml:space="preserve">                              375 </w:t>
            </w:r>
          </w:p>
        </w:tc>
        <w:tc>
          <w:tcPr>
            <w:tcW w:w="2268" w:type="dxa"/>
            <w:tcBorders>
              <w:top w:val="single" w:sz="8" w:space="0" w:color="D9D9D9"/>
              <w:left w:val="nil"/>
              <w:bottom w:val="single" w:sz="8" w:space="0" w:color="D9D9D9"/>
              <w:right w:val="single" w:sz="8" w:space="0" w:color="FFFFFF"/>
            </w:tcBorders>
            <w:shd w:val="clear" w:color="000000" w:fill="F2F2F2"/>
            <w:vAlign w:val="center"/>
            <w:hideMark/>
          </w:tcPr>
          <w:p w14:paraId="52042440" w14:textId="77777777" w:rsidR="00492588" w:rsidRPr="009940F3" w:rsidRDefault="00492588" w:rsidP="0007638E">
            <w:pPr>
              <w:spacing w:before="40" w:after="40" w:line="240" w:lineRule="auto"/>
              <w:jc w:val="right"/>
              <w:rPr>
                <w:rFonts w:eastAsia="Times New Roman" w:cs="Arial"/>
                <w:color w:val="1C1C1C"/>
                <w:sz w:val="16"/>
                <w:szCs w:val="16"/>
                <w:lang w:eastAsia="en-AU"/>
              </w:rPr>
            </w:pPr>
            <w:r w:rsidRPr="009940F3">
              <w:rPr>
                <w:rFonts w:eastAsia="Times New Roman" w:cs="Arial"/>
                <w:color w:val="1C1C1C"/>
                <w:sz w:val="16"/>
                <w:szCs w:val="16"/>
                <w:lang w:eastAsia="en-AU"/>
              </w:rPr>
              <w:t xml:space="preserve">                              379 </w:t>
            </w:r>
          </w:p>
        </w:tc>
        <w:tc>
          <w:tcPr>
            <w:tcW w:w="2123" w:type="dxa"/>
            <w:tcBorders>
              <w:top w:val="single" w:sz="8" w:space="0" w:color="D9D9D9"/>
              <w:left w:val="nil"/>
              <w:bottom w:val="single" w:sz="8" w:space="0" w:color="D9D9D9"/>
              <w:right w:val="single" w:sz="8" w:space="0" w:color="FFFFFF"/>
            </w:tcBorders>
            <w:shd w:val="clear" w:color="000000" w:fill="F2F2F2"/>
            <w:vAlign w:val="center"/>
            <w:hideMark/>
          </w:tcPr>
          <w:p w14:paraId="03EF9055" w14:textId="67516B0B" w:rsidR="00492588" w:rsidRPr="009940F3" w:rsidRDefault="008F3DDF" w:rsidP="0007638E">
            <w:pPr>
              <w:spacing w:before="40" w:after="40" w:line="240" w:lineRule="auto"/>
              <w:jc w:val="right"/>
              <w:rPr>
                <w:rFonts w:eastAsia="Times New Roman" w:cs="Arial"/>
                <w:color w:val="1C1C1C"/>
                <w:sz w:val="16"/>
                <w:szCs w:val="16"/>
                <w:lang w:eastAsia="en-AU"/>
              </w:rPr>
            </w:pPr>
            <w:r w:rsidRPr="009940F3">
              <w:rPr>
                <w:rFonts w:eastAsia="Times New Roman" w:cs="Arial"/>
                <w:color w:val="1C1C1C"/>
                <w:sz w:val="16"/>
                <w:szCs w:val="16"/>
                <w:lang w:eastAsia="en-AU"/>
              </w:rPr>
              <w:t>414</w:t>
            </w:r>
            <w:r w:rsidR="00492588" w:rsidRPr="009940F3">
              <w:rPr>
                <w:rFonts w:eastAsia="Times New Roman" w:cs="Arial"/>
                <w:color w:val="1C1C1C"/>
                <w:sz w:val="16"/>
                <w:szCs w:val="16"/>
                <w:lang w:eastAsia="en-AU"/>
              </w:rPr>
              <w:t xml:space="preserve"> </w:t>
            </w:r>
          </w:p>
        </w:tc>
      </w:tr>
      <w:tr w:rsidR="00492588" w:rsidRPr="00492588" w14:paraId="41754EA9" w14:textId="77777777" w:rsidTr="00D16D7C">
        <w:trPr>
          <w:trHeight w:val="298"/>
        </w:trPr>
        <w:tc>
          <w:tcPr>
            <w:tcW w:w="2967" w:type="dxa"/>
            <w:tcBorders>
              <w:top w:val="nil"/>
              <w:left w:val="nil"/>
              <w:bottom w:val="nil"/>
              <w:right w:val="single" w:sz="8" w:space="0" w:color="FFFFFF"/>
            </w:tcBorders>
            <w:shd w:val="clear" w:color="000000" w:fill="F2F2F2"/>
            <w:vAlign w:val="center"/>
            <w:hideMark/>
          </w:tcPr>
          <w:p w14:paraId="1E911289" w14:textId="77777777" w:rsidR="00492588" w:rsidRPr="009940F3" w:rsidRDefault="00492588" w:rsidP="0007638E">
            <w:pPr>
              <w:spacing w:before="40" w:after="40" w:line="240" w:lineRule="auto"/>
              <w:rPr>
                <w:rFonts w:eastAsia="Times New Roman" w:cs="Arial"/>
                <w:color w:val="1C1C1C"/>
                <w:sz w:val="16"/>
                <w:szCs w:val="16"/>
                <w:lang w:eastAsia="en-AU"/>
              </w:rPr>
            </w:pPr>
            <w:r w:rsidRPr="009940F3">
              <w:rPr>
                <w:rFonts w:eastAsia="Times New Roman" w:cs="Arial"/>
                <w:color w:val="1C1C1C"/>
                <w:sz w:val="16"/>
                <w:szCs w:val="16"/>
                <w:lang w:eastAsia="en-AU"/>
              </w:rPr>
              <w:t xml:space="preserve"> Separations </w:t>
            </w:r>
          </w:p>
        </w:tc>
        <w:tc>
          <w:tcPr>
            <w:tcW w:w="2413" w:type="dxa"/>
            <w:tcBorders>
              <w:top w:val="nil"/>
              <w:left w:val="nil"/>
              <w:bottom w:val="nil"/>
              <w:right w:val="single" w:sz="8" w:space="0" w:color="FFFFFF"/>
            </w:tcBorders>
            <w:shd w:val="clear" w:color="000000" w:fill="F2F2F2"/>
            <w:vAlign w:val="center"/>
            <w:hideMark/>
          </w:tcPr>
          <w:p w14:paraId="3E80CB77" w14:textId="77777777" w:rsidR="00492588" w:rsidRPr="009940F3" w:rsidRDefault="00492588" w:rsidP="0007638E">
            <w:pPr>
              <w:spacing w:before="40" w:after="40" w:line="240" w:lineRule="auto"/>
              <w:jc w:val="right"/>
              <w:rPr>
                <w:rFonts w:eastAsia="Times New Roman" w:cs="Arial"/>
                <w:color w:val="1C1C1C"/>
                <w:sz w:val="16"/>
                <w:szCs w:val="16"/>
                <w:lang w:eastAsia="en-AU"/>
              </w:rPr>
            </w:pPr>
            <w:r w:rsidRPr="009940F3">
              <w:rPr>
                <w:rFonts w:eastAsia="Times New Roman" w:cs="Arial"/>
                <w:color w:val="1C1C1C"/>
                <w:sz w:val="16"/>
                <w:szCs w:val="16"/>
                <w:lang w:eastAsia="en-AU"/>
              </w:rPr>
              <w:t xml:space="preserve">                   6,360,259 </w:t>
            </w:r>
          </w:p>
        </w:tc>
        <w:tc>
          <w:tcPr>
            <w:tcW w:w="2268" w:type="dxa"/>
            <w:tcBorders>
              <w:top w:val="nil"/>
              <w:left w:val="nil"/>
              <w:bottom w:val="nil"/>
              <w:right w:val="single" w:sz="8" w:space="0" w:color="FFFFFF"/>
            </w:tcBorders>
            <w:shd w:val="clear" w:color="000000" w:fill="F2F2F2"/>
            <w:vAlign w:val="center"/>
            <w:hideMark/>
          </w:tcPr>
          <w:p w14:paraId="6E0A68D2" w14:textId="77777777" w:rsidR="00492588" w:rsidRPr="009940F3" w:rsidRDefault="00492588" w:rsidP="0007638E">
            <w:pPr>
              <w:spacing w:before="40" w:after="40" w:line="240" w:lineRule="auto"/>
              <w:jc w:val="right"/>
              <w:rPr>
                <w:rFonts w:eastAsia="Times New Roman" w:cs="Arial"/>
                <w:color w:val="1C1C1C"/>
                <w:sz w:val="16"/>
                <w:szCs w:val="16"/>
                <w:lang w:eastAsia="en-AU"/>
              </w:rPr>
            </w:pPr>
            <w:r w:rsidRPr="009940F3">
              <w:rPr>
                <w:rFonts w:eastAsia="Times New Roman" w:cs="Arial"/>
                <w:color w:val="1C1C1C"/>
                <w:sz w:val="16"/>
                <w:szCs w:val="16"/>
                <w:lang w:eastAsia="en-AU"/>
              </w:rPr>
              <w:t xml:space="preserve">                   6,224,642 </w:t>
            </w:r>
          </w:p>
        </w:tc>
        <w:tc>
          <w:tcPr>
            <w:tcW w:w="2123" w:type="dxa"/>
            <w:tcBorders>
              <w:top w:val="nil"/>
              <w:left w:val="nil"/>
              <w:bottom w:val="nil"/>
              <w:right w:val="single" w:sz="8" w:space="0" w:color="FFFFFF"/>
            </w:tcBorders>
            <w:shd w:val="clear" w:color="000000" w:fill="F2F2F2"/>
            <w:vAlign w:val="center"/>
            <w:hideMark/>
          </w:tcPr>
          <w:p w14:paraId="20644344" w14:textId="398470D2" w:rsidR="00492588" w:rsidRPr="009940F3" w:rsidRDefault="00086B18" w:rsidP="0007638E">
            <w:pPr>
              <w:spacing w:before="40" w:after="40" w:line="240" w:lineRule="auto"/>
              <w:jc w:val="right"/>
              <w:rPr>
                <w:rFonts w:eastAsia="Times New Roman" w:cs="Arial"/>
                <w:color w:val="1C1C1C"/>
                <w:sz w:val="16"/>
                <w:szCs w:val="16"/>
                <w:lang w:eastAsia="en-AU"/>
              </w:rPr>
            </w:pPr>
            <w:r w:rsidRPr="009940F3">
              <w:rPr>
                <w:rFonts w:eastAsia="Times New Roman" w:cs="Arial"/>
                <w:color w:val="1C1C1C"/>
                <w:sz w:val="16"/>
                <w:szCs w:val="16"/>
                <w:lang w:eastAsia="en-AU"/>
              </w:rPr>
              <w:t>6,506,233</w:t>
            </w:r>
            <w:r w:rsidR="00492588" w:rsidRPr="009940F3">
              <w:rPr>
                <w:rFonts w:eastAsia="Times New Roman" w:cs="Arial"/>
                <w:color w:val="1C1C1C"/>
                <w:sz w:val="16"/>
                <w:szCs w:val="16"/>
                <w:lang w:eastAsia="en-AU"/>
              </w:rPr>
              <w:t xml:space="preserve"> </w:t>
            </w:r>
          </w:p>
        </w:tc>
      </w:tr>
      <w:tr w:rsidR="00492588" w:rsidRPr="00492588" w14:paraId="7D797A56" w14:textId="77777777" w:rsidTr="00723D47">
        <w:trPr>
          <w:trHeight w:val="298"/>
        </w:trPr>
        <w:tc>
          <w:tcPr>
            <w:tcW w:w="2967" w:type="dxa"/>
            <w:tcBorders>
              <w:top w:val="single" w:sz="8" w:space="0" w:color="D9D9D9"/>
              <w:left w:val="nil"/>
              <w:bottom w:val="single" w:sz="8" w:space="0" w:color="D9D9D9"/>
              <w:right w:val="single" w:sz="8" w:space="0" w:color="FFFFFF"/>
            </w:tcBorders>
            <w:shd w:val="clear" w:color="000000" w:fill="F2F2F2"/>
            <w:vAlign w:val="center"/>
            <w:hideMark/>
          </w:tcPr>
          <w:p w14:paraId="4C5783C2" w14:textId="130C942F" w:rsidR="00492588" w:rsidRPr="009940F3" w:rsidRDefault="00492588" w:rsidP="0007638E">
            <w:pPr>
              <w:spacing w:before="40" w:after="40" w:line="240" w:lineRule="auto"/>
              <w:rPr>
                <w:rFonts w:eastAsia="Times New Roman" w:cs="Arial"/>
                <w:color w:val="1C1C1C"/>
                <w:sz w:val="16"/>
                <w:szCs w:val="16"/>
                <w:lang w:eastAsia="en-AU"/>
              </w:rPr>
            </w:pPr>
            <w:r w:rsidRPr="009940F3">
              <w:rPr>
                <w:rFonts w:eastAsia="Times New Roman" w:cs="Arial"/>
                <w:color w:val="1C1C1C"/>
                <w:sz w:val="16"/>
                <w:szCs w:val="16"/>
                <w:lang w:eastAsia="en-AU"/>
              </w:rPr>
              <w:t xml:space="preserve"> </w:t>
            </w:r>
            <w:r w:rsidR="008F5BE1">
              <w:rPr>
                <w:rFonts w:eastAsia="Times New Roman" w:cs="Arial"/>
                <w:color w:val="1C1C1C"/>
                <w:sz w:val="16"/>
                <w:szCs w:val="16"/>
                <w:lang w:eastAsia="en-AU"/>
              </w:rPr>
              <w:t>C</w:t>
            </w:r>
            <w:r w:rsidR="00FA05F7" w:rsidRPr="009940F3">
              <w:rPr>
                <w:rFonts w:eastAsia="Times New Roman" w:cs="Arial"/>
                <w:color w:val="1C1C1C"/>
                <w:sz w:val="16"/>
                <w:szCs w:val="16"/>
                <w:lang w:eastAsia="en-AU"/>
              </w:rPr>
              <w:t xml:space="preserve">ost </w:t>
            </w:r>
            <w:r w:rsidRPr="009940F3">
              <w:rPr>
                <w:rFonts w:eastAsia="Times New Roman" w:cs="Arial"/>
                <w:color w:val="1C1C1C"/>
                <w:sz w:val="16"/>
                <w:szCs w:val="16"/>
                <w:lang w:eastAsia="en-AU"/>
              </w:rPr>
              <w:t xml:space="preserve">($) </w:t>
            </w:r>
          </w:p>
        </w:tc>
        <w:tc>
          <w:tcPr>
            <w:tcW w:w="2413" w:type="dxa"/>
            <w:tcBorders>
              <w:top w:val="single" w:sz="8" w:space="0" w:color="D9D9D9"/>
              <w:left w:val="nil"/>
              <w:bottom w:val="single" w:sz="8" w:space="0" w:color="D9D9D9"/>
              <w:right w:val="single" w:sz="8" w:space="0" w:color="FFFFFF"/>
            </w:tcBorders>
            <w:shd w:val="clear" w:color="000000" w:fill="F2F2F2"/>
            <w:vAlign w:val="center"/>
            <w:hideMark/>
          </w:tcPr>
          <w:p w14:paraId="54668590" w14:textId="77777777" w:rsidR="00492588" w:rsidRPr="009940F3" w:rsidRDefault="00492588" w:rsidP="0007638E">
            <w:pPr>
              <w:spacing w:before="40" w:after="40" w:line="240" w:lineRule="auto"/>
              <w:jc w:val="right"/>
              <w:rPr>
                <w:rFonts w:eastAsia="Times New Roman" w:cs="Arial"/>
                <w:color w:val="1C1C1C"/>
                <w:sz w:val="16"/>
                <w:szCs w:val="16"/>
                <w:lang w:eastAsia="en-AU"/>
              </w:rPr>
            </w:pPr>
            <w:r w:rsidRPr="009940F3">
              <w:rPr>
                <w:rFonts w:eastAsia="Times New Roman" w:cs="Arial"/>
                <w:color w:val="1C1C1C"/>
                <w:sz w:val="16"/>
                <w:szCs w:val="16"/>
                <w:lang w:eastAsia="en-AU"/>
              </w:rPr>
              <w:t xml:space="preserve">         33,804,399,137 </w:t>
            </w:r>
          </w:p>
        </w:tc>
        <w:tc>
          <w:tcPr>
            <w:tcW w:w="2268" w:type="dxa"/>
            <w:tcBorders>
              <w:top w:val="single" w:sz="8" w:space="0" w:color="D9D9D9"/>
              <w:left w:val="nil"/>
              <w:bottom w:val="single" w:sz="8" w:space="0" w:color="D9D9D9"/>
              <w:right w:val="single" w:sz="8" w:space="0" w:color="FFFFFF"/>
            </w:tcBorders>
            <w:shd w:val="clear" w:color="000000" w:fill="F2F2F2"/>
            <w:vAlign w:val="center"/>
            <w:hideMark/>
          </w:tcPr>
          <w:p w14:paraId="7C1EC837" w14:textId="77777777" w:rsidR="00492588" w:rsidRPr="009940F3" w:rsidRDefault="00492588" w:rsidP="0007638E">
            <w:pPr>
              <w:spacing w:before="40" w:after="40" w:line="240" w:lineRule="auto"/>
              <w:jc w:val="right"/>
              <w:rPr>
                <w:rFonts w:eastAsia="Times New Roman" w:cs="Arial"/>
                <w:color w:val="1C1C1C"/>
                <w:sz w:val="16"/>
                <w:szCs w:val="16"/>
                <w:lang w:eastAsia="en-AU"/>
              </w:rPr>
            </w:pPr>
            <w:r w:rsidRPr="009940F3">
              <w:rPr>
                <w:rFonts w:eastAsia="Times New Roman" w:cs="Arial"/>
                <w:color w:val="1C1C1C"/>
                <w:sz w:val="16"/>
                <w:szCs w:val="16"/>
                <w:lang w:eastAsia="en-AU"/>
              </w:rPr>
              <w:t xml:space="preserve">         36,155,875,903 </w:t>
            </w:r>
          </w:p>
        </w:tc>
        <w:tc>
          <w:tcPr>
            <w:tcW w:w="2123" w:type="dxa"/>
            <w:tcBorders>
              <w:top w:val="single" w:sz="8" w:space="0" w:color="D9D9D9"/>
              <w:left w:val="nil"/>
              <w:bottom w:val="single" w:sz="8" w:space="0" w:color="D9D9D9"/>
              <w:right w:val="single" w:sz="8" w:space="0" w:color="FFFFFF"/>
            </w:tcBorders>
            <w:shd w:val="clear" w:color="000000" w:fill="F2F2F2"/>
            <w:vAlign w:val="center"/>
            <w:hideMark/>
          </w:tcPr>
          <w:p w14:paraId="43F3DD31" w14:textId="0A7446A9" w:rsidR="00492588" w:rsidRPr="009940F3" w:rsidRDefault="00086B18" w:rsidP="0007638E">
            <w:pPr>
              <w:spacing w:before="40" w:after="40" w:line="240" w:lineRule="auto"/>
              <w:jc w:val="right"/>
              <w:rPr>
                <w:rFonts w:eastAsia="Times New Roman" w:cs="Arial"/>
                <w:color w:val="1C1C1C"/>
                <w:sz w:val="16"/>
                <w:szCs w:val="16"/>
                <w:lang w:eastAsia="en-AU"/>
              </w:rPr>
            </w:pPr>
            <w:r w:rsidRPr="009940F3">
              <w:rPr>
                <w:rFonts w:eastAsia="Times New Roman" w:cs="Arial"/>
                <w:color w:val="1C1C1C"/>
                <w:sz w:val="16"/>
                <w:szCs w:val="16"/>
                <w:lang w:eastAsia="en-AU"/>
              </w:rPr>
              <w:t>40,594,865,324</w:t>
            </w:r>
            <w:r w:rsidR="00492588" w:rsidRPr="009940F3">
              <w:rPr>
                <w:rFonts w:eastAsia="Times New Roman" w:cs="Arial"/>
                <w:color w:val="1C1C1C"/>
                <w:sz w:val="16"/>
                <w:szCs w:val="16"/>
                <w:lang w:eastAsia="en-AU"/>
              </w:rPr>
              <w:t xml:space="preserve"> </w:t>
            </w:r>
          </w:p>
        </w:tc>
      </w:tr>
      <w:tr w:rsidR="00492588" w:rsidRPr="00492588" w14:paraId="215A839D" w14:textId="77777777" w:rsidTr="00723D47">
        <w:trPr>
          <w:trHeight w:val="298"/>
        </w:trPr>
        <w:tc>
          <w:tcPr>
            <w:tcW w:w="2967" w:type="dxa"/>
            <w:tcBorders>
              <w:top w:val="single" w:sz="8" w:space="0" w:color="D9D9D9"/>
              <w:left w:val="nil"/>
              <w:bottom w:val="single" w:sz="8" w:space="0" w:color="D9D9D9" w:themeColor="background2" w:themeShade="D9"/>
              <w:right w:val="single" w:sz="8" w:space="0" w:color="FFFFFF" w:themeColor="background2"/>
            </w:tcBorders>
            <w:shd w:val="clear" w:color="000000" w:fill="F2F2F2"/>
            <w:vAlign w:val="center"/>
            <w:hideMark/>
          </w:tcPr>
          <w:p w14:paraId="385737C5" w14:textId="77777777" w:rsidR="00492588" w:rsidRPr="009940F3" w:rsidRDefault="00492588" w:rsidP="0007638E">
            <w:pPr>
              <w:spacing w:before="40" w:after="40" w:line="240" w:lineRule="auto"/>
              <w:rPr>
                <w:rFonts w:eastAsia="Times New Roman" w:cs="Arial"/>
                <w:color w:val="1C1C1C"/>
                <w:sz w:val="16"/>
                <w:szCs w:val="16"/>
                <w:lang w:eastAsia="en-AU"/>
              </w:rPr>
            </w:pPr>
            <w:r w:rsidRPr="009940F3">
              <w:rPr>
                <w:rFonts w:eastAsia="Times New Roman" w:cs="Arial"/>
                <w:color w:val="1C1C1C"/>
                <w:sz w:val="16"/>
                <w:szCs w:val="16"/>
                <w:lang w:eastAsia="en-AU"/>
              </w:rPr>
              <w:t xml:space="preserve"> Average length of stay (days) </w:t>
            </w:r>
          </w:p>
        </w:tc>
        <w:tc>
          <w:tcPr>
            <w:tcW w:w="2413" w:type="dxa"/>
            <w:tcBorders>
              <w:top w:val="single" w:sz="8" w:space="0" w:color="D9D9D9"/>
              <w:left w:val="single" w:sz="8" w:space="0" w:color="FFFFFF" w:themeColor="background2"/>
              <w:bottom w:val="single" w:sz="8" w:space="0" w:color="D9D9D9" w:themeColor="background2" w:themeShade="D9"/>
              <w:right w:val="single" w:sz="8" w:space="0" w:color="FFFFFF" w:themeColor="background2"/>
            </w:tcBorders>
            <w:shd w:val="clear" w:color="000000" w:fill="F2F2F2"/>
            <w:vAlign w:val="center"/>
            <w:hideMark/>
          </w:tcPr>
          <w:p w14:paraId="0503443B" w14:textId="01324DC4" w:rsidR="00492588" w:rsidRPr="009940F3" w:rsidRDefault="00492588" w:rsidP="0007638E">
            <w:pPr>
              <w:spacing w:before="40" w:after="40" w:line="240" w:lineRule="auto"/>
              <w:jc w:val="right"/>
              <w:rPr>
                <w:rFonts w:eastAsia="Times New Roman" w:cs="Arial"/>
                <w:color w:val="1C1C1C"/>
                <w:sz w:val="16"/>
                <w:szCs w:val="16"/>
                <w:lang w:eastAsia="en-AU"/>
              </w:rPr>
            </w:pPr>
            <w:r w:rsidRPr="009940F3">
              <w:rPr>
                <w:rFonts w:eastAsia="Times New Roman" w:cs="Arial"/>
                <w:color w:val="1C1C1C"/>
                <w:sz w:val="16"/>
                <w:szCs w:val="16"/>
                <w:lang w:eastAsia="en-AU"/>
              </w:rPr>
              <w:t xml:space="preserve">2.3 </w:t>
            </w:r>
          </w:p>
        </w:tc>
        <w:tc>
          <w:tcPr>
            <w:tcW w:w="2268" w:type="dxa"/>
            <w:tcBorders>
              <w:top w:val="single" w:sz="8" w:space="0" w:color="D9D9D9"/>
              <w:left w:val="single" w:sz="8" w:space="0" w:color="FFFFFF" w:themeColor="background2"/>
              <w:bottom w:val="single" w:sz="8" w:space="0" w:color="D9D9D9" w:themeColor="background2" w:themeShade="D9"/>
              <w:right w:val="single" w:sz="8" w:space="0" w:color="FFFFFF" w:themeColor="background2"/>
            </w:tcBorders>
            <w:shd w:val="clear" w:color="000000" w:fill="F2F2F2"/>
            <w:vAlign w:val="center"/>
            <w:hideMark/>
          </w:tcPr>
          <w:p w14:paraId="695D3FBB" w14:textId="34C136CD" w:rsidR="00492588" w:rsidRPr="009940F3" w:rsidRDefault="00492588" w:rsidP="0007638E">
            <w:pPr>
              <w:spacing w:before="40" w:after="40" w:line="240" w:lineRule="auto"/>
              <w:jc w:val="right"/>
              <w:rPr>
                <w:rFonts w:eastAsia="Times New Roman" w:cs="Arial"/>
                <w:color w:val="1C1C1C"/>
                <w:sz w:val="16"/>
                <w:szCs w:val="16"/>
                <w:lang w:eastAsia="en-AU"/>
              </w:rPr>
            </w:pPr>
            <w:r w:rsidRPr="009940F3">
              <w:rPr>
                <w:rFonts w:eastAsia="Times New Roman" w:cs="Arial"/>
                <w:color w:val="1C1C1C"/>
                <w:sz w:val="16"/>
                <w:szCs w:val="16"/>
                <w:lang w:eastAsia="en-AU"/>
              </w:rPr>
              <w:t xml:space="preserve">2.4 </w:t>
            </w:r>
          </w:p>
        </w:tc>
        <w:tc>
          <w:tcPr>
            <w:tcW w:w="2123" w:type="dxa"/>
            <w:tcBorders>
              <w:top w:val="single" w:sz="8" w:space="0" w:color="D9D9D9"/>
              <w:left w:val="single" w:sz="8" w:space="0" w:color="FFFFFF" w:themeColor="background2"/>
              <w:bottom w:val="single" w:sz="8" w:space="0" w:color="D9D9D9" w:themeColor="background2" w:themeShade="D9"/>
              <w:right w:val="single" w:sz="8" w:space="0" w:color="FFFFFF"/>
            </w:tcBorders>
            <w:shd w:val="clear" w:color="000000" w:fill="F2F2F2"/>
            <w:vAlign w:val="center"/>
            <w:hideMark/>
          </w:tcPr>
          <w:p w14:paraId="3962E0E5" w14:textId="29C77672" w:rsidR="00492588" w:rsidRPr="009940F3" w:rsidRDefault="00492588" w:rsidP="0007638E">
            <w:pPr>
              <w:spacing w:before="40" w:after="40" w:line="240" w:lineRule="auto"/>
              <w:jc w:val="right"/>
              <w:rPr>
                <w:rFonts w:eastAsia="Times New Roman" w:cs="Arial"/>
                <w:color w:val="1C1C1C"/>
                <w:sz w:val="16"/>
                <w:szCs w:val="16"/>
                <w:lang w:eastAsia="en-AU"/>
              </w:rPr>
            </w:pPr>
            <w:r w:rsidRPr="009940F3">
              <w:rPr>
                <w:rFonts w:eastAsia="Times New Roman" w:cs="Arial"/>
                <w:color w:val="1C1C1C"/>
                <w:sz w:val="16"/>
                <w:szCs w:val="16"/>
                <w:lang w:eastAsia="en-AU"/>
              </w:rPr>
              <w:t>2.</w:t>
            </w:r>
            <w:r w:rsidR="00086B18" w:rsidRPr="009940F3">
              <w:rPr>
                <w:rFonts w:eastAsia="Times New Roman" w:cs="Arial"/>
                <w:color w:val="1C1C1C"/>
                <w:sz w:val="16"/>
                <w:szCs w:val="16"/>
                <w:lang w:eastAsia="en-AU"/>
              </w:rPr>
              <w:t>5</w:t>
            </w:r>
            <w:r w:rsidRPr="009940F3">
              <w:rPr>
                <w:rFonts w:eastAsia="Times New Roman" w:cs="Arial"/>
                <w:color w:val="1C1C1C"/>
                <w:sz w:val="16"/>
                <w:szCs w:val="16"/>
                <w:lang w:eastAsia="en-AU"/>
              </w:rPr>
              <w:t xml:space="preserve"> </w:t>
            </w:r>
          </w:p>
        </w:tc>
      </w:tr>
      <w:tr w:rsidR="00492588" w:rsidRPr="00492588" w14:paraId="442CABAC" w14:textId="77777777" w:rsidTr="00723D47">
        <w:trPr>
          <w:trHeight w:val="298"/>
        </w:trPr>
        <w:tc>
          <w:tcPr>
            <w:tcW w:w="2967" w:type="dxa"/>
            <w:tcBorders>
              <w:top w:val="single" w:sz="8" w:space="0" w:color="D9D9D9" w:themeColor="background2" w:themeShade="D9"/>
              <w:left w:val="nil"/>
              <w:bottom w:val="single" w:sz="8" w:space="0" w:color="D9D9D9" w:themeColor="background2" w:themeShade="D9"/>
              <w:right w:val="single" w:sz="8" w:space="0" w:color="FFFFFF" w:themeColor="background2"/>
            </w:tcBorders>
            <w:shd w:val="clear" w:color="000000" w:fill="F2F2F2"/>
            <w:vAlign w:val="center"/>
            <w:hideMark/>
          </w:tcPr>
          <w:p w14:paraId="2877F062" w14:textId="77777777" w:rsidR="00492588" w:rsidRPr="009940F3" w:rsidRDefault="00492588" w:rsidP="0007638E">
            <w:pPr>
              <w:spacing w:before="40" w:after="40" w:line="240" w:lineRule="auto"/>
              <w:rPr>
                <w:rFonts w:eastAsia="Times New Roman" w:cs="Arial"/>
                <w:color w:val="1C1C1C"/>
                <w:sz w:val="16"/>
                <w:szCs w:val="16"/>
                <w:lang w:eastAsia="en-AU"/>
              </w:rPr>
            </w:pPr>
            <w:r w:rsidRPr="009940F3">
              <w:rPr>
                <w:rFonts w:eastAsia="Times New Roman" w:cs="Arial"/>
                <w:color w:val="1C1C1C"/>
                <w:sz w:val="16"/>
                <w:szCs w:val="16"/>
                <w:lang w:eastAsia="en-AU"/>
              </w:rPr>
              <w:t xml:space="preserve"> Average cost per separation ($) </w:t>
            </w:r>
          </w:p>
        </w:tc>
        <w:tc>
          <w:tcPr>
            <w:tcW w:w="2413" w:type="dxa"/>
            <w:tcBorders>
              <w:top w:val="single" w:sz="8" w:space="0" w:color="D9D9D9" w:themeColor="background2" w:themeShade="D9"/>
              <w:left w:val="single" w:sz="8" w:space="0" w:color="FFFFFF" w:themeColor="background2"/>
              <w:bottom w:val="single" w:sz="8" w:space="0" w:color="D9D9D9" w:themeColor="background2" w:themeShade="D9"/>
              <w:right w:val="single" w:sz="8" w:space="0" w:color="FFFFFF" w:themeColor="background2"/>
            </w:tcBorders>
            <w:shd w:val="clear" w:color="000000" w:fill="F2F2F2"/>
            <w:vAlign w:val="center"/>
            <w:hideMark/>
          </w:tcPr>
          <w:p w14:paraId="1C4DAAFB" w14:textId="77777777" w:rsidR="00492588" w:rsidRPr="009940F3" w:rsidRDefault="00492588" w:rsidP="0007638E">
            <w:pPr>
              <w:spacing w:before="40" w:after="40" w:line="240" w:lineRule="auto"/>
              <w:jc w:val="right"/>
              <w:rPr>
                <w:rFonts w:eastAsia="Times New Roman" w:cs="Arial"/>
                <w:color w:val="1C1C1C"/>
                <w:sz w:val="16"/>
                <w:szCs w:val="16"/>
                <w:lang w:eastAsia="en-AU"/>
              </w:rPr>
            </w:pPr>
            <w:r w:rsidRPr="009940F3">
              <w:rPr>
                <w:rFonts w:eastAsia="Times New Roman" w:cs="Arial"/>
                <w:color w:val="1C1C1C"/>
                <w:sz w:val="16"/>
                <w:szCs w:val="16"/>
                <w:lang w:eastAsia="en-AU"/>
              </w:rPr>
              <w:t xml:space="preserve">                           5,315 </w:t>
            </w:r>
          </w:p>
        </w:tc>
        <w:tc>
          <w:tcPr>
            <w:tcW w:w="2268" w:type="dxa"/>
            <w:tcBorders>
              <w:top w:val="single" w:sz="8" w:space="0" w:color="D9D9D9" w:themeColor="background2" w:themeShade="D9"/>
              <w:left w:val="single" w:sz="8" w:space="0" w:color="FFFFFF" w:themeColor="background2"/>
              <w:bottom w:val="single" w:sz="8" w:space="0" w:color="D9D9D9" w:themeColor="background2" w:themeShade="D9"/>
              <w:right w:val="single" w:sz="8" w:space="0" w:color="FFFFFF" w:themeColor="background2"/>
            </w:tcBorders>
            <w:shd w:val="clear" w:color="000000" w:fill="F2F2F2"/>
            <w:vAlign w:val="center"/>
            <w:hideMark/>
          </w:tcPr>
          <w:p w14:paraId="6AA52EAE" w14:textId="77777777" w:rsidR="00492588" w:rsidRPr="009940F3" w:rsidRDefault="00492588" w:rsidP="0007638E">
            <w:pPr>
              <w:spacing w:before="40" w:after="40" w:line="240" w:lineRule="auto"/>
              <w:jc w:val="right"/>
              <w:rPr>
                <w:rFonts w:eastAsia="Times New Roman" w:cs="Arial"/>
                <w:color w:val="1C1C1C"/>
                <w:sz w:val="16"/>
                <w:szCs w:val="16"/>
                <w:lang w:eastAsia="en-AU"/>
              </w:rPr>
            </w:pPr>
            <w:r w:rsidRPr="009940F3">
              <w:rPr>
                <w:rFonts w:eastAsia="Times New Roman" w:cs="Arial"/>
                <w:color w:val="1C1C1C"/>
                <w:sz w:val="16"/>
                <w:szCs w:val="16"/>
                <w:lang w:eastAsia="en-AU"/>
              </w:rPr>
              <w:t xml:space="preserve">                           5,809 </w:t>
            </w:r>
          </w:p>
        </w:tc>
        <w:tc>
          <w:tcPr>
            <w:tcW w:w="2123" w:type="dxa"/>
            <w:tcBorders>
              <w:top w:val="single" w:sz="8" w:space="0" w:color="D9D9D9" w:themeColor="background2" w:themeShade="D9"/>
              <w:left w:val="single" w:sz="8" w:space="0" w:color="FFFFFF" w:themeColor="background2"/>
              <w:bottom w:val="single" w:sz="8" w:space="0" w:color="D9D9D9" w:themeColor="background2" w:themeShade="D9"/>
            </w:tcBorders>
            <w:shd w:val="clear" w:color="000000" w:fill="F2F2F2"/>
            <w:vAlign w:val="center"/>
            <w:hideMark/>
          </w:tcPr>
          <w:p w14:paraId="5DFCBEB2" w14:textId="6417BDF7" w:rsidR="00492588" w:rsidRPr="009940F3" w:rsidRDefault="00086B18" w:rsidP="0007638E">
            <w:pPr>
              <w:spacing w:before="40" w:after="40" w:line="240" w:lineRule="auto"/>
              <w:jc w:val="right"/>
              <w:rPr>
                <w:rFonts w:eastAsia="Times New Roman" w:cs="Arial"/>
                <w:color w:val="1C1C1C"/>
                <w:sz w:val="16"/>
                <w:szCs w:val="16"/>
                <w:lang w:eastAsia="en-AU"/>
              </w:rPr>
            </w:pPr>
            <w:r w:rsidRPr="009940F3">
              <w:rPr>
                <w:rFonts w:eastAsia="Times New Roman" w:cs="Arial"/>
                <w:color w:val="1C1C1C"/>
                <w:sz w:val="16"/>
                <w:szCs w:val="16"/>
                <w:lang w:eastAsia="en-AU"/>
              </w:rPr>
              <w:t>6,239</w:t>
            </w:r>
            <w:r w:rsidR="00492588" w:rsidRPr="009940F3">
              <w:rPr>
                <w:rFonts w:eastAsia="Times New Roman" w:cs="Arial"/>
                <w:color w:val="1C1C1C"/>
                <w:sz w:val="16"/>
                <w:szCs w:val="16"/>
                <w:lang w:eastAsia="en-AU"/>
              </w:rPr>
              <w:t xml:space="preserve"> </w:t>
            </w:r>
          </w:p>
        </w:tc>
      </w:tr>
      <w:tr w:rsidR="00182461" w:rsidRPr="00492588" w14:paraId="4ADF5076" w14:textId="77777777" w:rsidTr="00723D47">
        <w:trPr>
          <w:trHeight w:val="298"/>
        </w:trPr>
        <w:tc>
          <w:tcPr>
            <w:tcW w:w="2967" w:type="dxa"/>
            <w:tcBorders>
              <w:top w:val="single" w:sz="8" w:space="0" w:color="D9D9D9" w:themeColor="background2" w:themeShade="D9"/>
              <w:left w:val="nil"/>
              <w:bottom w:val="single" w:sz="8" w:space="0" w:color="D9D9D9"/>
              <w:right w:val="single" w:sz="8" w:space="0" w:color="FFFFFF" w:themeColor="background2"/>
            </w:tcBorders>
            <w:shd w:val="clear" w:color="000000" w:fill="F2F2F2"/>
            <w:vAlign w:val="center"/>
          </w:tcPr>
          <w:p w14:paraId="262D4810" w14:textId="36FB44B6" w:rsidR="00182461" w:rsidRPr="009940F3" w:rsidRDefault="00182461" w:rsidP="00182461">
            <w:pPr>
              <w:spacing w:before="40" w:after="40" w:line="240" w:lineRule="auto"/>
              <w:rPr>
                <w:rFonts w:eastAsia="Times New Roman" w:cs="Arial"/>
                <w:color w:val="1C1C1C"/>
                <w:sz w:val="16"/>
                <w:szCs w:val="16"/>
                <w:lang w:eastAsia="en-AU"/>
              </w:rPr>
            </w:pPr>
            <w:r>
              <w:rPr>
                <w:rFonts w:eastAsia="Times New Roman" w:cs="Arial"/>
                <w:color w:val="1C1C1C"/>
                <w:sz w:val="16"/>
                <w:szCs w:val="16"/>
                <w:lang w:eastAsia="en-AU"/>
              </w:rPr>
              <w:t xml:space="preserve"> Same day av</w:t>
            </w:r>
            <w:r w:rsidRPr="009940F3">
              <w:rPr>
                <w:rFonts w:eastAsia="Times New Roman" w:cs="Arial"/>
                <w:color w:val="1C1C1C"/>
                <w:sz w:val="16"/>
                <w:szCs w:val="16"/>
                <w:lang w:eastAsia="en-AU"/>
              </w:rPr>
              <w:t xml:space="preserve">erage cost ($) </w:t>
            </w:r>
          </w:p>
        </w:tc>
        <w:tc>
          <w:tcPr>
            <w:tcW w:w="2413" w:type="dxa"/>
            <w:tcBorders>
              <w:top w:val="single" w:sz="8" w:space="0" w:color="D9D9D9" w:themeColor="background2" w:themeShade="D9"/>
              <w:left w:val="single" w:sz="8" w:space="0" w:color="FFFFFF" w:themeColor="background2"/>
              <w:bottom w:val="single" w:sz="8" w:space="0" w:color="D9D9D9"/>
              <w:right w:val="single" w:sz="8" w:space="0" w:color="FFFFFF" w:themeColor="background2"/>
            </w:tcBorders>
            <w:shd w:val="clear" w:color="000000" w:fill="F2F2F2"/>
          </w:tcPr>
          <w:p w14:paraId="32324C87" w14:textId="4FE00AAF" w:rsidR="00182461" w:rsidRPr="009940F3" w:rsidRDefault="00182461" w:rsidP="00182461">
            <w:pPr>
              <w:spacing w:before="40" w:after="40" w:line="240" w:lineRule="auto"/>
              <w:jc w:val="right"/>
              <w:rPr>
                <w:rFonts w:eastAsia="Times New Roman" w:cs="Arial"/>
                <w:color w:val="1C1C1C"/>
                <w:sz w:val="16"/>
                <w:szCs w:val="16"/>
                <w:lang w:eastAsia="en-AU"/>
              </w:rPr>
            </w:pPr>
            <w:r w:rsidRPr="00D16D7C">
              <w:rPr>
                <w:rFonts w:eastAsia="Times New Roman" w:cs="Arial"/>
                <w:color w:val="1C1C1C"/>
                <w:sz w:val="16"/>
                <w:szCs w:val="16"/>
                <w:lang w:eastAsia="en-AU"/>
              </w:rPr>
              <w:t xml:space="preserve"> 1,498 </w:t>
            </w:r>
          </w:p>
        </w:tc>
        <w:tc>
          <w:tcPr>
            <w:tcW w:w="2268" w:type="dxa"/>
            <w:tcBorders>
              <w:top w:val="single" w:sz="8" w:space="0" w:color="D9D9D9" w:themeColor="background2" w:themeShade="D9"/>
              <w:left w:val="single" w:sz="8" w:space="0" w:color="FFFFFF" w:themeColor="background2"/>
              <w:bottom w:val="single" w:sz="8" w:space="0" w:color="D9D9D9"/>
              <w:right w:val="single" w:sz="8" w:space="0" w:color="FFFFFF" w:themeColor="background2"/>
            </w:tcBorders>
            <w:shd w:val="clear" w:color="000000" w:fill="F2F2F2"/>
          </w:tcPr>
          <w:p w14:paraId="4EAEB228" w14:textId="6106CA2B" w:rsidR="00182461" w:rsidRPr="009940F3" w:rsidRDefault="00182461" w:rsidP="00182461">
            <w:pPr>
              <w:spacing w:before="40" w:after="40" w:line="240" w:lineRule="auto"/>
              <w:jc w:val="right"/>
              <w:rPr>
                <w:rFonts w:eastAsia="Times New Roman" w:cs="Arial"/>
                <w:color w:val="1C1C1C"/>
                <w:sz w:val="16"/>
                <w:szCs w:val="16"/>
                <w:lang w:eastAsia="en-AU"/>
              </w:rPr>
            </w:pPr>
            <w:r w:rsidRPr="00D16D7C">
              <w:rPr>
                <w:rFonts w:eastAsia="Times New Roman" w:cs="Arial"/>
                <w:color w:val="1C1C1C"/>
                <w:sz w:val="16"/>
                <w:szCs w:val="16"/>
                <w:lang w:eastAsia="en-AU"/>
              </w:rPr>
              <w:t xml:space="preserve"> 1,611 </w:t>
            </w:r>
          </w:p>
        </w:tc>
        <w:tc>
          <w:tcPr>
            <w:tcW w:w="2123" w:type="dxa"/>
            <w:tcBorders>
              <w:top w:val="single" w:sz="8" w:space="0" w:color="D9D9D9" w:themeColor="background2" w:themeShade="D9"/>
              <w:left w:val="single" w:sz="8" w:space="0" w:color="FFFFFF" w:themeColor="background2"/>
              <w:bottom w:val="single" w:sz="8" w:space="0" w:color="D9D9D9"/>
              <w:right w:val="single" w:sz="8" w:space="0" w:color="FFFFFF"/>
            </w:tcBorders>
            <w:shd w:val="clear" w:color="000000" w:fill="F2F2F2"/>
          </w:tcPr>
          <w:p w14:paraId="1EF57D94" w14:textId="5C86B15B" w:rsidR="00182461" w:rsidRPr="009940F3" w:rsidRDefault="00182461" w:rsidP="00182461">
            <w:pPr>
              <w:spacing w:before="40" w:after="40" w:line="240" w:lineRule="auto"/>
              <w:jc w:val="right"/>
              <w:rPr>
                <w:rFonts w:eastAsia="Times New Roman" w:cs="Arial"/>
                <w:color w:val="1C1C1C"/>
                <w:sz w:val="16"/>
                <w:szCs w:val="16"/>
                <w:lang w:eastAsia="en-AU"/>
              </w:rPr>
            </w:pPr>
            <w:r w:rsidRPr="00D16D7C">
              <w:rPr>
                <w:rFonts w:eastAsia="Times New Roman" w:cs="Arial"/>
                <w:color w:val="1C1C1C"/>
                <w:sz w:val="16"/>
                <w:szCs w:val="16"/>
                <w:lang w:eastAsia="en-AU"/>
              </w:rPr>
              <w:t xml:space="preserve"> 1,745 </w:t>
            </w:r>
          </w:p>
        </w:tc>
      </w:tr>
      <w:tr w:rsidR="00182461" w:rsidRPr="00492588" w14:paraId="35062520" w14:textId="77777777" w:rsidTr="00D16D7C">
        <w:trPr>
          <w:trHeight w:val="298"/>
        </w:trPr>
        <w:tc>
          <w:tcPr>
            <w:tcW w:w="2967" w:type="dxa"/>
            <w:tcBorders>
              <w:top w:val="single" w:sz="8" w:space="0" w:color="D9D9D9"/>
              <w:left w:val="nil"/>
              <w:bottom w:val="single" w:sz="8" w:space="0" w:color="D9D9D9"/>
              <w:right w:val="single" w:sz="8" w:space="0" w:color="FFFFFF"/>
            </w:tcBorders>
            <w:shd w:val="clear" w:color="000000" w:fill="F2F2F2"/>
            <w:vAlign w:val="center"/>
          </w:tcPr>
          <w:p w14:paraId="7B2B2590" w14:textId="61D18296" w:rsidR="00182461" w:rsidRPr="009940F3" w:rsidRDefault="00182461" w:rsidP="00182461">
            <w:pPr>
              <w:spacing w:before="40" w:after="40" w:line="240" w:lineRule="auto"/>
              <w:rPr>
                <w:rFonts w:eastAsia="Times New Roman" w:cs="Arial"/>
                <w:color w:val="1C1C1C"/>
                <w:sz w:val="16"/>
                <w:szCs w:val="16"/>
                <w:lang w:eastAsia="en-AU"/>
              </w:rPr>
            </w:pPr>
            <w:r w:rsidRPr="009940F3">
              <w:rPr>
                <w:rFonts w:eastAsia="Times New Roman" w:cs="Arial"/>
                <w:color w:val="1C1C1C"/>
                <w:sz w:val="16"/>
                <w:szCs w:val="16"/>
                <w:lang w:eastAsia="en-AU"/>
              </w:rPr>
              <w:t xml:space="preserve"> </w:t>
            </w:r>
            <w:r>
              <w:rPr>
                <w:rFonts w:eastAsia="Times New Roman" w:cs="Arial"/>
                <w:color w:val="1C1C1C"/>
                <w:sz w:val="16"/>
                <w:szCs w:val="16"/>
                <w:lang w:eastAsia="en-AU"/>
              </w:rPr>
              <w:t>Overnight ALOS</w:t>
            </w:r>
            <w:r w:rsidRPr="009940F3">
              <w:rPr>
                <w:rFonts w:eastAsia="Times New Roman" w:cs="Arial"/>
                <w:color w:val="1C1C1C"/>
                <w:sz w:val="16"/>
                <w:szCs w:val="16"/>
                <w:lang w:eastAsia="en-AU"/>
              </w:rPr>
              <w:t xml:space="preserve"> (days)</w:t>
            </w:r>
          </w:p>
        </w:tc>
        <w:tc>
          <w:tcPr>
            <w:tcW w:w="2413" w:type="dxa"/>
            <w:tcBorders>
              <w:top w:val="single" w:sz="8" w:space="0" w:color="D9D9D9"/>
              <w:left w:val="nil"/>
              <w:bottom w:val="single" w:sz="8" w:space="0" w:color="D9D9D9"/>
              <w:right w:val="single" w:sz="8" w:space="0" w:color="FFFFFF"/>
            </w:tcBorders>
            <w:shd w:val="clear" w:color="000000" w:fill="F2F2F2"/>
          </w:tcPr>
          <w:p w14:paraId="414D0703" w14:textId="07F8F933" w:rsidR="00182461" w:rsidRPr="009940F3" w:rsidRDefault="00182461" w:rsidP="00182461">
            <w:pPr>
              <w:spacing w:before="40" w:after="40" w:line="240" w:lineRule="auto"/>
              <w:jc w:val="right"/>
              <w:rPr>
                <w:rFonts w:eastAsia="Times New Roman" w:cs="Arial"/>
                <w:color w:val="1C1C1C"/>
                <w:sz w:val="16"/>
                <w:szCs w:val="16"/>
                <w:lang w:eastAsia="en-AU"/>
              </w:rPr>
            </w:pPr>
            <w:r w:rsidRPr="00D16D7C">
              <w:rPr>
                <w:rFonts w:eastAsia="Times New Roman" w:cs="Arial"/>
                <w:color w:val="1C1C1C"/>
                <w:sz w:val="16"/>
                <w:szCs w:val="16"/>
                <w:lang w:eastAsia="en-AU"/>
              </w:rPr>
              <w:t xml:space="preserve"> 4.3 </w:t>
            </w:r>
          </w:p>
        </w:tc>
        <w:tc>
          <w:tcPr>
            <w:tcW w:w="2268" w:type="dxa"/>
            <w:tcBorders>
              <w:top w:val="single" w:sz="8" w:space="0" w:color="D9D9D9"/>
              <w:left w:val="nil"/>
              <w:bottom w:val="single" w:sz="8" w:space="0" w:color="D9D9D9"/>
              <w:right w:val="single" w:sz="8" w:space="0" w:color="FFFFFF"/>
            </w:tcBorders>
            <w:shd w:val="clear" w:color="000000" w:fill="F2F2F2"/>
          </w:tcPr>
          <w:p w14:paraId="4312E81D" w14:textId="757CDB29" w:rsidR="00182461" w:rsidRPr="009940F3" w:rsidRDefault="00182461" w:rsidP="00182461">
            <w:pPr>
              <w:spacing w:before="40" w:after="40" w:line="240" w:lineRule="auto"/>
              <w:jc w:val="right"/>
              <w:rPr>
                <w:rFonts w:eastAsia="Times New Roman" w:cs="Arial"/>
                <w:color w:val="1C1C1C"/>
                <w:sz w:val="16"/>
                <w:szCs w:val="16"/>
                <w:lang w:eastAsia="en-AU"/>
              </w:rPr>
            </w:pPr>
            <w:r w:rsidRPr="00D16D7C">
              <w:rPr>
                <w:rFonts w:eastAsia="Times New Roman" w:cs="Arial"/>
                <w:color w:val="1C1C1C"/>
                <w:sz w:val="16"/>
                <w:szCs w:val="16"/>
                <w:lang w:eastAsia="en-AU"/>
              </w:rPr>
              <w:t xml:space="preserve"> 4.5 </w:t>
            </w:r>
          </w:p>
        </w:tc>
        <w:tc>
          <w:tcPr>
            <w:tcW w:w="2123" w:type="dxa"/>
            <w:tcBorders>
              <w:top w:val="single" w:sz="8" w:space="0" w:color="D9D9D9"/>
              <w:left w:val="nil"/>
              <w:bottom w:val="single" w:sz="8" w:space="0" w:color="D9D9D9"/>
              <w:right w:val="single" w:sz="8" w:space="0" w:color="FFFFFF"/>
            </w:tcBorders>
            <w:shd w:val="clear" w:color="000000" w:fill="F2F2F2"/>
          </w:tcPr>
          <w:p w14:paraId="475F7B33" w14:textId="51F0B897" w:rsidR="00182461" w:rsidRPr="009940F3" w:rsidRDefault="00182461" w:rsidP="00182461">
            <w:pPr>
              <w:spacing w:before="40" w:after="40" w:line="240" w:lineRule="auto"/>
              <w:jc w:val="right"/>
              <w:rPr>
                <w:rFonts w:eastAsia="Times New Roman" w:cs="Arial"/>
                <w:color w:val="1C1C1C"/>
                <w:sz w:val="16"/>
                <w:szCs w:val="16"/>
                <w:lang w:eastAsia="en-AU"/>
              </w:rPr>
            </w:pPr>
            <w:r w:rsidRPr="00D16D7C">
              <w:rPr>
                <w:rFonts w:eastAsia="Times New Roman" w:cs="Arial"/>
                <w:color w:val="1C1C1C"/>
                <w:sz w:val="16"/>
                <w:szCs w:val="16"/>
                <w:lang w:eastAsia="en-AU"/>
              </w:rPr>
              <w:t xml:space="preserve"> 4.6 </w:t>
            </w:r>
          </w:p>
        </w:tc>
      </w:tr>
      <w:tr w:rsidR="00182461" w:rsidRPr="00492588" w14:paraId="1D3EEBC9" w14:textId="77777777" w:rsidTr="00D16D7C">
        <w:trPr>
          <w:trHeight w:val="298"/>
        </w:trPr>
        <w:tc>
          <w:tcPr>
            <w:tcW w:w="2967" w:type="dxa"/>
            <w:tcBorders>
              <w:top w:val="single" w:sz="8" w:space="0" w:color="D9D9D9"/>
              <w:left w:val="nil"/>
              <w:bottom w:val="single" w:sz="8" w:space="0" w:color="D9D9D9"/>
              <w:right w:val="single" w:sz="8" w:space="0" w:color="FFFFFF"/>
            </w:tcBorders>
            <w:shd w:val="clear" w:color="000000" w:fill="F2F2F2"/>
            <w:vAlign w:val="center"/>
          </w:tcPr>
          <w:p w14:paraId="72D7D481" w14:textId="380A1860" w:rsidR="00182461" w:rsidRPr="009940F3" w:rsidRDefault="00182461" w:rsidP="00182461">
            <w:pPr>
              <w:spacing w:before="40" w:after="40" w:line="240" w:lineRule="auto"/>
              <w:rPr>
                <w:rFonts w:eastAsia="Times New Roman" w:cs="Arial"/>
                <w:color w:val="1C1C1C"/>
                <w:sz w:val="16"/>
                <w:szCs w:val="16"/>
                <w:lang w:eastAsia="en-AU"/>
              </w:rPr>
            </w:pPr>
            <w:r w:rsidRPr="009940F3">
              <w:rPr>
                <w:rFonts w:eastAsia="Times New Roman" w:cs="Arial"/>
                <w:color w:val="1C1C1C"/>
                <w:sz w:val="16"/>
                <w:szCs w:val="16"/>
                <w:lang w:eastAsia="en-AU"/>
              </w:rPr>
              <w:t xml:space="preserve"> </w:t>
            </w:r>
            <w:r>
              <w:rPr>
                <w:rFonts w:eastAsia="Times New Roman" w:cs="Arial"/>
                <w:color w:val="1C1C1C"/>
                <w:sz w:val="16"/>
                <w:szCs w:val="16"/>
                <w:lang w:eastAsia="en-AU"/>
              </w:rPr>
              <w:t>Overnight a</w:t>
            </w:r>
            <w:r w:rsidRPr="009940F3">
              <w:rPr>
                <w:rFonts w:eastAsia="Times New Roman" w:cs="Arial"/>
                <w:color w:val="1C1C1C"/>
                <w:sz w:val="16"/>
                <w:szCs w:val="16"/>
                <w:lang w:eastAsia="en-AU"/>
              </w:rPr>
              <w:t xml:space="preserve">verage cost ($) </w:t>
            </w:r>
          </w:p>
        </w:tc>
        <w:tc>
          <w:tcPr>
            <w:tcW w:w="2413" w:type="dxa"/>
            <w:tcBorders>
              <w:top w:val="single" w:sz="8" w:space="0" w:color="D9D9D9"/>
              <w:left w:val="nil"/>
              <w:bottom w:val="single" w:sz="8" w:space="0" w:color="D9D9D9"/>
              <w:right w:val="single" w:sz="8" w:space="0" w:color="FFFFFF"/>
            </w:tcBorders>
            <w:shd w:val="clear" w:color="000000" w:fill="F2F2F2"/>
          </w:tcPr>
          <w:p w14:paraId="5D00595D" w14:textId="2A40D19F" w:rsidR="00182461" w:rsidRPr="009940F3" w:rsidRDefault="00182461" w:rsidP="00182461">
            <w:pPr>
              <w:spacing w:before="40" w:after="40" w:line="240" w:lineRule="auto"/>
              <w:jc w:val="right"/>
              <w:rPr>
                <w:rFonts w:eastAsia="Times New Roman" w:cs="Arial"/>
                <w:color w:val="1C1C1C"/>
                <w:sz w:val="16"/>
                <w:szCs w:val="16"/>
                <w:lang w:eastAsia="en-AU"/>
              </w:rPr>
            </w:pPr>
            <w:r w:rsidRPr="00D16D7C">
              <w:rPr>
                <w:rFonts w:eastAsia="Times New Roman" w:cs="Arial"/>
                <w:color w:val="1C1C1C"/>
                <w:sz w:val="16"/>
                <w:szCs w:val="16"/>
                <w:lang w:eastAsia="en-AU"/>
              </w:rPr>
              <w:t xml:space="preserve"> 10,824 </w:t>
            </w:r>
          </w:p>
        </w:tc>
        <w:tc>
          <w:tcPr>
            <w:tcW w:w="2268" w:type="dxa"/>
            <w:tcBorders>
              <w:top w:val="single" w:sz="8" w:space="0" w:color="D9D9D9"/>
              <w:left w:val="nil"/>
              <w:bottom w:val="single" w:sz="8" w:space="0" w:color="D9D9D9"/>
              <w:right w:val="single" w:sz="8" w:space="0" w:color="FFFFFF"/>
            </w:tcBorders>
            <w:shd w:val="clear" w:color="000000" w:fill="F2F2F2"/>
          </w:tcPr>
          <w:p w14:paraId="71713267" w14:textId="13B68879" w:rsidR="00182461" w:rsidRPr="009940F3" w:rsidRDefault="00182461" w:rsidP="00182461">
            <w:pPr>
              <w:spacing w:before="40" w:after="40" w:line="240" w:lineRule="auto"/>
              <w:jc w:val="right"/>
              <w:rPr>
                <w:rFonts w:eastAsia="Times New Roman" w:cs="Arial"/>
                <w:color w:val="1C1C1C"/>
                <w:sz w:val="16"/>
                <w:szCs w:val="16"/>
                <w:lang w:eastAsia="en-AU"/>
              </w:rPr>
            </w:pPr>
            <w:r w:rsidRPr="00D16D7C">
              <w:rPr>
                <w:rFonts w:eastAsia="Times New Roman" w:cs="Arial"/>
                <w:color w:val="1C1C1C"/>
                <w:sz w:val="16"/>
                <w:szCs w:val="16"/>
                <w:lang w:eastAsia="en-AU"/>
              </w:rPr>
              <w:t xml:space="preserve"> 11,929 </w:t>
            </w:r>
          </w:p>
        </w:tc>
        <w:tc>
          <w:tcPr>
            <w:tcW w:w="2123" w:type="dxa"/>
            <w:tcBorders>
              <w:top w:val="single" w:sz="8" w:space="0" w:color="D9D9D9"/>
              <w:left w:val="nil"/>
              <w:bottom w:val="single" w:sz="8" w:space="0" w:color="D9D9D9"/>
              <w:right w:val="single" w:sz="8" w:space="0" w:color="FFFFFF"/>
            </w:tcBorders>
            <w:shd w:val="clear" w:color="000000" w:fill="F2F2F2"/>
          </w:tcPr>
          <w:p w14:paraId="1EA78FA8" w14:textId="5C9E36EA" w:rsidR="00182461" w:rsidRPr="009940F3" w:rsidRDefault="00182461" w:rsidP="00182461">
            <w:pPr>
              <w:spacing w:before="40" w:after="40" w:line="240" w:lineRule="auto"/>
              <w:jc w:val="right"/>
              <w:rPr>
                <w:rFonts w:eastAsia="Times New Roman" w:cs="Arial"/>
                <w:color w:val="1C1C1C"/>
                <w:sz w:val="16"/>
                <w:szCs w:val="16"/>
                <w:lang w:eastAsia="en-AU"/>
              </w:rPr>
            </w:pPr>
            <w:r w:rsidRPr="00D16D7C">
              <w:rPr>
                <w:rFonts w:eastAsia="Times New Roman" w:cs="Arial"/>
                <w:color w:val="1C1C1C"/>
                <w:sz w:val="16"/>
                <w:szCs w:val="16"/>
                <w:lang w:eastAsia="en-AU"/>
              </w:rPr>
              <w:t xml:space="preserve"> 12,826 </w:t>
            </w:r>
          </w:p>
        </w:tc>
      </w:tr>
    </w:tbl>
    <w:p w14:paraId="7ECA18E7" w14:textId="77777777" w:rsidR="00060AC3" w:rsidRDefault="00060AC3" w:rsidP="00A47745">
      <w:pPr>
        <w:spacing w:line="276" w:lineRule="auto"/>
        <w:rPr>
          <w:rFonts w:cs="Arial"/>
          <w:color w:val="auto"/>
        </w:rPr>
      </w:pPr>
    </w:p>
    <w:p w14:paraId="3647C8CC" w14:textId="77777777" w:rsidR="00060AC3" w:rsidRDefault="00060AC3">
      <w:pPr>
        <w:spacing w:line="259" w:lineRule="auto"/>
        <w:rPr>
          <w:rFonts w:cs="Arial"/>
          <w:color w:val="auto"/>
        </w:rPr>
      </w:pPr>
      <w:r>
        <w:rPr>
          <w:rFonts w:cs="Arial"/>
          <w:color w:val="auto"/>
        </w:rPr>
        <w:br w:type="page"/>
      </w:r>
    </w:p>
    <w:p w14:paraId="1E58C9FC" w14:textId="74D94862" w:rsidR="00191071" w:rsidRPr="0007638E" w:rsidRDefault="00191071" w:rsidP="0007638E">
      <w:pPr>
        <w:pStyle w:val="Heading2"/>
      </w:pPr>
      <w:bookmarkStart w:id="73" w:name="_Toc144215435"/>
      <w:bookmarkStart w:id="74" w:name="_Toc144967635"/>
      <w:bookmarkStart w:id="75" w:name="_Toc151129690"/>
      <w:bookmarkStart w:id="76" w:name="_Toc158882541"/>
      <w:bookmarkStart w:id="77" w:name="_Toc158882602"/>
      <w:r w:rsidRPr="0007638E">
        <w:lastRenderedPageBreak/>
        <w:t xml:space="preserve">Admitted acute </w:t>
      </w:r>
      <w:r w:rsidR="003B3BF1">
        <w:t>sample</w:t>
      </w:r>
    </w:p>
    <w:p w14:paraId="4F497A00" w14:textId="60A481D0" w:rsidR="00191071" w:rsidRDefault="00CC29EE" w:rsidP="00CC29EE">
      <w:pPr>
        <w:spacing w:line="276" w:lineRule="auto"/>
        <w:rPr>
          <w:rFonts w:cs="Arial"/>
        </w:rPr>
      </w:pPr>
      <w:r w:rsidRPr="00CC29EE">
        <w:rPr>
          <w:rFonts w:cs="Arial"/>
        </w:rPr>
        <w:t xml:space="preserve">In 2022-23, 100% of the </w:t>
      </w:r>
      <w:r w:rsidR="0085419C">
        <w:rPr>
          <w:rFonts w:cs="Arial"/>
        </w:rPr>
        <w:t>NHCDC</w:t>
      </w:r>
      <w:r w:rsidR="0085419C" w:rsidRPr="00CC29EE">
        <w:rPr>
          <w:rFonts w:cs="Arial"/>
        </w:rPr>
        <w:t xml:space="preserve"> </w:t>
      </w:r>
      <w:r w:rsidRPr="00CC29EE">
        <w:rPr>
          <w:rFonts w:cs="Arial"/>
        </w:rPr>
        <w:t xml:space="preserve">admitted acute records were </w:t>
      </w:r>
      <w:r w:rsidR="0085419C">
        <w:rPr>
          <w:rFonts w:cs="Arial"/>
        </w:rPr>
        <w:t xml:space="preserve">linked to activity and </w:t>
      </w:r>
      <w:r w:rsidRPr="00CC29EE">
        <w:rPr>
          <w:rFonts w:cs="Arial"/>
        </w:rPr>
        <w:t>in</w:t>
      </w:r>
      <w:r w:rsidR="007815BC">
        <w:rPr>
          <w:rFonts w:cs="Arial"/>
        </w:rPr>
        <w:t xml:space="preserve"> </w:t>
      </w:r>
      <w:r w:rsidRPr="00CC29EE">
        <w:rPr>
          <w:rFonts w:cs="Arial"/>
        </w:rPr>
        <w:t xml:space="preserve">scope for </w:t>
      </w:r>
      <w:r w:rsidR="0085419C">
        <w:rPr>
          <w:rFonts w:cs="Arial"/>
        </w:rPr>
        <w:t>NHCDC</w:t>
      </w:r>
      <w:r w:rsidRPr="00CC29EE">
        <w:rPr>
          <w:rFonts w:cs="Arial"/>
        </w:rPr>
        <w:t xml:space="preserve"> reporting. </w:t>
      </w:r>
      <w:r w:rsidR="00183C52" w:rsidRPr="00183C52">
        <w:rPr>
          <w:rFonts w:cs="Arial"/>
        </w:rPr>
        <w:fldChar w:fldCharType="begin"/>
      </w:r>
      <w:r w:rsidR="00183C52" w:rsidRPr="00183C52">
        <w:rPr>
          <w:rFonts w:cs="Arial"/>
        </w:rPr>
        <w:instrText xml:space="preserve"> REF _Ref185835921 \h </w:instrText>
      </w:r>
      <w:r w:rsidR="00183C52" w:rsidRPr="00183C52">
        <w:rPr>
          <w:rFonts w:cs="Arial"/>
        </w:rPr>
      </w:r>
      <w:r w:rsidR="00183C52" w:rsidRPr="00183C52">
        <w:rPr>
          <w:rFonts w:cs="Arial"/>
        </w:rPr>
        <w:fldChar w:fldCharType="separate"/>
      </w:r>
      <w:r w:rsidR="00183C52" w:rsidRPr="00296833">
        <w:rPr>
          <w:rFonts w:cstheme="majorBidi"/>
          <w:lang w:val="en-PH"/>
        </w:rPr>
        <w:t xml:space="preserve">Table </w:t>
      </w:r>
      <w:r w:rsidR="00183C52" w:rsidRPr="00296833">
        <w:rPr>
          <w:rFonts w:cstheme="majorBidi"/>
          <w:noProof/>
          <w:lang w:val="en-PH"/>
        </w:rPr>
        <w:t>6</w:t>
      </w:r>
      <w:r w:rsidR="00183C52" w:rsidRPr="00183C52">
        <w:rPr>
          <w:rFonts w:cs="Arial"/>
        </w:rPr>
        <w:fldChar w:fldCharType="end"/>
      </w:r>
      <w:r w:rsidRPr="00CC29EE">
        <w:rPr>
          <w:rFonts w:cs="Arial"/>
        </w:rPr>
        <w:t xml:space="preserve"> shows the number of in-scope</w:t>
      </w:r>
      <w:r w:rsidR="00182461">
        <w:rPr>
          <w:rFonts w:cs="Arial"/>
        </w:rPr>
        <w:t xml:space="preserve"> NHCDC</w:t>
      </w:r>
      <w:r w:rsidRPr="00CC29EE">
        <w:rPr>
          <w:rFonts w:cs="Arial"/>
        </w:rPr>
        <w:t xml:space="preserve"> records</w:t>
      </w:r>
      <w:r w:rsidR="00182461">
        <w:rPr>
          <w:rFonts w:cs="Arial"/>
        </w:rPr>
        <w:t xml:space="preserve">, ABF </w:t>
      </w:r>
      <w:r w:rsidRPr="00CC29EE">
        <w:rPr>
          <w:rFonts w:cs="Arial"/>
        </w:rPr>
        <w:t xml:space="preserve">activity, and </w:t>
      </w:r>
      <w:r w:rsidR="009443F8">
        <w:rPr>
          <w:rFonts w:cs="Arial"/>
        </w:rPr>
        <w:t xml:space="preserve">the </w:t>
      </w:r>
      <w:r w:rsidRPr="00CC29EE">
        <w:rPr>
          <w:rFonts w:cs="Arial"/>
        </w:rPr>
        <w:t xml:space="preserve">proportion of costed activity by jurisdiction, from 2021-22 to </w:t>
      </w:r>
      <w:r w:rsidRPr="00CC29EE">
        <w:rPr>
          <w:rFonts w:cstheme="majorBidi"/>
          <w:lang w:val="en-PH"/>
        </w:rPr>
        <w:t>2022-23</w:t>
      </w:r>
      <w:r w:rsidRPr="00CC29EE">
        <w:rPr>
          <w:rFonts w:cs="Arial"/>
        </w:rPr>
        <w:t xml:space="preserve">. </w:t>
      </w:r>
      <w:r w:rsidR="0085419C">
        <w:rPr>
          <w:rFonts w:cs="Arial"/>
        </w:rPr>
        <w:t>In 2022-23, n</w:t>
      </w:r>
      <w:r w:rsidRPr="00CC29EE">
        <w:rPr>
          <w:rFonts w:cs="Arial"/>
        </w:rPr>
        <w:t>ationally</w:t>
      </w:r>
      <w:r w:rsidR="0085419C">
        <w:rPr>
          <w:rFonts w:cs="Arial"/>
        </w:rPr>
        <w:t xml:space="preserve"> 95% of in-scope activity was linked to cost (</w:t>
      </w:r>
      <w:r w:rsidR="007815BC">
        <w:rPr>
          <w:rFonts w:cs="Arial"/>
        </w:rPr>
        <w:t>c</w:t>
      </w:r>
      <w:r w:rsidR="0085419C">
        <w:rPr>
          <w:rFonts w:cs="Arial"/>
        </w:rPr>
        <w:t xml:space="preserve">osted </w:t>
      </w:r>
      <w:r w:rsidR="00CD38FD">
        <w:rPr>
          <w:rFonts w:cs="Arial"/>
        </w:rPr>
        <w:t>a</w:t>
      </w:r>
      <w:r w:rsidR="0085419C">
        <w:rPr>
          <w:rFonts w:cs="Arial"/>
        </w:rPr>
        <w:t xml:space="preserve">ctivity %), consistent with </w:t>
      </w:r>
      <w:r w:rsidR="003603DE" w:rsidRPr="003603DE">
        <w:rPr>
          <w:rFonts w:cs="Arial"/>
        </w:rPr>
        <w:t xml:space="preserve">2020-21 </w:t>
      </w:r>
      <w:r w:rsidR="0085419C">
        <w:rPr>
          <w:rFonts w:cs="Arial"/>
        </w:rPr>
        <w:t>and 2021-22.</w:t>
      </w:r>
    </w:p>
    <w:p w14:paraId="50DA2758" w14:textId="4496C208" w:rsidR="00191071" w:rsidRDefault="00191071" w:rsidP="00296833">
      <w:pPr>
        <w:pStyle w:val="TableFigureheading"/>
        <w:rPr>
          <w:lang w:val="en-PH"/>
        </w:rPr>
      </w:pPr>
      <w:bookmarkStart w:id="78" w:name="_Ref185835921"/>
      <w:bookmarkStart w:id="79" w:name="_Toc177467508"/>
      <w:bookmarkStart w:id="80" w:name="_Toc185852213"/>
      <w:bookmarkStart w:id="81" w:name="_Toc187312132"/>
      <w:r w:rsidRPr="0093558C">
        <w:rPr>
          <w:lang w:val="en-PH"/>
        </w:rPr>
        <w:t xml:space="preserve">Table </w:t>
      </w:r>
      <w:r w:rsidRPr="0093558C">
        <w:rPr>
          <w:iCs w:val="0"/>
          <w:lang w:val="en-PH"/>
        </w:rPr>
        <w:fldChar w:fldCharType="begin"/>
      </w:r>
      <w:r w:rsidRPr="0093558C">
        <w:rPr>
          <w:lang w:val="en-PH"/>
        </w:rPr>
        <w:instrText xml:space="preserve"> SEQ Table \* ARABIC </w:instrText>
      </w:r>
      <w:r w:rsidRPr="0093558C">
        <w:rPr>
          <w:iCs w:val="0"/>
          <w:lang w:val="en-PH"/>
        </w:rPr>
        <w:fldChar w:fldCharType="separate"/>
      </w:r>
      <w:r w:rsidR="003523AB">
        <w:rPr>
          <w:noProof/>
          <w:lang w:val="en-PH"/>
        </w:rPr>
        <w:t>6</w:t>
      </w:r>
      <w:r w:rsidRPr="0093558C">
        <w:rPr>
          <w:iCs w:val="0"/>
          <w:lang w:val="en-PH"/>
        </w:rPr>
        <w:fldChar w:fldCharType="end"/>
      </w:r>
      <w:bookmarkEnd w:id="78"/>
      <w:r w:rsidRPr="0093558C">
        <w:rPr>
          <w:lang w:val="en-PH"/>
        </w:rPr>
        <w:t xml:space="preserve">: </w:t>
      </w:r>
      <w:r w:rsidR="003B3BF1">
        <w:rPr>
          <w:lang w:val="en-PH"/>
        </w:rPr>
        <w:t>Admitted acute</w:t>
      </w:r>
      <w:r>
        <w:rPr>
          <w:lang w:val="en-PH"/>
        </w:rPr>
        <w:t xml:space="preserve"> </w:t>
      </w:r>
      <w:r w:rsidR="007815BC">
        <w:rPr>
          <w:lang w:val="en-PH"/>
        </w:rPr>
        <w:t>sample summary</w:t>
      </w:r>
      <w:r w:rsidR="00DC2CD1">
        <w:rPr>
          <w:lang w:val="en-PH"/>
        </w:rPr>
        <w:t xml:space="preserve"> by jurisdiction</w:t>
      </w:r>
      <w:r w:rsidR="007815BC">
        <w:rPr>
          <w:lang w:val="en-PH"/>
        </w:rPr>
        <w:t xml:space="preserve">, </w:t>
      </w:r>
      <w:r w:rsidRPr="00D73FCC">
        <w:rPr>
          <w:iCs w:val="0"/>
          <w:lang w:val="en-PH"/>
        </w:rPr>
        <w:t>2020-21</w:t>
      </w:r>
      <w:r w:rsidRPr="0093558C">
        <w:rPr>
          <w:lang w:val="en-PH"/>
        </w:rPr>
        <w:t xml:space="preserve"> to </w:t>
      </w:r>
      <w:r w:rsidRPr="00296833">
        <w:t>2022</w:t>
      </w:r>
      <w:r w:rsidR="003B3BF1">
        <w:rPr>
          <w:lang w:val="en-PH"/>
        </w:rPr>
        <w:noBreakHyphen/>
      </w:r>
      <w:r w:rsidRPr="008B2CD8">
        <w:rPr>
          <w:lang w:val="en-PH"/>
        </w:rPr>
        <w:t>2</w:t>
      </w:r>
      <w:r>
        <w:rPr>
          <w:lang w:val="en-PH"/>
        </w:rPr>
        <w:t>3</w:t>
      </w:r>
      <w:bookmarkEnd w:id="79"/>
      <w:bookmarkEnd w:id="80"/>
      <w:bookmarkEnd w:id="81"/>
    </w:p>
    <w:tbl>
      <w:tblPr>
        <w:tblW w:w="9741" w:type="dxa"/>
        <w:tblLook w:val="04A0" w:firstRow="1" w:lastRow="0" w:firstColumn="1" w:lastColumn="0" w:noHBand="0" w:noVBand="1"/>
      </w:tblPr>
      <w:tblGrid>
        <w:gridCol w:w="1277"/>
        <w:gridCol w:w="1127"/>
        <w:gridCol w:w="1000"/>
        <w:gridCol w:w="1001"/>
        <w:gridCol w:w="928"/>
        <w:gridCol w:w="928"/>
        <w:gridCol w:w="928"/>
        <w:gridCol w:w="837"/>
        <w:gridCol w:w="837"/>
        <w:gridCol w:w="867"/>
        <w:gridCol w:w="11"/>
      </w:tblGrid>
      <w:tr w:rsidR="00F61D59" w:rsidRPr="00AC02CF" w14:paraId="4A27B825" w14:textId="77777777" w:rsidTr="00E04435">
        <w:trPr>
          <w:trHeight w:val="305"/>
        </w:trPr>
        <w:tc>
          <w:tcPr>
            <w:tcW w:w="1297" w:type="dxa"/>
            <w:vMerge w:val="restart"/>
            <w:tcBorders>
              <w:top w:val="nil"/>
              <w:left w:val="nil"/>
              <w:bottom w:val="single" w:sz="8" w:space="0" w:color="D9D9D9"/>
              <w:right w:val="single" w:sz="8" w:space="0" w:color="FFFFFF"/>
            </w:tcBorders>
            <w:shd w:val="clear" w:color="000000" w:fill="15272F"/>
            <w:vAlign w:val="center"/>
            <w:hideMark/>
          </w:tcPr>
          <w:p w14:paraId="5A603AC2" w14:textId="77777777" w:rsidR="00F61D59" w:rsidRPr="00F61D59" w:rsidRDefault="00F61D59"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Jurisdiction</w:t>
            </w:r>
          </w:p>
        </w:tc>
        <w:tc>
          <w:tcPr>
            <w:tcW w:w="3173" w:type="dxa"/>
            <w:gridSpan w:val="3"/>
            <w:tcBorders>
              <w:top w:val="single" w:sz="8" w:space="0" w:color="auto"/>
              <w:left w:val="nil"/>
              <w:bottom w:val="single" w:sz="8" w:space="0" w:color="FFFFFF"/>
              <w:right w:val="single" w:sz="8" w:space="0" w:color="FFFFFF"/>
            </w:tcBorders>
            <w:shd w:val="clear" w:color="000000" w:fill="15272F"/>
            <w:vAlign w:val="center"/>
            <w:hideMark/>
          </w:tcPr>
          <w:p w14:paraId="38BB0EE0" w14:textId="1B0E9567" w:rsidR="00F61D59" w:rsidRPr="00F61D59" w:rsidRDefault="00F61D59"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In-scope</w:t>
            </w:r>
            <w:r w:rsidR="00182461">
              <w:rPr>
                <w:rFonts w:eastAsia="Times New Roman" w:cs="Arial"/>
                <w:b/>
                <w:bCs/>
                <w:color w:val="FFFFFF" w:themeColor="background2"/>
                <w:sz w:val="16"/>
                <w:szCs w:val="16"/>
                <w:lang w:eastAsia="en-AU"/>
              </w:rPr>
              <w:t xml:space="preserve"> NHCDC</w:t>
            </w:r>
            <w:r w:rsidRPr="00F61D59">
              <w:rPr>
                <w:rFonts w:eastAsia="Times New Roman" w:cs="Arial"/>
                <w:b/>
                <w:bCs/>
                <w:color w:val="FFFFFF" w:themeColor="background2"/>
                <w:sz w:val="16"/>
                <w:szCs w:val="16"/>
                <w:lang w:eastAsia="en-AU"/>
              </w:rPr>
              <w:t xml:space="preserve"> </w:t>
            </w:r>
            <w:r>
              <w:rPr>
                <w:rFonts w:eastAsia="Times New Roman" w:cs="Arial"/>
                <w:b/>
                <w:bCs/>
                <w:color w:val="FFFFFF" w:themeColor="background2"/>
                <w:sz w:val="16"/>
                <w:szCs w:val="16"/>
                <w:lang w:eastAsia="en-AU"/>
              </w:rPr>
              <w:t>r</w:t>
            </w:r>
            <w:r w:rsidRPr="00F61D59">
              <w:rPr>
                <w:rFonts w:eastAsia="Times New Roman" w:cs="Arial"/>
                <w:b/>
                <w:bCs/>
                <w:color w:val="FFFFFF" w:themeColor="background2"/>
                <w:sz w:val="16"/>
                <w:szCs w:val="16"/>
                <w:lang w:eastAsia="en-AU"/>
              </w:rPr>
              <w:t>ecords</w:t>
            </w:r>
          </w:p>
        </w:tc>
        <w:tc>
          <w:tcPr>
            <w:tcW w:w="2630" w:type="dxa"/>
            <w:gridSpan w:val="3"/>
            <w:tcBorders>
              <w:top w:val="single" w:sz="8" w:space="0" w:color="auto"/>
              <w:left w:val="nil"/>
              <w:bottom w:val="single" w:sz="8" w:space="0" w:color="FFFFFF"/>
              <w:right w:val="single" w:sz="4" w:space="0" w:color="FFFFFF" w:themeColor="background2"/>
            </w:tcBorders>
            <w:shd w:val="clear" w:color="000000" w:fill="15272F"/>
            <w:vAlign w:val="center"/>
            <w:hideMark/>
          </w:tcPr>
          <w:p w14:paraId="7B367E83" w14:textId="68380461" w:rsidR="00F61D59" w:rsidRPr="00F61D59" w:rsidRDefault="00F61D59"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 xml:space="preserve">In-scope </w:t>
            </w:r>
            <w:r w:rsidR="00182461">
              <w:rPr>
                <w:rFonts w:eastAsia="Times New Roman" w:cs="Arial"/>
                <w:b/>
                <w:bCs/>
                <w:color w:val="FFFFFF" w:themeColor="background2"/>
                <w:sz w:val="16"/>
                <w:szCs w:val="16"/>
                <w:lang w:eastAsia="en-AU"/>
              </w:rPr>
              <w:t xml:space="preserve">ABF </w:t>
            </w:r>
            <w:r>
              <w:rPr>
                <w:rFonts w:eastAsia="Times New Roman" w:cs="Arial"/>
                <w:b/>
                <w:bCs/>
                <w:color w:val="FFFFFF" w:themeColor="background2"/>
                <w:sz w:val="16"/>
                <w:szCs w:val="16"/>
                <w:lang w:eastAsia="en-AU"/>
              </w:rPr>
              <w:t>activity</w:t>
            </w:r>
          </w:p>
        </w:tc>
        <w:tc>
          <w:tcPr>
            <w:tcW w:w="2641" w:type="dxa"/>
            <w:gridSpan w:val="4"/>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74A0714E" w14:textId="7193939F" w:rsidR="00F61D59" w:rsidRPr="00F61D59" w:rsidRDefault="00F61D59"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 xml:space="preserve">Costed </w:t>
            </w:r>
            <w:r>
              <w:rPr>
                <w:rFonts w:eastAsia="Times New Roman" w:cs="Arial"/>
                <w:b/>
                <w:bCs/>
                <w:color w:val="FFFFFF" w:themeColor="background2"/>
                <w:sz w:val="16"/>
                <w:szCs w:val="16"/>
                <w:lang w:eastAsia="en-AU"/>
              </w:rPr>
              <w:t>a</w:t>
            </w:r>
            <w:r w:rsidRPr="00F61D59">
              <w:rPr>
                <w:rFonts w:eastAsia="Times New Roman" w:cs="Arial"/>
                <w:b/>
                <w:bCs/>
                <w:color w:val="FFFFFF" w:themeColor="background2"/>
                <w:sz w:val="16"/>
                <w:szCs w:val="16"/>
                <w:lang w:eastAsia="en-AU"/>
              </w:rPr>
              <w:t>ctivity (%)</w:t>
            </w:r>
          </w:p>
        </w:tc>
      </w:tr>
      <w:tr w:rsidR="00F61D59" w:rsidRPr="00AC02CF" w14:paraId="395F123C" w14:textId="77777777" w:rsidTr="00E04435">
        <w:trPr>
          <w:gridAfter w:val="1"/>
          <w:wAfter w:w="12" w:type="dxa"/>
          <w:trHeight w:val="305"/>
        </w:trPr>
        <w:tc>
          <w:tcPr>
            <w:tcW w:w="1297" w:type="dxa"/>
            <w:vMerge/>
            <w:tcBorders>
              <w:top w:val="nil"/>
              <w:left w:val="nil"/>
              <w:bottom w:val="single" w:sz="8" w:space="0" w:color="D9D9D9"/>
              <w:right w:val="single" w:sz="8" w:space="0" w:color="FFFFFF"/>
            </w:tcBorders>
            <w:vAlign w:val="center"/>
            <w:hideMark/>
          </w:tcPr>
          <w:p w14:paraId="70D03230" w14:textId="77777777" w:rsidR="00F61D59" w:rsidRPr="00F61D59" w:rsidRDefault="00F61D59" w:rsidP="00E04435">
            <w:pPr>
              <w:spacing w:before="40" w:after="40" w:line="240" w:lineRule="auto"/>
              <w:rPr>
                <w:rFonts w:eastAsia="Times New Roman" w:cs="Arial"/>
                <w:b/>
                <w:bCs/>
                <w:color w:val="FFFFFF"/>
                <w:sz w:val="16"/>
                <w:szCs w:val="16"/>
                <w:lang w:eastAsia="en-AU"/>
              </w:rPr>
            </w:pPr>
          </w:p>
        </w:tc>
        <w:tc>
          <w:tcPr>
            <w:tcW w:w="1153" w:type="dxa"/>
            <w:tcBorders>
              <w:top w:val="nil"/>
              <w:left w:val="nil"/>
              <w:bottom w:val="single" w:sz="8" w:space="0" w:color="D9D9D9"/>
              <w:right w:val="single" w:sz="8" w:space="0" w:color="FFFFFF"/>
            </w:tcBorders>
            <w:shd w:val="clear" w:color="000000" w:fill="15272F"/>
            <w:vAlign w:val="center"/>
            <w:hideMark/>
          </w:tcPr>
          <w:p w14:paraId="7E2257F7" w14:textId="77777777" w:rsidR="00F61D59" w:rsidRPr="00F61D59" w:rsidRDefault="00F61D59"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2020-21</w:t>
            </w:r>
          </w:p>
        </w:tc>
        <w:tc>
          <w:tcPr>
            <w:tcW w:w="1009" w:type="dxa"/>
            <w:tcBorders>
              <w:top w:val="nil"/>
              <w:left w:val="nil"/>
              <w:bottom w:val="single" w:sz="8" w:space="0" w:color="D9D9D9"/>
              <w:right w:val="single" w:sz="8" w:space="0" w:color="FFFFFF"/>
            </w:tcBorders>
            <w:shd w:val="clear" w:color="000000" w:fill="15272F"/>
            <w:vAlign w:val="center"/>
            <w:hideMark/>
          </w:tcPr>
          <w:p w14:paraId="06959ABE" w14:textId="77777777" w:rsidR="00F61D59" w:rsidRPr="00F61D59" w:rsidRDefault="00F61D59"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2021-22</w:t>
            </w:r>
          </w:p>
        </w:tc>
        <w:tc>
          <w:tcPr>
            <w:tcW w:w="1011" w:type="dxa"/>
            <w:tcBorders>
              <w:top w:val="nil"/>
              <w:left w:val="nil"/>
              <w:bottom w:val="single" w:sz="8" w:space="0" w:color="D9D9D9"/>
              <w:right w:val="single" w:sz="8" w:space="0" w:color="FFFFFF"/>
            </w:tcBorders>
            <w:shd w:val="clear" w:color="000000" w:fill="15272F"/>
            <w:vAlign w:val="center"/>
            <w:hideMark/>
          </w:tcPr>
          <w:p w14:paraId="345E0FD0" w14:textId="77777777" w:rsidR="00F61D59" w:rsidRPr="00F61D59" w:rsidRDefault="00F61D59"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2022-23</w:t>
            </w:r>
          </w:p>
        </w:tc>
        <w:tc>
          <w:tcPr>
            <w:tcW w:w="865" w:type="dxa"/>
            <w:tcBorders>
              <w:top w:val="nil"/>
              <w:left w:val="nil"/>
              <w:bottom w:val="single" w:sz="8" w:space="0" w:color="D9D9D9"/>
              <w:right w:val="single" w:sz="8" w:space="0" w:color="FFFFFF"/>
            </w:tcBorders>
            <w:shd w:val="clear" w:color="000000" w:fill="15272F"/>
            <w:vAlign w:val="center"/>
            <w:hideMark/>
          </w:tcPr>
          <w:p w14:paraId="17917F86" w14:textId="77777777" w:rsidR="00F61D59" w:rsidRPr="00F61D59" w:rsidRDefault="00F61D59"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2020-21</w:t>
            </w:r>
          </w:p>
        </w:tc>
        <w:tc>
          <w:tcPr>
            <w:tcW w:w="865" w:type="dxa"/>
            <w:tcBorders>
              <w:top w:val="nil"/>
              <w:left w:val="nil"/>
              <w:bottom w:val="single" w:sz="8" w:space="0" w:color="D9D9D9"/>
              <w:right w:val="single" w:sz="8" w:space="0" w:color="FFFFFF"/>
            </w:tcBorders>
            <w:shd w:val="clear" w:color="000000" w:fill="15272F"/>
            <w:vAlign w:val="center"/>
            <w:hideMark/>
          </w:tcPr>
          <w:p w14:paraId="43D5ECCE" w14:textId="77777777" w:rsidR="00F61D59" w:rsidRPr="00F61D59" w:rsidRDefault="00F61D59"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2021-22</w:t>
            </w:r>
          </w:p>
        </w:tc>
        <w:tc>
          <w:tcPr>
            <w:tcW w:w="900" w:type="dxa"/>
            <w:tcBorders>
              <w:top w:val="nil"/>
              <w:left w:val="nil"/>
              <w:bottom w:val="single" w:sz="8" w:space="0" w:color="D9D9D9"/>
              <w:right w:val="single" w:sz="8" w:space="0" w:color="FFFFFF"/>
            </w:tcBorders>
            <w:shd w:val="clear" w:color="000000" w:fill="15272F"/>
            <w:vAlign w:val="center"/>
            <w:hideMark/>
          </w:tcPr>
          <w:p w14:paraId="00EA6C5D" w14:textId="77777777" w:rsidR="00F61D59" w:rsidRPr="00F61D59" w:rsidRDefault="00F61D59"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2022-23</w:t>
            </w:r>
          </w:p>
        </w:tc>
        <w:tc>
          <w:tcPr>
            <w:tcW w:w="865" w:type="dxa"/>
            <w:tcBorders>
              <w:top w:val="single" w:sz="8" w:space="0" w:color="D9D9D9"/>
              <w:left w:val="nil"/>
              <w:bottom w:val="single" w:sz="8" w:space="0" w:color="D9D9D9"/>
              <w:right w:val="single" w:sz="4" w:space="0" w:color="FFFFFF" w:themeColor="background2"/>
            </w:tcBorders>
            <w:shd w:val="clear" w:color="000000" w:fill="15272F"/>
            <w:vAlign w:val="center"/>
            <w:hideMark/>
          </w:tcPr>
          <w:p w14:paraId="3C4BD0E0" w14:textId="77777777" w:rsidR="00F61D59" w:rsidRPr="00F61D59" w:rsidRDefault="00F61D59"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2020-21</w:t>
            </w:r>
          </w:p>
        </w:tc>
        <w:tc>
          <w:tcPr>
            <w:tcW w:w="8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4398F7D8" w14:textId="77777777" w:rsidR="00F61D59" w:rsidRPr="00F61D59" w:rsidRDefault="00F61D59"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2021-22</w:t>
            </w:r>
          </w:p>
        </w:tc>
        <w:tc>
          <w:tcPr>
            <w:tcW w:w="899"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5E68EFEF" w14:textId="77777777" w:rsidR="00F61D59" w:rsidRPr="00F61D59" w:rsidRDefault="00F61D59" w:rsidP="00E04435">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2022-23</w:t>
            </w:r>
          </w:p>
        </w:tc>
      </w:tr>
      <w:tr w:rsidR="00F61D59" w:rsidRPr="00AC02CF" w14:paraId="1F0B388C" w14:textId="77777777" w:rsidTr="00E04435">
        <w:trPr>
          <w:gridAfter w:val="1"/>
          <w:wAfter w:w="12" w:type="dxa"/>
          <w:trHeight w:val="305"/>
        </w:trPr>
        <w:tc>
          <w:tcPr>
            <w:tcW w:w="1297" w:type="dxa"/>
            <w:tcBorders>
              <w:top w:val="nil"/>
              <w:left w:val="nil"/>
              <w:bottom w:val="single" w:sz="8" w:space="0" w:color="D9D9D9"/>
              <w:right w:val="single" w:sz="8" w:space="0" w:color="FFFFFF"/>
            </w:tcBorders>
            <w:shd w:val="clear" w:color="auto" w:fill="auto"/>
            <w:vAlign w:val="center"/>
            <w:hideMark/>
          </w:tcPr>
          <w:p w14:paraId="226D4BD3"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NSW</w:t>
            </w:r>
          </w:p>
        </w:tc>
        <w:tc>
          <w:tcPr>
            <w:tcW w:w="1153" w:type="dxa"/>
            <w:tcBorders>
              <w:top w:val="nil"/>
              <w:left w:val="nil"/>
              <w:bottom w:val="single" w:sz="8" w:space="0" w:color="D9D9D9"/>
              <w:right w:val="single" w:sz="8" w:space="0" w:color="FFFFFF"/>
            </w:tcBorders>
            <w:shd w:val="clear" w:color="000000" w:fill="F2F2F2"/>
            <w:vAlign w:val="center"/>
            <w:hideMark/>
          </w:tcPr>
          <w:p w14:paraId="56029B05" w14:textId="1B21B4C4"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1,627,515</w:t>
            </w:r>
          </w:p>
        </w:tc>
        <w:tc>
          <w:tcPr>
            <w:tcW w:w="1009" w:type="dxa"/>
            <w:tcBorders>
              <w:top w:val="nil"/>
              <w:left w:val="nil"/>
              <w:bottom w:val="single" w:sz="8" w:space="0" w:color="D9D9D9"/>
              <w:right w:val="single" w:sz="8" w:space="0" w:color="FFFFFF"/>
            </w:tcBorders>
            <w:shd w:val="clear" w:color="000000" w:fill="F2F2F2"/>
            <w:vAlign w:val="center"/>
            <w:hideMark/>
          </w:tcPr>
          <w:p w14:paraId="3D01DF97" w14:textId="3450390E"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1,489,598</w:t>
            </w:r>
          </w:p>
        </w:tc>
        <w:tc>
          <w:tcPr>
            <w:tcW w:w="1011" w:type="dxa"/>
            <w:tcBorders>
              <w:top w:val="nil"/>
              <w:left w:val="nil"/>
              <w:bottom w:val="single" w:sz="8" w:space="0" w:color="D9D9D9"/>
              <w:right w:val="single" w:sz="8" w:space="0" w:color="FFFFFF"/>
            </w:tcBorders>
            <w:shd w:val="clear" w:color="000000" w:fill="F2F2F2"/>
            <w:vAlign w:val="center"/>
            <w:hideMark/>
          </w:tcPr>
          <w:p w14:paraId="0BEB765B" w14:textId="7A9F0C26"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1,665,294</w:t>
            </w:r>
          </w:p>
        </w:tc>
        <w:tc>
          <w:tcPr>
            <w:tcW w:w="865" w:type="dxa"/>
            <w:tcBorders>
              <w:top w:val="nil"/>
              <w:left w:val="nil"/>
              <w:bottom w:val="single" w:sz="8" w:space="0" w:color="D9D9D9"/>
              <w:right w:val="single" w:sz="8" w:space="0" w:color="FFFFFF"/>
            </w:tcBorders>
            <w:shd w:val="clear" w:color="000000" w:fill="F2F2F2"/>
            <w:vAlign w:val="center"/>
            <w:hideMark/>
          </w:tcPr>
          <w:p w14:paraId="63283402" w14:textId="5ACA1976"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1,790,686</w:t>
            </w:r>
          </w:p>
        </w:tc>
        <w:tc>
          <w:tcPr>
            <w:tcW w:w="865" w:type="dxa"/>
            <w:tcBorders>
              <w:top w:val="nil"/>
              <w:left w:val="nil"/>
              <w:bottom w:val="single" w:sz="8" w:space="0" w:color="D9D9D9"/>
              <w:right w:val="single" w:sz="8" w:space="0" w:color="FFFFFF"/>
            </w:tcBorders>
            <w:shd w:val="clear" w:color="000000" w:fill="F2F2F2"/>
            <w:vAlign w:val="center"/>
            <w:hideMark/>
          </w:tcPr>
          <w:p w14:paraId="18601E59" w14:textId="20F3E18A"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1,679,231</w:t>
            </w:r>
          </w:p>
        </w:tc>
        <w:tc>
          <w:tcPr>
            <w:tcW w:w="900" w:type="dxa"/>
            <w:tcBorders>
              <w:top w:val="nil"/>
              <w:left w:val="nil"/>
              <w:bottom w:val="single" w:sz="8" w:space="0" w:color="D9D9D9"/>
              <w:right w:val="single" w:sz="8" w:space="0" w:color="FFFFFF"/>
            </w:tcBorders>
            <w:shd w:val="clear" w:color="000000" w:fill="F2F2F2"/>
            <w:vAlign w:val="center"/>
            <w:hideMark/>
          </w:tcPr>
          <w:p w14:paraId="3A790C35" w14:textId="3B6A7CFC"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1,761,161</w:t>
            </w:r>
          </w:p>
        </w:tc>
        <w:tc>
          <w:tcPr>
            <w:tcW w:w="865" w:type="dxa"/>
            <w:tcBorders>
              <w:top w:val="nil"/>
              <w:left w:val="nil"/>
              <w:bottom w:val="single" w:sz="8" w:space="0" w:color="D9D9D9"/>
              <w:right w:val="single" w:sz="8" w:space="0" w:color="FFFFFF"/>
            </w:tcBorders>
            <w:shd w:val="clear" w:color="000000" w:fill="F2F2F2"/>
            <w:vAlign w:val="center"/>
            <w:hideMark/>
          </w:tcPr>
          <w:p w14:paraId="50D618DB" w14:textId="461F81B7"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91</w:t>
            </w:r>
          </w:p>
        </w:tc>
        <w:tc>
          <w:tcPr>
            <w:tcW w:w="865" w:type="dxa"/>
            <w:tcBorders>
              <w:top w:val="single" w:sz="4" w:space="0" w:color="FFFFFF" w:themeColor="background2"/>
              <w:left w:val="nil"/>
              <w:bottom w:val="single" w:sz="8" w:space="0" w:color="D9D9D9"/>
              <w:right w:val="single" w:sz="8" w:space="0" w:color="FFFFFF"/>
            </w:tcBorders>
            <w:shd w:val="clear" w:color="000000" w:fill="F2F2F2"/>
            <w:vAlign w:val="center"/>
            <w:hideMark/>
          </w:tcPr>
          <w:p w14:paraId="40846DF6" w14:textId="05F7B15B"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89</w:t>
            </w:r>
          </w:p>
        </w:tc>
        <w:tc>
          <w:tcPr>
            <w:tcW w:w="899" w:type="dxa"/>
            <w:tcBorders>
              <w:top w:val="single" w:sz="4" w:space="0" w:color="FFFFFF" w:themeColor="background2"/>
              <w:left w:val="nil"/>
              <w:bottom w:val="single" w:sz="8" w:space="0" w:color="D9D9D9"/>
              <w:right w:val="single" w:sz="8" w:space="0" w:color="FFFFFF"/>
            </w:tcBorders>
            <w:shd w:val="clear" w:color="000000" w:fill="F2F2F2"/>
            <w:vAlign w:val="center"/>
            <w:hideMark/>
          </w:tcPr>
          <w:p w14:paraId="337B5F7E" w14:textId="7B6C301B"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95</w:t>
            </w:r>
          </w:p>
        </w:tc>
      </w:tr>
      <w:tr w:rsidR="00F61D59" w:rsidRPr="00AC02CF" w14:paraId="52E5D358" w14:textId="77777777" w:rsidTr="00E04435">
        <w:trPr>
          <w:gridAfter w:val="1"/>
          <w:wAfter w:w="12" w:type="dxa"/>
          <w:trHeight w:val="305"/>
        </w:trPr>
        <w:tc>
          <w:tcPr>
            <w:tcW w:w="1297" w:type="dxa"/>
            <w:tcBorders>
              <w:top w:val="nil"/>
              <w:left w:val="nil"/>
              <w:bottom w:val="single" w:sz="8" w:space="0" w:color="D9D9D9"/>
              <w:right w:val="single" w:sz="8" w:space="0" w:color="FFFFFF"/>
            </w:tcBorders>
            <w:shd w:val="clear" w:color="auto" w:fill="auto"/>
            <w:vAlign w:val="center"/>
            <w:hideMark/>
          </w:tcPr>
          <w:p w14:paraId="0C850930"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Vic</w:t>
            </w:r>
          </w:p>
        </w:tc>
        <w:tc>
          <w:tcPr>
            <w:tcW w:w="1153" w:type="dxa"/>
            <w:tcBorders>
              <w:top w:val="nil"/>
              <w:left w:val="nil"/>
              <w:bottom w:val="single" w:sz="8" w:space="0" w:color="D9D9D9"/>
              <w:right w:val="single" w:sz="8" w:space="0" w:color="FFFFFF"/>
            </w:tcBorders>
            <w:shd w:val="clear" w:color="000000" w:fill="F2F2F2"/>
            <w:vAlign w:val="center"/>
            <w:hideMark/>
          </w:tcPr>
          <w:p w14:paraId="66BE1DFF" w14:textId="102BC80C"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1,659,307</w:t>
            </w:r>
          </w:p>
        </w:tc>
        <w:tc>
          <w:tcPr>
            <w:tcW w:w="1009" w:type="dxa"/>
            <w:tcBorders>
              <w:top w:val="nil"/>
              <w:left w:val="nil"/>
              <w:bottom w:val="single" w:sz="8" w:space="0" w:color="D9D9D9"/>
              <w:right w:val="single" w:sz="8" w:space="0" w:color="FFFFFF"/>
            </w:tcBorders>
            <w:shd w:val="clear" w:color="000000" w:fill="F2F2F2"/>
            <w:vAlign w:val="center"/>
            <w:hideMark/>
          </w:tcPr>
          <w:p w14:paraId="2691BC3F" w14:textId="528CC2D7"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1,682,451</w:t>
            </w:r>
          </w:p>
        </w:tc>
        <w:tc>
          <w:tcPr>
            <w:tcW w:w="1011" w:type="dxa"/>
            <w:tcBorders>
              <w:top w:val="nil"/>
              <w:left w:val="nil"/>
              <w:bottom w:val="single" w:sz="8" w:space="0" w:color="D9D9D9"/>
              <w:right w:val="single" w:sz="8" w:space="0" w:color="FFFFFF"/>
            </w:tcBorders>
            <w:shd w:val="clear" w:color="000000" w:fill="F2F2F2"/>
            <w:vAlign w:val="center"/>
            <w:hideMark/>
          </w:tcPr>
          <w:p w14:paraId="3FEF72FC" w14:textId="239862D0"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1,790,031</w:t>
            </w:r>
          </w:p>
        </w:tc>
        <w:tc>
          <w:tcPr>
            <w:tcW w:w="865" w:type="dxa"/>
            <w:tcBorders>
              <w:top w:val="nil"/>
              <w:left w:val="nil"/>
              <w:bottom w:val="single" w:sz="8" w:space="0" w:color="D9D9D9"/>
              <w:right w:val="single" w:sz="8" w:space="0" w:color="FFFFFF"/>
            </w:tcBorders>
            <w:shd w:val="clear" w:color="000000" w:fill="F2F2F2"/>
            <w:vAlign w:val="center"/>
            <w:hideMark/>
          </w:tcPr>
          <w:p w14:paraId="601B0CEE" w14:textId="12B79107"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1,753,495</w:t>
            </w:r>
          </w:p>
        </w:tc>
        <w:tc>
          <w:tcPr>
            <w:tcW w:w="865" w:type="dxa"/>
            <w:tcBorders>
              <w:top w:val="nil"/>
              <w:left w:val="nil"/>
              <w:bottom w:val="single" w:sz="8" w:space="0" w:color="D9D9D9"/>
              <w:right w:val="single" w:sz="8" w:space="0" w:color="FFFFFF"/>
            </w:tcBorders>
            <w:shd w:val="clear" w:color="000000" w:fill="F2F2F2"/>
            <w:vAlign w:val="center"/>
            <w:hideMark/>
          </w:tcPr>
          <w:p w14:paraId="08CBE912" w14:textId="5F2D7C55"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1,746,907</w:t>
            </w:r>
          </w:p>
        </w:tc>
        <w:tc>
          <w:tcPr>
            <w:tcW w:w="900" w:type="dxa"/>
            <w:tcBorders>
              <w:top w:val="nil"/>
              <w:left w:val="nil"/>
              <w:bottom w:val="single" w:sz="8" w:space="0" w:color="D9D9D9"/>
              <w:right w:val="single" w:sz="8" w:space="0" w:color="FFFFFF"/>
            </w:tcBorders>
            <w:shd w:val="clear" w:color="000000" w:fill="F2F2F2"/>
            <w:vAlign w:val="center"/>
            <w:hideMark/>
          </w:tcPr>
          <w:p w14:paraId="11B90C84" w14:textId="17A608B8"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1,868,878</w:t>
            </w:r>
          </w:p>
        </w:tc>
        <w:tc>
          <w:tcPr>
            <w:tcW w:w="865" w:type="dxa"/>
            <w:tcBorders>
              <w:top w:val="nil"/>
              <w:left w:val="nil"/>
              <w:bottom w:val="single" w:sz="8" w:space="0" w:color="D9D9D9"/>
              <w:right w:val="single" w:sz="8" w:space="0" w:color="FFFFFF"/>
            </w:tcBorders>
            <w:shd w:val="clear" w:color="000000" w:fill="F2F2F2"/>
            <w:vAlign w:val="center"/>
            <w:hideMark/>
          </w:tcPr>
          <w:p w14:paraId="0321E78B" w14:textId="12233D4A"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95</w:t>
            </w:r>
          </w:p>
        </w:tc>
        <w:tc>
          <w:tcPr>
            <w:tcW w:w="865" w:type="dxa"/>
            <w:tcBorders>
              <w:top w:val="nil"/>
              <w:left w:val="nil"/>
              <w:bottom w:val="single" w:sz="8" w:space="0" w:color="D9D9D9"/>
              <w:right w:val="single" w:sz="8" w:space="0" w:color="FFFFFF"/>
            </w:tcBorders>
            <w:shd w:val="clear" w:color="000000" w:fill="F2F2F2"/>
            <w:vAlign w:val="center"/>
            <w:hideMark/>
          </w:tcPr>
          <w:p w14:paraId="46BC6CD4" w14:textId="40C212D5"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96</w:t>
            </w:r>
          </w:p>
        </w:tc>
        <w:tc>
          <w:tcPr>
            <w:tcW w:w="899" w:type="dxa"/>
            <w:tcBorders>
              <w:top w:val="nil"/>
              <w:left w:val="nil"/>
              <w:bottom w:val="single" w:sz="8" w:space="0" w:color="D9D9D9"/>
              <w:right w:val="single" w:sz="8" w:space="0" w:color="FFFFFF"/>
            </w:tcBorders>
            <w:shd w:val="clear" w:color="000000" w:fill="F2F2F2"/>
            <w:vAlign w:val="center"/>
            <w:hideMark/>
          </w:tcPr>
          <w:p w14:paraId="45A7D6BC" w14:textId="2F0CD453"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96</w:t>
            </w:r>
          </w:p>
        </w:tc>
      </w:tr>
      <w:tr w:rsidR="00F61D59" w:rsidRPr="00AC02CF" w14:paraId="2204D0D1" w14:textId="77777777" w:rsidTr="00E04435">
        <w:trPr>
          <w:gridAfter w:val="1"/>
          <w:wAfter w:w="12" w:type="dxa"/>
          <w:trHeight w:val="305"/>
        </w:trPr>
        <w:tc>
          <w:tcPr>
            <w:tcW w:w="1297" w:type="dxa"/>
            <w:tcBorders>
              <w:top w:val="nil"/>
              <w:left w:val="nil"/>
              <w:bottom w:val="single" w:sz="8" w:space="0" w:color="D9D9D9"/>
              <w:right w:val="single" w:sz="8" w:space="0" w:color="FFFFFF"/>
            </w:tcBorders>
            <w:shd w:val="clear" w:color="auto" w:fill="auto"/>
            <w:vAlign w:val="center"/>
            <w:hideMark/>
          </w:tcPr>
          <w:p w14:paraId="55E9CA22"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Qld</w:t>
            </w:r>
          </w:p>
        </w:tc>
        <w:tc>
          <w:tcPr>
            <w:tcW w:w="1153" w:type="dxa"/>
            <w:tcBorders>
              <w:top w:val="nil"/>
              <w:left w:val="nil"/>
              <w:bottom w:val="single" w:sz="8" w:space="0" w:color="D9D9D9"/>
              <w:right w:val="single" w:sz="8" w:space="0" w:color="FFFFFF"/>
            </w:tcBorders>
            <w:shd w:val="clear" w:color="000000" w:fill="F2F2F2"/>
            <w:vAlign w:val="center"/>
            <w:hideMark/>
          </w:tcPr>
          <w:p w14:paraId="04FC5B2A" w14:textId="48AF67E1"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1,626,382</w:t>
            </w:r>
          </w:p>
        </w:tc>
        <w:tc>
          <w:tcPr>
            <w:tcW w:w="1009" w:type="dxa"/>
            <w:tcBorders>
              <w:top w:val="nil"/>
              <w:left w:val="nil"/>
              <w:bottom w:val="single" w:sz="8" w:space="0" w:color="D9D9D9"/>
              <w:right w:val="single" w:sz="8" w:space="0" w:color="FFFFFF"/>
            </w:tcBorders>
            <w:shd w:val="clear" w:color="000000" w:fill="F2F2F2"/>
            <w:vAlign w:val="center"/>
            <w:hideMark/>
          </w:tcPr>
          <w:p w14:paraId="60420172" w14:textId="4CC9DD49"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1,622,556</w:t>
            </w:r>
          </w:p>
        </w:tc>
        <w:tc>
          <w:tcPr>
            <w:tcW w:w="1011" w:type="dxa"/>
            <w:tcBorders>
              <w:top w:val="nil"/>
              <w:left w:val="nil"/>
              <w:bottom w:val="single" w:sz="8" w:space="0" w:color="D9D9D9"/>
              <w:right w:val="single" w:sz="8" w:space="0" w:color="FFFFFF"/>
            </w:tcBorders>
            <w:shd w:val="clear" w:color="000000" w:fill="F2F2F2"/>
            <w:vAlign w:val="center"/>
            <w:hideMark/>
          </w:tcPr>
          <w:p w14:paraId="5F3E4C2D" w14:textId="2F4E8E83"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1,672,228</w:t>
            </w:r>
          </w:p>
        </w:tc>
        <w:tc>
          <w:tcPr>
            <w:tcW w:w="865" w:type="dxa"/>
            <w:tcBorders>
              <w:top w:val="nil"/>
              <w:left w:val="nil"/>
              <w:bottom w:val="single" w:sz="8" w:space="0" w:color="D9D9D9"/>
              <w:right w:val="single" w:sz="8" w:space="0" w:color="FFFFFF"/>
            </w:tcBorders>
            <w:shd w:val="clear" w:color="000000" w:fill="F2F2F2"/>
            <w:vAlign w:val="center"/>
            <w:hideMark/>
          </w:tcPr>
          <w:p w14:paraId="73FD4B69" w14:textId="59B028AC"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1,645,733</w:t>
            </w:r>
          </w:p>
        </w:tc>
        <w:tc>
          <w:tcPr>
            <w:tcW w:w="865" w:type="dxa"/>
            <w:tcBorders>
              <w:top w:val="nil"/>
              <w:left w:val="nil"/>
              <w:bottom w:val="single" w:sz="8" w:space="0" w:color="D9D9D9"/>
              <w:right w:val="single" w:sz="8" w:space="0" w:color="FFFFFF"/>
            </w:tcBorders>
            <w:shd w:val="clear" w:color="000000" w:fill="F2F2F2"/>
            <w:vAlign w:val="center"/>
            <w:hideMark/>
          </w:tcPr>
          <w:p w14:paraId="5742FF04" w14:textId="0611BA4F"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1,654,508</w:t>
            </w:r>
          </w:p>
        </w:tc>
        <w:tc>
          <w:tcPr>
            <w:tcW w:w="900" w:type="dxa"/>
            <w:tcBorders>
              <w:top w:val="nil"/>
              <w:left w:val="nil"/>
              <w:bottom w:val="single" w:sz="8" w:space="0" w:color="D9D9D9"/>
              <w:right w:val="single" w:sz="8" w:space="0" w:color="FFFFFF"/>
            </w:tcBorders>
            <w:shd w:val="clear" w:color="000000" w:fill="F2F2F2"/>
            <w:vAlign w:val="center"/>
            <w:hideMark/>
          </w:tcPr>
          <w:p w14:paraId="403E30AB" w14:textId="3846758E"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1,680,747</w:t>
            </w:r>
          </w:p>
        </w:tc>
        <w:tc>
          <w:tcPr>
            <w:tcW w:w="865" w:type="dxa"/>
            <w:tcBorders>
              <w:top w:val="nil"/>
              <w:left w:val="nil"/>
              <w:bottom w:val="single" w:sz="8" w:space="0" w:color="D9D9D9"/>
              <w:right w:val="single" w:sz="8" w:space="0" w:color="FFFFFF"/>
            </w:tcBorders>
            <w:shd w:val="clear" w:color="000000" w:fill="F2F2F2"/>
            <w:vAlign w:val="center"/>
            <w:hideMark/>
          </w:tcPr>
          <w:p w14:paraId="2CDDDF66" w14:textId="03E89A9F"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99</w:t>
            </w:r>
          </w:p>
        </w:tc>
        <w:tc>
          <w:tcPr>
            <w:tcW w:w="865" w:type="dxa"/>
            <w:tcBorders>
              <w:top w:val="nil"/>
              <w:left w:val="nil"/>
              <w:bottom w:val="single" w:sz="8" w:space="0" w:color="D9D9D9"/>
              <w:right w:val="single" w:sz="8" w:space="0" w:color="FFFFFF"/>
            </w:tcBorders>
            <w:shd w:val="clear" w:color="000000" w:fill="F2F2F2"/>
            <w:vAlign w:val="center"/>
            <w:hideMark/>
          </w:tcPr>
          <w:p w14:paraId="56D00646" w14:textId="14F73EFC"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98</w:t>
            </w:r>
          </w:p>
        </w:tc>
        <w:tc>
          <w:tcPr>
            <w:tcW w:w="899" w:type="dxa"/>
            <w:tcBorders>
              <w:top w:val="nil"/>
              <w:left w:val="nil"/>
              <w:bottom w:val="single" w:sz="8" w:space="0" w:color="D9D9D9"/>
              <w:right w:val="single" w:sz="8" w:space="0" w:color="FFFFFF"/>
            </w:tcBorders>
            <w:shd w:val="clear" w:color="000000" w:fill="F2F2F2"/>
            <w:vAlign w:val="center"/>
            <w:hideMark/>
          </w:tcPr>
          <w:p w14:paraId="058D8A71" w14:textId="3AE5B16F"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99</w:t>
            </w:r>
          </w:p>
        </w:tc>
      </w:tr>
      <w:tr w:rsidR="00F61D59" w:rsidRPr="00AC02CF" w14:paraId="6647E7F8" w14:textId="77777777" w:rsidTr="00E04435">
        <w:trPr>
          <w:gridAfter w:val="1"/>
          <w:wAfter w:w="12" w:type="dxa"/>
          <w:trHeight w:val="305"/>
        </w:trPr>
        <w:tc>
          <w:tcPr>
            <w:tcW w:w="1297" w:type="dxa"/>
            <w:tcBorders>
              <w:top w:val="nil"/>
              <w:left w:val="nil"/>
              <w:bottom w:val="single" w:sz="8" w:space="0" w:color="D9D9D9"/>
              <w:right w:val="single" w:sz="8" w:space="0" w:color="FFFFFF"/>
            </w:tcBorders>
            <w:shd w:val="clear" w:color="auto" w:fill="auto"/>
            <w:vAlign w:val="center"/>
            <w:hideMark/>
          </w:tcPr>
          <w:p w14:paraId="2DCBAB82"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SA</w:t>
            </w:r>
          </w:p>
        </w:tc>
        <w:tc>
          <w:tcPr>
            <w:tcW w:w="1153" w:type="dxa"/>
            <w:tcBorders>
              <w:top w:val="nil"/>
              <w:left w:val="nil"/>
              <w:bottom w:val="single" w:sz="8" w:space="0" w:color="D9D9D9"/>
              <w:right w:val="single" w:sz="8" w:space="0" w:color="FFFFFF"/>
            </w:tcBorders>
            <w:shd w:val="clear" w:color="000000" w:fill="F2F2F2"/>
            <w:vAlign w:val="center"/>
            <w:hideMark/>
          </w:tcPr>
          <w:p w14:paraId="797F5BEF" w14:textId="360DE3BE"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404,836</w:t>
            </w:r>
          </w:p>
        </w:tc>
        <w:tc>
          <w:tcPr>
            <w:tcW w:w="1009" w:type="dxa"/>
            <w:tcBorders>
              <w:top w:val="nil"/>
              <w:left w:val="nil"/>
              <w:bottom w:val="single" w:sz="8" w:space="0" w:color="D9D9D9"/>
              <w:right w:val="single" w:sz="8" w:space="0" w:color="FFFFFF"/>
            </w:tcBorders>
            <w:shd w:val="clear" w:color="000000" w:fill="F2F2F2"/>
            <w:vAlign w:val="center"/>
            <w:hideMark/>
          </w:tcPr>
          <w:p w14:paraId="25F6EB7E" w14:textId="26EF9695" w:rsidR="00F61D59" w:rsidRPr="00F61D59" w:rsidRDefault="00F61D59" w:rsidP="00F61D59">
            <w:pPr>
              <w:spacing w:before="40" w:after="40" w:line="240" w:lineRule="auto"/>
              <w:jc w:val="right"/>
              <w:rPr>
                <w:rFonts w:eastAsia="Times New Roman" w:cs="Arial"/>
                <w:b/>
                <w:bCs/>
                <w:color w:val="1C1C1C"/>
                <w:sz w:val="16"/>
                <w:szCs w:val="16"/>
                <w:u w:val="single"/>
                <w:lang w:eastAsia="en-AU"/>
              </w:rPr>
            </w:pPr>
            <w:r w:rsidRPr="00AC02CF">
              <w:rPr>
                <w:rFonts w:eastAsia="Times New Roman" w:cs="Arial"/>
                <w:color w:val="15272F"/>
                <w:sz w:val="16"/>
                <w:szCs w:val="16"/>
                <w:lang w:eastAsia="en-AU"/>
              </w:rPr>
              <w:t>409,865</w:t>
            </w:r>
          </w:p>
        </w:tc>
        <w:tc>
          <w:tcPr>
            <w:tcW w:w="1011" w:type="dxa"/>
            <w:tcBorders>
              <w:top w:val="nil"/>
              <w:left w:val="nil"/>
              <w:bottom w:val="single" w:sz="8" w:space="0" w:color="D9D9D9"/>
              <w:right w:val="single" w:sz="8" w:space="0" w:color="FFFFFF"/>
            </w:tcBorders>
            <w:shd w:val="clear" w:color="000000" w:fill="F2F2F2"/>
            <w:vAlign w:val="center"/>
            <w:hideMark/>
          </w:tcPr>
          <w:p w14:paraId="0CB50A6E" w14:textId="0D096033" w:rsidR="00F61D59" w:rsidRPr="00F61D59" w:rsidRDefault="00F61D59" w:rsidP="00F61D59">
            <w:pPr>
              <w:spacing w:before="40" w:after="40" w:line="240" w:lineRule="auto"/>
              <w:jc w:val="right"/>
              <w:rPr>
                <w:rFonts w:eastAsia="Times New Roman" w:cs="Arial"/>
                <w:b/>
                <w:bCs/>
                <w:color w:val="1C1C1C"/>
                <w:sz w:val="16"/>
                <w:szCs w:val="16"/>
                <w:u w:val="single"/>
                <w:lang w:eastAsia="en-AU"/>
              </w:rPr>
            </w:pPr>
            <w:r w:rsidRPr="00AC02CF">
              <w:rPr>
                <w:rFonts w:eastAsia="Times New Roman" w:cs="Arial"/>
                <w:color w:val="15272F"/>
                <w:sz w:val="16"/>
                <w:szCs w:val="16"/>
                <w:lang w:eastAsia="en-AU"/>
              </w:rPr>
              <w:t>421,048</w:t>
            </w:r>
          </w:p>
        </w:tc>
        <w:tc>
          <w:tcPr>
            <w:tcW w:w="865" w:type="dxa"/>
            <w:tcBorders>
              <w:top w:val="nil"/>
              <w:left w:val="nil"/>
              <w:bottom w:val="single" w:sz="8" w:space="0" w:color="D9D9D9"/>
              <w:right w:val="single" w:sz="8" w:space="0" w:color="FFFFFF"/>
            </w:tcBorders>
            <w:shd w:val="clear" w:color="000000" w:fill="F2F2F2"/>
            <w:vAlign w:val="center"/>
            <w:hideMark/>
          </w:tcPr>
          <w:p w14:paraId="185DE6A5" w14:textId="419D2EEE"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437,520</w:t>
            </w:r>
          </w:p>
        </w:tc>
        <w:tc>
          <w:tcPr>
            <w:tcW w:w="865" w:type="dxa"/>
            <w:tcBorders>
              <w:top w:val="nil"/>
              <w:left w:val="nil"/>
              <w:bottom w:val="single" w:sz="8" w:space="0" w:color="D9D9D9"/>
              <w:right w:val="single" w:sz="8" w:space="0" w:color="FFFFFF"/>
            </w:tcBorders>
            <w:shd w:val="clear" w:color="000000" w:fill="F2F2F2"/>
            <w:vAlign w:val="center"/>
            <w:hideMark/>
          </w:tcPr>
          <w:p w14:paraId="656602C2" w14:textId="0DBE4F88" w:rsidR="00F61D59" w:rsidRPr="00F61D59" w:rsidRDefault="00F61D59" w:rsidP="00F61D59">
            <w:pPr>
              <w:spacing w:before="40" w:after="40" w:line="240" w:lineRule="auto"/>
              <w:jc w:val="right"/>
              <w:rPr>
                <w:rFonts w:eastAsia="Times New Roman" w:cs="Arial"/>
                <w:b/>
                <w:bCs/>
                <w:color w:val="1C1C1C"/>
                <w:sz w:val="16"/>
                <w:szCs w:val="16"/>
                <w:u w:val="single"/>
                <w:lang w:eastAsia="en-AU"/>
              </w:rPr>
            </w:pPr>
            <w:r w:rsidRPr="00AC02CF">
              <w:rPr>
                <w:rFonts w:eastAsia="Times New Roman" w:cs="Arial"/>
                <w:color w:val="15272F"/>
                <w:sz w:val="16"/>
                <w:szCs w:val="16"/>
                <w:lang w:eastAsia="en-AU"/>
              </w:rPr>
              <w:t>437,405</w:t>
            </w:r>
          </w:p>
        </w:tc>
        <w:tc>
          <w:tcPr>
            <w:tcW w:w="900" w:type="dxa"/>
            <w:tcBorders>
              <w:top w:val="nil"/>
              <w:left w:val="nil"/>
              <w:bottom w:val="single" w:sz="8" w:space="0" w:color="D9D9D9"/>
              <w:right w:val="single" w:sz="8" w:space="0" w:color="FFFFFF"/>
            </w:tcBorders>
            <w:shd w:val="clear" w:color="000000" w:fill="F2F2F2"/>
            <w:vAlign w:val="center"/>
            <w:hideMark/>
          </w:tcPr>
          <w:p w14:paraId="1584BCDF" w14:textId="1BAD71FB" w:rsidR="00F61D59" w:rsidRPr="00F61D59" w:rsidRDefault="00F61D59" w:rsidP="00F61D59">
            <w:pPr>
              <w:spacing w:before="40" w:after="40" w:line="240" w:lineRule="auto"/>
              <w:jc w:val="right"/>
              <w:rPr>
                <w:rFonts w:eastAsia="Times New Roman" w:cs="Arial"/>
                <w:b/>
                <w:bCs/>
                <w:color w:val="1C1C1C"/>
                <w:sz w:val="16"/>
                <w:szCs w:val="16"/>
                <w:u w:val="single"/>
                <w:lang w:eastAsia="en-AU"/>
              </w:rPr>
            </w:pPr>
            <w:r w:rsidRPr="00AC02CF">
              <w:rPr>
                <w:rFonts w:eastAsia="Times New Roman" w:cs="Arial"/>
                <w:color w:val="15272F"/>
                <w:sz w:val="16"/>
                <w:szCs w:val="16"/>
                <w:lang w:eastAsia="en-AU"/>
              </w:rPr>
              <w:t>446,304</w:t>
            </w:r>
          </w:p>
        </w:tc>
        <w:tc>
          <w:tcPr>
            <w:tcW w:w="865" w:type="dxa"/>
            <w:tcBorders>
              <w:top w:val="nil"/>
              <w:left w:val="nil"/>
              <w:bottom w:val="single" w:sz="8" w:space="0" w:color="D9D9D9"/>
              <w:right w:val="single" w:sz="8" w:space="0" w:color="FFFFFF"/>
            </w:tcBorders>
            <w:shd w:val="clear" w:color="000000" w:fill="F2F2F2"/>
            <w:vAlign w:val="center"/>
            <w:hideMark/>
          </w:tcPr>
          <w:p w14:paraId="204E7C2C" w14:textId="0ED600CE"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93</w:t>
            </w:r>
          </w:p>
        </w:tc>
        <w:tc>
          <w:tcPr>
            <w:tcW w:w="865" w:type="dxa"/>
            <w:tcBorders>
              <w:top w:val="nil"/>
              <w:left w:val="nil"/>
              <w:bottom w:val="single" w:sz="8" w:space="0" w:color="D9D9D9"/>
              <w:right w:val="single" w:sz="8" w:space="0" w:color="FFFFFF"/>
            </w:tcBorders>
            <w:shd w:val="clear" w:color="000000" w:fill="F2F2F2"/>
            <w:vAlign w:val="center"/>
            <w:hideMark/>
          </w:tcPr>
          <w:p w14:paraId="7DFE708F" w14:textId="17DDBEDF"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94</w:t>
            </w:r>
          </w:p>
        </w:tc>
        <w:tc>
          <w:tcPr>
            <w:tcW w:w="899" w:type="dxa"/>
            <w:tcBorders>
              <w:top w:val="nil"/>
              <w:left w:val="nil"/>
              <w:bottom w:val="single" w:sz="8" w:space="0" w:color="D9D9D9"/>
              <w:right w:val="single" w:sz="8" w:space="0" w:color="FFFFFF"/>
            </w:tcBorders>
            <w:shd w:val="clear" w:color="000000" w:fill="F2F2F2"/>
            <w:vAlign w:val="center"/>
            <w:hideMark/>
          </w:tcPr>
          <w:p w14:paraId="25311038" w14:textId="0A9A3FB8"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94</w:t>
            </w:r>
          </w:p>
        </w:tc>
      </w:tr>
      <w:tr w:rsidR="00F61D59" w:rsidRPr="00AC02CF" w14:paraId="43DF3350" w14:textId="77777777" w:rsidTr="00E04435">
        <w:trPr>
          <w:gridAfter w:val="1"/>
          <w:wAfter w:w="12" w:type="dxa"/>
          <w:trHeight w:val="305"/>
        </w:trPr>
        <w:tc>
          <w:tcPr>
            <w:tcW w:w="1297" w:type="dxa"/>
            <w:tcBorders>
              <w:top w:val="nil"/>
              <w:left w:val="nil"/>
              <w:bottom w:val="nil"/>
              <w:right w:val="single" w:sz="8" w:space="0" w:color="FFFFFF"/>
            </w:tcBorders>
            <w:shd w:val="clear" w:color="auto" w:fill="auto"/>
            <w:vAlign w:val="center"/>
            <w:hideMark/>
          </w:tcPr>
          <w:p w14:paraId="6F9AF4B3"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WA</w:t>
            </w:r>
          </w:p>
        </w:tc>
        <w:tc>
          <w:tcPr>
            <w:tcW w:w="1153" w:type="dxa"/>
            <w:tcBorders>
              <w:top w:val="nil"/>
              <w:left w:val="nil"/>
              <w:bottom w:val="single" w:sz="8" w:space="0" w:color="D9D9D9"/>
              <w:right w:val="single" w:sz="8" w:space="0" w:color="FFFFFF"/>
            </w:tcBorders>
            <w:shd w:val="clear" w:color="000000" w:fill="F2F2F2"/>
            <w:vAlign w:val="center"/>
            <w:hideMark/>
          </w:tcPr>
          <w:p w14:paraId="26AA6E8A" w14:textId="294F6E5B" w:rsidR="00F61D59" w:rsidRPr="00F61D59" w:rsidRDefault="00F61D59" w:rsidP="00F61D59">
            <w:pPr>
              <w:spacing w:before="40" w:after="40" w:line="240" w:lineRule="auto"/>
              <w:jc w:val="right"/>
              <w:rPr>
                <w:rFonts w:eastAsia="Times New Roman" w:cs="Arial"/>
                <w:b/>
                <w:bCs/>
                <w:color w:val="1C1C1C"/>
                <w:sz w:val="16"/>
                <w:szCs w:val="16"/>
                <w:u w:val="single"/>
                <w:lang w:eastAsia="en-AU"/>
              </w:rPr>
            </w:pPr>
            <w:r w:rsidRPr="00AC02CF">
              <w:rPr>
                <w:rFonts w:eastAsia="Times New Roman" w:cs="Arial"/>
                <w:color w:val="15272F"/>
                <w:sz w:val="16"/>
                <w:szCs w:val="16"/>
                <w:lang w:eastAsia="en-AU"/>
              </w:rPr>
              <w:t>609,839</w:t>
            </w:r>
          </w:p>
        </w:tc>
        <w:tc>
          <w:tcPr>
            <w:tcW w:w="1009" w:type="dxa"/>
            <w:tcBorders>
              <w:top w:val="nil"/>
              <w:left w:val="nil"/>
              <w:bottom w:val="single" w:sz="8" w:space="0" w:color="D9D9D9"/>
              <w:right w:val="single" w:sz="8" w:space="0" w:color="FFFFFF"/>
            </w:tcBorders>
            <w:shd w:val="clear" w:color="000000" w:fill="F2F2F2"/>
            <w:vAlign w:val="center"/>
            <w:hideMark/>
          </w:tcPr>
          <w:p w14:paraId="735F732E" w14:textId="077EF698"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588,309</w:t>
            </w:r>
          </w:p>
        </w:tc>
        <w:tc>
          <w:tcPr>
            <w:tcW w:w="1011" w:type="dxa"/>
            <w:tcBorders>
              <w:top w:val="nil"/>
              <w:left w:val="nil"/>
              <w:bottom w:val="single" w:sz="8" w:space="0" w:color="D9D9D9"/>
              <w:right w:val="single" w:sz="8" w:space="0" w:color="FFFFFF"/>
            </w:tcBorders>
            <w:shd w:val="clear" w:color="000000" w:fill="F2F2F2"/>
            <w:vAlign w:val="center"/>
            <w:hideMark/>
          </w:tcPr>
          <w:p w14:paraId="2FD29DC1" w14:textId="623204D2"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619,908</w:t>
            </w:r>
          </w:p>
        </w:tc>
        <w:tc>
          <w:tcPr>
            <w:tcW w:w="865" w:type="dxa"/>
            <w:tcBorders>
              <w:top w:val="nil"/>
              <w:left w:val="nil"/>
              <w:bottom w:val="single" w:sz="8" w:space="0" w:color="D9D9D9"/>
              <w:right w:val="single" w:sz="8" w:space="0" w:color="FFFFFF"/>
            </w:tcBorders>
            <w:shd w:val="clear" w:color="000000" w:fill="F2F2F2"/>
            <w:vAlign w:val="center"/>
            <w:hideMark/>
          </w:tcPr>
          <w:p w14:paraId="3DFABA46" w14:textId="10AD705F" w:rsidR="00F61D59" w:rsidRPr="00F61D59" w:rsidRDefault="00F61D59" w:rsidP="00F61D59">
            <w:pPr>
              <w:spacing w:before="40" w:after="40" w:line="240" w:lineRule="auto"/>
              <w:jc w:val="right"/>
              <w:rPr>
                <w:rFonts w:eastAsia="Times New Roman" w:cs="Arial"/>
                <w:b/>
                <w:bCs/>
                <w:color w:val="1C1C1C"/>
                <w:sz w:val="16"/>
                <w:szCs w:val="16"/>
                <w:u w:val="single"/>
                <w:lang w:eastAsia="en-AU"/>
              </w:rPr>
            </w:pPr>
            <w:r w:rsidRPr="00AC02CF">
              <w:rPr>
                <w:rFonts w:eastAsia="Times New Roman" w:cs="Arial"/>
                <w:color w:val="15272F"/>
                <w:sz w:val="16"/>
                <w:szCs w:val="16"/>
                <w:lang w:eastAsia="en-AU"/>
              </w:rPr>
              <w:t>619,557</w:t>
            </w:r>
          </w:p>
        </w:tc>
        <w:tc>
          <w:tcPr>
            <w:tcW w:w="865" w:type="dxa"/>
            <w:tcBorders>
              <w:top w:val="nil"/>
              <w:left w:val="nil"/>
              <w:bottom w:val="single" w:sz="8" w:space="0" w:color="D9D9D9"/>
              <w:right w:val="single" w:sz="8" w:space="0" w:color="FFFFFF"/>
            </w:tcBorders>
            <w:shd w:val="clear" w:color="000000" w:fill="F2F2F2"/>
            <w:vAlign w:val="center"/>
            <w:hideMark/>
          </w:tcPr>
          <w:p w14:paraId="56C8DC01" w14:textId="26D40446"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600,836</w:t>
            </w:r>
          </w:p>
        </w:tc>
        <w:tc>
          <w:tcPr>
            <w:tcW w:w="900" w:type="dxa"/>
            <w:tcBorders>
              <w:top w:val="nil"/>
              <w:left w:val="nil"/>
              <w:bottom w:val="single" w:sz="8" w:space="0" w:color="D9D9D9"/>
              <w:right w:val="single" w:sz="8" w:space="0" w:color="FFFFFF"/>
            </w:tcBorders>
            <w:shd w:val="clear" w:color="000000" w:fill="F2F2F2"/>
            <w:vAlign w:val="center"/>
            <w:hideMark/>
          </w:tcPr>
          <w:p w14:paraId="72AD04A0" w14:textId="67433A9E"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628,514</w:t>
            </w:r>
          </w:p>
        </w:tc>
        <w:tc>
          <w:tcPr>
            <w:tcW w:w="865" w:type="dxa"/>
            <w:tcBorders>
              <w:top w:val="nil"/>
              <w:left w:val="nil"/>
              <w:bottom w:val="single" w:sz="8" w:space="0" w:color="D9D9D9"/>
              <w:right w:val="single" w:sz="8" w:space="0" w:color="FFFFFF"/>
            </w:tcBorders>
            <w:shd w:val="clear" w:color="000000" w:fill="F2F2F2"/>
            <w:vAlign w:val="center"/>
            <w:hideMark/>
          </w:tcPr>
          <w:p w14:paraId="72976E66" w14:textId="62DC5E58"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98</w:t>
            </w:r>
          </w:p>
        </w:tc>
        <w:tc>
          <w:tcPr>
            <w:tcW w:w="865" w:type="dxa"/>
            <w:tcBorders>
              <w:top w:val="nil"/>
              <w:left w:val="nil"/>
              <w:bottom w:val="single" w:sz="8" w:space="0" w:color="D9D9D9"/>
              <w:right w:val="single" w:sz="8" w:space="0" w:color="FFFFFF"/>
            </w:tcBorders>
            <w:shd w:val="clear" w:color="000000" w:fill="F2F2F2"/>
            <w:vAlign w:val="center"/>
            <w:hideMark/>
          </w:tcPr>
          <w:p w14:paraId="36733E0F" w14:textId="4396A78B"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98</w:t>
            </w:r>
          </w:p>
        </w:tc>
        <w:tc>
          <w:tcPr>
            <w:tcW w:w="899" w:type="dxa"/>
            <w:tcBorders>
              <w:top w:val="nil"/>
              <w:left w:val="nil"/>
              <w:bottom w:val="single" w:sz="8" w:space="0" w:color="D9D9D9"/>
              <w:right w:val="single" w:sz="8" w:space="0" w:color="FFFFFF"/>
            </w:tcBorders>
            <w:shd w:val="clear" w:color="000000" w:fill="F2F2F2"/>
            <w:vAlign w:val="center"/>
            <w:hideMark/>
          </w:tcPr>
          <w:p w14:paraId="7E209ACA" w14:textId="5A0E864B"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99</w:t>
            </w:r>
          </w:p>
        </w:tc>
      </w:tr>
      <w:tr w:rsidR="00F61D59" w:rsidRPr="00AC02CF" w14:paraId="0503A3B3" w14:textId="77777777" w:rsidTr="00E04435">
        <w:trPr>
          <w:gridAfter w:val="1"/>
          <w:wAfter w:w="12" w:type="dxa"/>
          <w:trHeight w:val="305"/>
        </w:trPr>
        <w:tc>
          <w:tcPr>
            <w:tcW w:w="1297" w:type="dxa"/>
            <w:tcBorders>
              <w:top w:val="single" w:sz="8" w:space="0" w:color="D9D9D9"/>
              <w:left w:val="nil"/>
              <w:bottom w:val="single" w:sz="8" w:space="0" w:color="D9D9D9"/>
              <w:right w:val="single" w:sz="8" w:space="0" w:color="FFFFFF"/>
            </w:tcBorders>
            <w:shd w:val="clear" w:color="auto" w:fill="auto"/>
            <w:vAlign w:val="center"/>
            <w:hideMark/>
          </w:tcPr>
          <w:p w14:paraId="64C06EAF"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Tas</w:t>
            </w:r>
          </w:p>
        </w:tc>
        <w:tc>
          <w:tcPr>
            <w:tcW w:w="1153" w:type="dxa"/>
            <w:tcBorders>
              <w:top w:val="nil"/>
              <w:left w:val="nil"/>
              <w:bottom w:val="single" w:sz="8" w:space="0" w:color="D9D9D9"/>
              <w:right w:val="single" w:sz="8" w:space="0" w:color="FFFFFF"/>
            </w:tcBorders>
            <w:shd w:val="clear" w:color="000000" w:fill="F2F2F2"/>
            <w:vAlign w:val="center"/>
            <w:hideMark/>
          </w:tcPr>
          <w:p w14:paraId="45631B9F" w14:textId="6E72EFF4" w:rsidR="00F61D59" w:rsidRPr="00F61D59" w:rsidRDefault="00F61D59" w:rsidP="00F61D59">
            <w:pPr>
              <w:spacing w:before="40" w:after="40" w:line="240" w:lineRule="auto"/>
              <w:jc w:val="right"/>
              <w:rPr>
                <w:rFonts w:eastAsia="Times New Roman" w:cs="Arial"/>
                <w:b/>
                <w:bCs/>
                <w:color w:val="1C1C1C"/>
                <w:sz w:val="16"/>
                <w:szCs w:val="16"/>
                <w:u w:val="single"/>
                <w:lang w:eastAsia="en-AU"/>
              </w:rPr>
            </w:pPr>
            <w:r w:rsidRPr="00AC02CF">
              <w:rPr>
                <w:rFonts w:eastAsia="Times New Roman" w:cs="Arial"/>
                <w:color w:val="15272F"/>
                <w:sz w:val="16"/>
                <w:szCs w:val="16"/>
                <w:lang w:eastAsia="en-AU"/>
              </w:rPr>
              <w:t>132,792</w:t>
            </w:r>
          </w:p>
        </w:tc>
        <w:tc>
          <w:tcPr>
            <w:tcW w:w="1009" w:type="dxa"/>
            <w:tcBorders>
              <w:top w:val="nil"/>
              <w:left w:val="nil"/>
              <w:bottom w:val="single" w:sz="8" w:space="0" w:color="D9D9D9"/>
              <w:right w:val="single" w:sz="8" w:space="0" w:color="FFFFFF"/>
            </w:tcBorders>
            <w:shd w:val="clear" w:color="000000" w:fill="F2F2F2"/>
            <w:vAlign w:val="center"/>
            <w:hideMark/>
          </w:tcPr>
          <w:p w14:paraId="062779C2" w14:textId="3B9B2314"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150,054</w:t>
            </w:r>
          </w:p>
        </w:tc>
        <w:tc>
          <w:tcPr>
            <w:tcW w:w="1011" w:type="dxa"/>
            <w:tcBorders>
              <w:top w:val="nil"/>
              <w:left w:val="nil"/>
              <w:bottom w:val="single" w:sz="8" w:space="0" w:color="D9D9D9"/>
              <w:right w:val="single" w:sz="8" w:space="0" w:color="FFFFFF"/>
            </w:tcBorders>
            <w:shd w:val="clear" w:color="000000" w:fill="F2F2F2"/>
            <w:vAlign w:val="center"/>
            <w:hideMark/>
          </w:tcPr>
          <w:p w14:paraId="3376B688" w14:textId="3B245F33"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157,799</w:t>
            </w:r>
          </w:p>
        </w:tc>
        <w:tc>
          <w:tcPr>
            <w:tcW w:w="865" w:type="dxa"/>
            <w:tcBorders>
              <w:top w:val="nil"/>
              <w:left w:val="nil"/>
              <w:bottom w:val="single" w:sz="8" w:space="0" w:color="D9D9D9"/>
              <w:right w:val="single" w:sz="8" w:space="0" w:color="FFFFFF"/>
            </w:tcBorders>
            <w:shd w:val="clear" w:color="000000" w:fill="F2F2F2"/>
            <w:vAlign w:val="center"/>
            <w:hideMark/>
          </w:tcPr>
          <w:p w14:paraId="6C455BF1" w14:textId="2540385A" w:rsidR="00F61D59" w:rsidRPr="00F61D59" w:rsidRDefault="00F61D59" w:rsidP="00F61D59">
            <w:pPr>
              <w:spacing w:before="40" w:after="40" w:line="240" w:lineRule="auto"/>
              <w:jc w:val="right"/>
              <w:rPr>
                <w:rFonts w:eastAsia="Times New Roman" w:cs="Arial"/>
                <w:b/>
                <w:bCs/>
                <w:color w:val="1C1C1C"/>
                <w:sz w:val="16"/>
                <w:szCs w:val="16"/>
                <w:u w:val="single"/>
                <w:lang w:eastAsia="en-AU"/>
              </w:rPr>
            </w:pPr>
            <w:r w:rsidRPr="00AC02CF">
              <w:rPr>
                <w:rFonts w:eastAsia="Times New Roman" w:cs="Arial"/>
                <w:color w:val="15272F"/>
                <w:sz w:val="16"/>
                <w:szCs w:val="16"/>
                <w:lang w:eastAsia="en-AU"/>
              </w:rPr>
              <w:t>132,841</w:t>
            </w:r>
          </w:p>
        </w:tc>
        <w:tc>
          <w:tcPr>
            <w:tcW w:w="865" w:type="dxa"/>
            <w:tcBorders>
              <w:top w:val="nil"/>
              <w:left w:val="nil"/>
              <w:bottom w:val="single" w:sz="8" w:space="0" w:color="D9D9D9"/>
              <w:right w:val="single" w:sz="8" w:space="0" w:color="FFFFFF"/>
            </w:tcBorders>
            <w:shd w:val="clear" w:color="000000" w:fill="F2F2F2"/>
            <w:vAlign w:val="center"/>
            <w:hideMark/>
          </w:tcPr>
          <w:p w14:paraId="3BE512E7" w14:textId="48B143B0"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150,146</w:t>
            </w:r>
          </w:p>
        </w:tc>
        <w:tc>
          <w:tcPr>
            <w:tcW w:w="900" w:type="dxa"/>
            <w:tcBorders>
              <w:top w:val="nil"/>
              <w:left w:val="nil"/>
              <w:bottom w:val="single" w:sz="8" w:space="0" w:color="D9D9D9"/>
              <w:right w:val="single" w:sz="8" w:space="0" w:color="FFFFFF"/>
            </w:tcBorders>
            <w:shd w:val="clear" w:color="000000" w:fill="F2F2F2"/>
            <w:vAlign w:val="center"/>
            <w:hideMark/>
          </w:tcPr>
          <w:p w14:paraId="5E13068D" w14:textId="3BBE1A5C"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157,853</w:t>
            </w:r>
          </w:p>
        </w:tc>
        <w:tc>
          <w:tcPr>
            <w:tcW w:w="865" w:type="dxa"/>
            <w:tcBorders>
              <w:top w:val="nil"/>
              <w:left w:val="nil"/>
              <w:bottom w:val="single" w:sz="8" w:space="0" w:color="D9D9D9"/>
              <w:right w:val="single" w:sz="8" w:space="0" w:color="FFFFFF"/>
            </w:tcBorders>
            <w:shd w:val="clear" w:color="000000" w:fill="F2F2F2"/>
            <w:vAlign w:val="center"/>
            <w:hideMark/>
          </w:tcPr>
          <w:p w14:paraId="1AEF38E0" w14:textId="0DCC8FA3"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100</w:t>
            </w:r>
          </w:p>
        </w:tc>
        <w:tc>
          <w:tcPr>
            <w:tcW w:w="865" w:type="dxa"/>
            <w:tcBorders>
              <w:top w:val="nil"/>
              <w:left w:val="nil"/>
              <w:bottom w:val="single" w:sz="8" w:space="0" w:color="D9D9D9"/>
              <w:right w:val="single" w:sz="8" w:space="0" w:color="FFFFFF"/>
            </w:tcBorders>
            <w:shd w:val="clear" w:color="000000" w:fill="F2F2F2"/>
            <w:vAlign w:val="center"/>
            <w:hideMark/>
          </w:tcPr>
          <w:p w14:paraId="6665A132" w14:textId="0933E0B7"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100</w:t>
            </w:r>
          </w:p>
        </w:tc>
        <w:tc>
          <w:tcPr>
            <w:tcW w:w="899" w:type="dxa"/>
            <w:tcBorders>
              <w:top w:val="nil"/>
              <w:left w:val="nil"/>
              <w:bottom w:val="single" w:sz="8" w:space="0" w:color="D9D9D9"/>
              <w:right w:val="single" w:sz="8" w:space="0" w:color="FFFFFF"/>
            </w:tcBorders>
            <w:shd w:val="clear" w:color="000000" w:fill="F2F2F2"/>
            <w:vAlign w:val="center"/>
            <w:hideMark/>
          </w:tcPr>
          <w:p w14:paraId="63E5E15D" w14:textId="129F3582"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100</w:t>
            </w:r>
          </w:p>
        </w:tc>
      </w:tr>
      <w:tr w:rsidR="00F61D59" w:rsidRPr="00AC02CF" w14:paraId="77012D51" w14:textId="77777777" w:rsidTr="00E04435">
        <w:trPr>
          <w:gridAfter w:val="1"/>
          <w:wAfter w:w="12" w:type="dxa"/>
          <w:trHeight w:val="305"/>
        </w:trPr>
        <w:tc>
          <w:tcPr>
            <w:tcW w:w="1297" w:type="dxa"/>
            <w:tcBorders>
              <w:top w:val="nil"/>
              <w:left w:val="nil"/>
              <w:bottom w:val="nil"/>
              <w:right w:val="single" w:sz="8" w:space="0" w:color="FFFFFF"/>
            </w:tcBorders>
            <w:shd w:val="clear" w:color="auto" w:fill="auto"/>
            <w:vAlign w:val="center"/>
            <w:hideMark/>
          </w:tcPr>
          <w:p w14:paraId="77ABC79E"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NT</w:t>
            </w:r>
          </w:p>
        </w:tc>
        <w:tc>
          <w:tcPr>
            <w:tcW w:w="1153" w:type="dxa"/>
            <w:tcBorders>
              <w:top w:val="nil"/>
              <w:left w:val="nil"/>
              <w:bottom w:val="single" w:sz="8" w:space="0" w:color="D9D9D9"/>
              <w:right w:val="single" w:sz="8" w:space="0" w:color="FFFFFF"/>
            </w:tcBorders>
            <w:shd w:val="clear" w:color="000000" w:fill="F2F2F2"/>
            <w:vAlign w:val="center"/>
            <w:hideMark/>
          </w:tcPr>
          <w:p w14:paraId="1415DE14" w14:textId="71AE53F9" w:rsidR="00F61D59" w:rsidRPr="00F61D59" w:rsidRDefault="00F61D59" w:rsidP="00F61D59">
            <w:pPr>
              <w:spacing w:before="40" w:after="40" w:line="240" w:lineRule="auto"/>
              <w:jc w:val="right"/>
              <w:rPr>
                <w:rFonts w:eastAsia="Times New Roman" w:cs="Arial"/>
                <w:b/>
                <w:bCs/>
                <w:color w:val="1C1C1C"/>
                <w:sz w:val="16"/>
                <w:szCs w:val="16"/>
                <w:u w:val="single"/>
                <w:lang w:eastAsia="en-AU"/>
              </w:rPr>
            </w:pPr>
            <w:r w:rsidRPr="00AC02CF">
              <w:rPr>
                <w:rFonts w:eastAsia="Times New Roman" w:cs="Arial"/>
                <w:color w:val="15272F"/>
                <w:sz w:val="16"/>
                <w:szCs w:val="16"/>
                <w:lang w:eastAsia="en-AU"/>
              </w:rPr>
              <w:t>179,773</w:t>
            </w:r>
          </w:p>
        </w:tc>
        <w:tc>
          <w:tcPr>
            <w:tcW w:w="1009" w:type="dxa"/>
            <w:tcBorders>
              <w:top w:val="nil"/>
              <w:left w:val="nil"/>
              <w:bottom w:val="single" w:sz="8" w:space="0" w:color="D9D9D9"/>
              <w:right w:val="single" w:sz="8" w:space="0" w:color="FFFFFF"/>
            </w:tcBorders>
            <w:shd w:val="clear" w:color="000000" w:fill="F2F2F2"/>
            <w:vAlign w:val="center"/>
            <w:hideMark/>
          </w:tcPr>
          <w:p w14:paraId="25F56B7A" w14:textId="5434858B"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169,314</w:t>
            </w:r>
          </w:p>
        </w:tc>
        <w:tc>
          <w:tcPr>
            <w:tcW w:w="1011" w:type="dxa"/>
            <w:tcBorders>
              <w:top w:val="nil"/>
              <w:left w:val="nil"/>
              <w:bottom w:val="single" w:sz="8" w:space="0" w:color="D9D9D9"/>
              <w:right w:val="single" w:sz="8" w:space="0" w:color="FFFFFF"/>
            </w:tcBorders>
            <w:shd w:val="clear" w:color="000000" w:fill="F2F2F2"/>
            <w:vAlign w:val="center"/>
            <w:hideMark/>
          </w:tcPr>
          <w:p w14:paraId="5328E25D" w14:textId="18320E67" w:rsidR="00F61D59" w:rsidRPr="00F61D59" w:rsidRDefault="00F61D59" w:rsidP="00F61D59">
            <w:pPr>
              <w:spacing w:before="40" w:after="40" w:line="240" w:lineRule="auto"/>
              <w:jc w:val="right"/>
              <w:rPr>
                <w:rFonts w:eastAsia="Times New Roman" w:cs="Arial"/>
                <w:b/>
                <w:bCs/>
                <w:color w:val="1C1C1C"/>
                <w:sz w:val="16"/>
                <w:szCs w:val="16"/>
                <w:u w:val="single"/>
                <w:lang w:eastAsia="en-AU"/>
              </w:rPr>
            </w:pPr>
            <w:r w:rsidRPr="00AC02CF">
              <w:rPr>
                <w:rFonts w:eastAsia="Times New Roman" w:cs="Arial"/>
                <w:color w:val="15272F"/>
                <w:sz w:val="16"/>
                <w:szCs w:val="16"/>
                <w:lang w:eastAsia="en-AU"/>
              </w:rPr>
              <w:t>179,925</w:t>
            </w:r>
          </w:p>
        </w:tc>
        <w:tc>
          <w:tcPr>
            <w:tcW w:w="865" w:type="dxa"/>
            <w:tcBorders>
              <w:top w:val="nil"/>
              <w:left w:val="nil"/>
              <w:bottom w:val="single" w:sz="8" w:space="0" w:color="D9D9D9"/>
              <w:right w:val="single" w:sz="8" w:space="0" w:color="FFFFFF"/>
            </w:tcBorders>
            <w:shd w:val="clear" w:color="000000" w:fill="F2F2F2"/>
            <w:vAlign w:val="center"/>
            <w:hideMark/>
          </w:tcPr>
          <w:p w14:paraId="6280E8B8" w14:textId="0A01D93E"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179,780</w:t>
            </w:r>
          </w:p>
        </w:tc>
        <w:tc>
          <w:tcPr>
            <w:tcW w:w="865" w:type="dxa"/>
            <w:tcBorders>
              <w:top w:val="nil"/>
              <w:left w:val="nil"/>
              <w:bottom w:val="single" w:sz="8" w:space="0" w:color="D9D9D9"/>
              <w:right w:val="single" w:sz="8" w:space="0" w:color="FFFFFF"/>
            </w:tcBorders>
            <w:shd w:val="clear" w:color="000000" w:fill="F2F2F2"/>
            <w:vAlign w:val="center"/>
            <w:hideMark/>
          </w:tcPr>
          <w:p w14:paraId="066CBA02" w14:textId="55BCB4CB"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169,533</w:t>
            </w:r>
          </w:p>
        </w:tc>
        <w:tc>
          <w:tcPr>
            <w:tcW w:w="900" w:type="dxa"/>
            <w:tcBorders>
              <w:top w:val="nil"/>
              <w:left w:val="nil"/>
              <w:bottom w:val="single" w:sz="8" w:space="0" w:color="D9D9D9"/>
              <w:right w:val="single" w:sz="8" w:space="0" w:color="FFFFFF"/>
            </w:tcBorders>
            <w:shd w:val="clear" w:color="000000" w:fill="F2F2F2"/>
            <w:vAlign w:val="center"/>
            <w:hideMark/>
          </w:tcPr>
          <w:p w14:paraId="14288611" w14:textId="52CDC0AF"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179,961</w:t>
            </w:r>
          </w:p>
        </w:tc>
        <w:tc>
          <w:tcPr>
            <w:tcW w:w="865" w:type="dxa"/>
            <w:tcBorders>
              <w:top w:val="nil"/>
              <w:left w:val="nil"/>
              <w:bottom w:val="single" w:sz="8" w:space="0" w:color="D9D9D9"/>
              <w:right w:val="single" w:sz="8" w:space="0" w:color="FFFFFF"/>
            </w:tcBorders>
            <w:shd w:val="clear" w:color="000000" w:fill="F2F2F2"/>
            <w:vAlign w:val="center"/>
            <w:hideMark/>
          </w:tcPr>
          <w:p w14:paraId="71ABFB83" w14:textId="6EBA2332"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100</w:t>
            </w:r>
          </w:p>
        </w:tc>
        <w:tc>
          <w:tcPr>
            <w:tcW w:w="865" w:type="dxa"/>
            <w:tcBorders>
              <w:top w:val="nil"/>
              <w:left w:val="nil"/>
              <w:bottom w:val="single" w:sz="8" w:space="0" w:color="D9D9D9"/>
              <w:right w:val="single" w:sz="8" w:space="0" w:color="FFFFFF"/>
            </w:tcBorders>
            <w:shd w:val="clear" w:color="000000" w:fill="F2F2F2"/>
            <w:vAlign w:val="center"/>
            <w:hideMark/>
          </w:tcPr>
          <w:p w14:paraId="6DDCB969" w14:textId="7337C02C"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100</w:t>
            </w:r>
          </w:p>
        </w:tc>
        <w:tc>
          <w:tcPr>
            <w:tcW w:w="899" w:type="dxa"/>
            <w:tcBorders>
              <w:top w:val="nil"/>
              <w:left w:val="nil"/>
              <w:bottom w:val="single" w:sz="8" w:space="0" w:color="D9D9D9"/>
              <w:right w:val="single" w:sz="8" w:space="0" w:color="FFFFFF"/>
            </w:tcBorders>
            <w:shd w:val="clear" w:color="000000" w:fill="F2F2F2"/>
            <w:vAlign w:val="center"/>
            <w:hideMark/>
          </w:tcPr>
          <w:p w14:paraId="47C1F5D8" w14:textId="36739BC6"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100</w:t>
            </w:r>
          </w:p>
        </w:tc>
      </w:tr>
      <w:tr w:rsidR="00F61D59" w:rsidRPr="00AC02CF" w14:paraId="4A4E0E38" w14:textId="77777777" w:rsidTr="00E04435">
        <w:trPr>
          <w:gridAfter w:val="1"/>
          <w:wAfter w:w="12" w:type="dxa"/>
          <w:trHeight w:val="305"/>
        </w:trPr>
        <w:tc>
          <w:tcPr>
            <w:tcW w:w="1297" w:type="dxa"/>
            <w:tcBorders>
              <w:top w:val="single" w:sz="8" w:space="0" w:color="D9D9D9"/>
              <w:left w:val="nil"/>
              <w:bottom w:val="single" w:sz="8" w:space="0" w:color="D9D9D9"/>
              <w:right w:val="single" w:sz="8" w:space="0" w:color="FFFFFF"/>
            </w:tcBorders>
            <w:shd w:val="clear" w:color="auto" w:fill="auto"/>
            <w:vAlign w:val="center"/>
            <w:hideMark/>
          </w:tcPr>
          <w:p w14:paraId="03347211"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ACT</w:t>
            </w:r>
          </w:p>
        </w:tc>
        <w:tc>
          <w:tcPr>
            <w:tcW w:w="1153" w:type="dxa"/>
            <w:tcBorders>
              <w:top w:val="nil"/>
              <w:left w:val="nil"/>
              <w:bottom w:val="single" w:sz="8" w:space="0" w:color="D9D9D9"/>
              <w:right w:val="single" w:sz="8" w:space="0" w:color="FFFFFF"/>
            </w:tcBorders>
            <w:shd w:val="clear" w:color="000000" w:fill="F2F2F2"/>
            <w:vAlign w:val="center"/>
            <w:hideMark/>
          </w:tcPr>
          <w:p w14:paraId="0E08B08C" w14:textId="09EFEB56" w:rsidR="00F61D59" w:rsidRPr="00F61D59" w:rsidRDefault="00F61D59" w:rsidP="00F61D59">
            <w:pPr>
              <w:spacing w:before="40" w:after="40" w:line="240" w:lineRule="auto"/>
              <w:jc w:val="right"/>
              <w:rPr>
                <w:rFonts w:eastAsia="Times New Roman" w:cs="Arial"/>
                <w:b/>
                <w:bCs/>
                <w:color w:val="1C1C1C"/>
                <w:sz w:val="16"/>
                <w:szCs w:val="16"/>
                <w:u w:val="single"/>
                <w:lang w:eastAsia="en-AU"/>
              </w:rPr>
            </w:pPr>
            <w:r w:rsidRPr="00AC02CF">
              <w:rPr>
                <w:rFonts w:eastAsia="Times New Roman" w:cs="Arial"/>
                <w:color w:val="15272F"/>
                <w:sz w:val="16"/>
                <w:szCs w:val="16"/>
                <w:lang w:eastAsia="en-AU"/>
              </w:rPr>
              <w:t>119,815</w:t>
            </w:r>
          </w:p>
        </w:tc>
        <w:tc>
          <w:tcPr>
            <w:tcW w:w="1009" w:type="dxa"/>
            <w:tcBorders>
              <w:top w:val="nil"/>
              <w:left w:val="nil"/>
              <w:bottom w:val="single" w:sz="8" w:space="0" w:color="D9D9D9"/>
              <w:right w:val="single" w:sz="8" w:space="0" w:color="FFFFFF"/>
            </w:tcBorders>
            <w:shd w:val="clear" w:color="000000" w:fill="F2F2F2"/>
            <w:vAlign w:val="center"/>
            <w:hideMark/>
          </w:tcPr>
          <w:p w14:paraId="7E69B171" w14:textId="014BD464"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112,495</w:t>
            </w:r>
          </w:p>
        </w:tc>
        <w:tc>
          <w:tcPr>
            <w:tcW w:w="1011" w:type="dxa"/>
            <w:tcBorders>
              <w:top w:val="nil"/>
              <w:left w:val="nil"/>
              <w:bottom w:val="single" w:sz="8" w:space="0" w:color="D9D9D9"/>
              <w:right w:val="single" w:sz="8" w:space="0" w:color="FFFFFF"/>
            </w:tcBorders>
            <w:shd w:val="clear" w:color="000000" w:fill="F2F2F2"/>
            <w:vAlign w:val="center"/>
            <w:hideMark/>
          </w:tcPr>
          <w:p w14:paraId="37C930F1" w14:textId="3E38C0E1"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w:t>
            </w:r>
          </w:p>
        </w:tc>
        <w:tc>
          <w:tcPr>
            <w:tcW w:w="865" w:type="dxa"/>
            <w:tcBorders>
              <w:top w:val="nil"/>
              <w:left w:val="nil"/>
              <w:bottom w:val="single" w:sz="8" w:space="0" w:color="D9D9D9"/>
              <w:right w:val="single" w:sz="8" w:space="0" w:color="FFFFFF"/>
            </w:tcBorders>
            <w:shd w:val="clear" w:color="000000" w:fill="F2F2F2"/>
            <w:vAlign w:val="center"/>
            <w:hideMark/>
          </w:tcPr>
          <w:p w14:paraId="3C674ED0" w14:textId="61F14E52" w:rsidR="00F61D59" w:rsidRPr="00F61D59" w:rsidRDefault="00F61D59" w:rsidP="00F61D59">
            <w:pPr>
              <w:spacing w:before="40" w:after="40" w:line="240" w:lineRule="auto"/>
              <w:jc w:val="right"/>
              <w:rPr>
                <w:rFonts w:eastAsia="Times New Roman" w:cs="Arial"/>
                <w:b/>
                <w:bCs/>
                <w:color w:val="1C1C1C"/>
                <w:sz w:val="16"/>
                <w:szCs w:val="16"/>
                <w:u w:val="single"/>
                <w:lang w:eastAsia="en-AU"/>
              </w:rPr>
            </w:pPr>
            <w:r w:rsidRPr="00AC02CF">
              <w:rPr>
                <w:rFonts w:eastAsia="Times New Roman" w:cs="Arial"/>
                <w:color w:val="15272F"/>
                <w:sz w:val="16"/>
                <w:szCs w:val="16"/>
                <w:lang w:eastAsia="en-AU"/>
              </w:rPr>
              <w:t>121,672</w:t>
            </w:r>
          </w:p>
        </w:tc>
        <w:tc>
          <w:tcPr>
            <w:tcW w:w="865" w:type="dxa"/>
            <w:tcBorders>
              <w:top w:val="nil"/>
              <w:left w:val="nil"/>
              <w:bottom w:val="single" w:sz="8" w:space="0" w:color="D9D9D9"/>
              <w:right w:val="single" w:sz="8" w:space="0" w:color="FFFFFF"/>
            </w:tcBorders>
            <w:shd w:val="clear" w:color="000000" w:fill="F2F2F2"/>
            <w:vAlign w:val="center"/>
            <w:hideMark/>
          </w:tcPr>
          <w:p w14:paraId="6247636B" w14:textId="6E485E5D"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113,885</w:t>
            </w:r>
          </w:p>
        </w:tc>
        <w:tc>
          <w:tcPr>
            <w:tcW w:w="900" w:type="dxa"/>
            <w:tcBorders>
              <w:top w:val="nil"/>
              <w:left w:val="nil"/>
              <w:bottom w:val="single" w:sz="8" w:space="0" w:color="D9D9D9"/>
              <w:right w:val="single" w:sz="8" w:space="0" w:color="FFFFFF"/>
            </w:tcBorders>
            <w:shd w:val="clear" w:color="000000" w:fill="F2F2F2"/>
            <w:vAlign w:val="center"/>
            <w:hideMark/>
          </w:tcPr>
          <w:p w14:paraId="67BDE240" w14:textId="17DBBD26"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120,878</w:t>
            </w:r>
          </w:p>
        </w:tc>
        <w:tc>
          <w:tcPr>
            <w:tcW w:w="865" w:type="dxa"/>
            <w:tcBorders>
              <w:top w:val="nil"/>
              <w:left w:val="nil"/>
              <w:bottom w:val="single" w:sz="8" w:space="0" w:color="D9D9D9"/>
              <w:right w:val="single" w:sz="8" w:space="0" w:color="FFFFFF"/>
            </w:tcBorders>
            <w:shd w:val="clear" w:color="000000" w:fill="F2F2F2"/>
            <w:vAlign w:val="center"/>
            <w:hideMark/>
          </w:tcPr>
          <w:p w14:paraId="7A9D9E0B" w14:textId="27F6ADBF" w:rsidR="00F61D59" w:rsidRPr="00F61D59" w:rsidRDefault="00F61D59" w:rsidP="00F61D59">
            <w:pPr>
              <w:spacing w:before="40" w:after="40" w:line="240" w:lineRule="auto"/>
              <w:jc w:val="right"/>
              <w:rPr>
                <w:rFonts w:eastAsia="Times New Roman" w:cs="Arial"/>
                <w:color w:val="1C1C1C"/>
                <w:sz w:val="16"/>
                <w:szCs w:val="16"/>
                <w:lang w:eastAsia="en-AU"/>
              </w:rPr>
            </w:pPr>
            <w:r w:rsidRPr="00AC02CF">
              <w:rPr>
                <w:rFonts w:eastAsia="Times New Roman" w:cs="Arial"/>
                <w:color w:val="15272F"/>
                <w:sz w:val="16"/>
                <w:szCs w:val="16"/>
                <w:lang w:eastAsia="en-AU"/>
              </w:rPr>
              <w:t>98</w:t>
            </w:r>
          </w:p>
        </w:tc>
        <w:tc>
          <w:tcPr>
            <w:tcW w:w="865" w:type="dxa"/>
            <w:tcBorders>
              <w:top w:val="nil"/>
              <w:left w:val="nil"/>
              <w:bottom w:val="single" w:sz="8" w:space="0" w:color="D9D9D9"/>
              <w:right w:val="single" w:sz="8" w:space="0" w:color="FFFFFF"/>
            </w:tcBorders>
            <w:shd w:val="clear" w:color="000000" w:fill="F2F2F2"/>
            <w:vAlign w:val="center"/>
            <w:hideMark/>
          </w:tcPr>
          <w:p w14:paraId="0BC50250" w14:textId="329D2B94" w:rsidR="00F61D59" w:rsidRPr="00F61D59" w:rsidRDefault="00F61D59" w:rsidP="00F61D59">
            <w:pPr>
              <w:spacing w:before="40" w:after="40" w:line="240" w:lineRule="auto"/>
              <w:jc w:val="right"/>
              <w:rPr>
                <w:rFonts w:eastAsia="Times New Roman" w:cs="Arial"/>
                <w:b/>
                <w:bCs/>
                <w:color w:val="1C1C1C"/>
                <w:sz w:val="16"/>
                <w:szCs w:val="16"/>
                <w:u w:val="single"/>
                <w:lang w:eastAsia="en-AU"/>
              </w:rPr>
            </w:pPr>
            <w:r w:rsidRPr="00AC02CF">
              <w:rPr>
                <w:rFonts w:eastAsia="Times New Roman" w:cs="Arial"/>
                <w:color w:val="15272F"/>
                <w:sz w:val="16"/>
                <w:szCs w:val="16"/>
                <w:lang w:eastAsia="en-AU"/>
              </w:rPr>
              <w:t>99</w:t>
            </w:r>
          </w:p>
        </w:tc>
        <w:tc>
          <w:tcPr>
            <w:tcW w:w="899" w:type="dxa"/>
            <w:tcBorders>
              <w:top w:val="nil"/>
              <w:left w:val="nil"/>
              <w:bottom w:val="single" w:sz="8" w:space="0" w:color="D9D9D9"/>
              <w:right w:val="single" w:sz="8" w:space="0" w:color="FFFFFF"/>
            </w:tcBorders>
            <w:shd w:val="clear" w:color="000000" w:fill="F2F2F2"/>
            <w:vAlign w:val="center"/>
            <w:hideMark/>
          </w:tcPr>
          <w:p w14:paraId="1FF66359" w14:textId="1B25BFF0" w:rsidR="00F61D59" w:rsidRPr="00F61D59" w:rsidRDefault="0085419C" w:rsidP="00F61D59">
            <w:pPr>
              <w:spacing w:before="40" w:after="40" w:line="240" w:lineRule="auto"/>
              <w:jc w:val="right"/>
              <w:rPr>
                <w:rFonts w:eastAsia="Times New Roman" w:cs="Arial"/>
                <w:color w:val="1C1C1C"/>
                <w:sz w:val="16"/>
                <w:szCs w:val="16"/>
                <w:lang w:eastAsia="en-AU"/>
              </w:rPr>
            </w:pPr>
            <w:r>
              <w:rPr>
                <w:rFonts w:eastAsia="Times New Roman" w:cs="Arial"/>
                <w:color w:val="15272F"/>
                <w:sz w:val="16"/>
                <w:szCs w:val="16"/>
                <w:lang w:eastAsia="en-AU"/>
              </w:rPr>
              <w:t>0</w:t>
            </w:r>
          </w:p>
        </w:tc>
      </w:tr>
      <w:tr w:rsidR="00F61D59" w:rsidRPr="00AC02CF" w14:paraId="1F9DFA10" w14:textId="77777777" w:rsidTr="00E04435">
        <w:trPr>
          <w:gridAfter w:val="1"/>
          <w:wAfter w:w="12" w:type="dxa"/>
          <w:trHeight w:val="289"/>
        </w:trPr>
        <w:tc>
          <w:tcPr>
            <w:tcW w:w="1297" w:type="dxa"/>
            <w:tcBorders>
              <w:top w:val="nil"/>
              <w:left w:val="nil"/>
              <w:bottom w:val="nil"/>
              <w:right w:val="single" w:sz="8" w:space="0" w:color="FFFFFF"/>
            </w:tcBorders>
            <w:shd w:val="clear" w:color="000000" w:fill="DFEBF1"/>
            <w:vAlign w:val="center"/>
            <w:hideMark/>
          </w:tcPr>
          <w:p w14:paraId="2F845FB9" w14:textId="77777777" w:rsidR="00F61D59" w:rsidRPr="00F61D59" w:rsidRDefault="00F61D59" w:rsidP="00F61D59">
            <w:pPr>
              <w:spacing w:before="40" w:after="40" w:line="240" w:lineRule="auto"/>
              <w:rPr>
                <w:rFonts w:eastAsia="Times New Roman" w:cs="Arial"/>
                <w:b/>
                <w:bCs/>
                <w:color w:val="1C1C1C"/>
                <w:sz w:val="16"/>
                <w:szCs w:val="16"/>
                <w:lang w:eastAsia="en-AU"/>
              </w:rPr>
            </w:pPr>
            <w:r w:rsidRPr="00F61D59">
              <w:rPr>
                <w:rFonts w:eastAsia="Times New Roman" w:cs="Arial"/>
                <w:b/>
                <w:bCs/>
                <w:color w:val="1C1C1C"/>
                <w:sz w:val="16"/>
                <w:szCs w:val="16"/>
                <w:lang w:eastAsia="en-AU"/>
              </w:rPr>
              <w:t>National</w:t>
            </w:r>
          </w:p>
        </w:tc>
        <w:tc>
          <w:tcPr>
            <w:tcW w:w="1153" w:type="dxa"/>
            <w:tcBorders>
              <w:top w:val="nil"/>
              <w:left w:val="nil"/>
              <w:bottom w:val="nil"/>
              <w:right w:val="single" w:sz="8" w:space="0" w:color="FFFFFF"/>
            </w:tcBorders>
            <w:shd w:val="clear" w:color="000000" w:fill="DFEBF1"/>
            <w:vAlign w:val="center"/>
            <w:hideMark/>
          </w:tcPr>
          <w:p w14:paraId="04590CD5" w14:textId="577306DB" w:rsidR="00F61D59" w:rsidRPr="00F61D59" w:rsidRDefault="00F61D59" w:rsidP="00F61D59">
            <w:pPr>
              <w:spacing w:before="40" w:after="40" w:line="240" w:lineRule="auto"/>
              <w:jc w:val="right"/>
              <w:rPr>
                <w:rFonts w:eastAsia="Times New Roman" w:cs="Arial"/>
                <w:b/>
                <w:bCs/>
                <w:color w:val="1C1C1C"/>
                <w:sz w:val="16"/>
                <w:szCs w:val="16"/>
                <w:lang w:eastAsia="en-AU"/>
              </w:rPr>
            </w:pPr>
            <w:r w:rsidRPr="00CC29EE">
              <w:rPr>
                <w:rFonts w:eastAsia="Times New Roman" w:cs="Arial"/>
                <w:b/>
                <w:bCs/>
                <w:color w:val="15272F"/>
                <w:sz w:val="16"/>
                <w:szCs w:val="16"/>
                <w:lang w:eastAsia="en-AU"/>
              </w:rPr>
              <w:t>6,360,259</w:t>
            </w:r>
          </w:p>
        </w:tc>
        <w:tc>
          <w:tcPr>
            <w:tcW w:w="1009" w:type="dxa"/>
            <w:tcBorders>
              <w:top w:val="nil"/>
              <w:left w:val="nil"/>
              <w:bottom w:val="nil"/>
              <w:right w:val="single" w:sz="8" w:space="0" w:color="FFFFFF"/>
            </w:tcBorders>
            <w:shd w:val="clear" w:color="000000" w:fill="DFEBF1"/>
            <w:vAlign w:val="center"/>
            <w:hideMark/>
          </w:tcPr>
          <w:p w14:paraId="674E0BF0" w14:textId="5467E678" w:rsidR="00F61D59" w:rsidRPr="00F61D59" w:rsidRDefault="00F61D59" w:rsidP="00F61D59">
            <w:pPr>
              <w:spacing w:before="40" w:after="40" w:line="240" w:lineRule="auto"/>
              <w:jc w:val="right"/>
              <w:rPr>
                <w:rFonts w:eastAsia="Times New Roman" w:cs="Arial"/>
                <w:b/>
                <w:bCs/>
                <w:color w:val="1C1C1C"/>
                <w:sz w:val="16"/>
                <w:szCs w:val="16"/>
                <w:lang w:eastAsia="en-AU"/>
              </w:rPr>
            </w:pPr>
            <w:r w:rsidRPr="00CC29EE">
              <w:rPr>
                <w:rFonts w:eastAsia="Times New Roman" w:cs="Arial"/>
                <w:b/>
                <w:bCs/>
                <w:color w:val="15272F"/>
                <w:sz w:val="16"/>
                <w:szCs w:val="16"/>
                <w:lang w:eastAsia="en-AU"/>
              </w:rPr>
              <w:t>6,224,642</w:t>
            </w:r>
          </w:p>
        </w:tc>
        <w:tc>
          <w:tcPr>
            <w:tcW w:w="1011" w:type="dxa"/>
            <w:tcBorders>
              <w:top w:val="nil"/>
              <w:left w:val="nil"/>
              <w:bottom w:val="nil"/>
              <w:right w:val="single" w:sz="8" w:space="0" w:color="FFFFFF"/>
            </w:tcBorders>
            <w:shd w:val="clear" w:color="000000" w:fill="DFEBF1"/>
            <w:vAlign w:val="center"/>
            <w:hideMark/>
          </w:tcPr>
          <w:p w14:paraId="382CD7BF" w14:textId="2177FB26" w:rsidR="00F61D59" w:rsidRPr="00F61D59" w:rsidRDefault="00F61D59" w:rsidP="00F61D59">
            <w:pPr>
              <w:spacing w:before="40" w:after="40" w:line="240" w:lineRule="auto"/>
              <w:jc w:val="right"/>
              <w:rPr>
                <w:rFonts w:eastAsia="Times New Roman" w:cs="Arial"/>
                <w:b/>
                <w:bCs/>
                <w:color w:val="1C1C1C"/>
                <w:sz w:val="16"/>
                <w:szCs w:val="16"/>
                <w:lang w:eastAsia="en-AU"/>
              </w:rPr>
            </w:pPr>
            <w:r w:rsidRPr="00CC29EE">
              <w:rPr>
                <w:rFonts w:eastAsia="Times New Roman" w:cs="Arial"/>
                <w:b/>
                <w:bCs/>
                <w:color w:val="15272F"/>
                <w:sz w:val="16"/>
                <w:szCs w:val="16"/>
                <w:lang w:eastAsia="en-AU"/>
              </w:rPr>
              <w:t>6,506,233</w:t>
            </w:r>
          </w:p>
        </w:tc>
        <w:tc>
          <w:tcPr>
            <w:tcW w:w="865" w:type="dxa"/>
            <w:tcBorders>
              <w:top w:val="nil"/>
              <w:left w:val="nil"/>
              <w:bottom w:val="nil"/>
              <w:right w:val="single" w:sz="8" w:space="0" w:color="FFFFFF"/>
            </w:tcBorders>
            <w:shd w:val="clear" w:color="000000" w:fill="DFEBF1"/>
            <w:vAlign w:val="center"/>
            <w:hideMark/>
          </w:tcPr>
          <w:p w14:paraId="2B5D80E5" w14:textId="4DABCFCB" w:rsidR="00F61D59" w:rsidRPr="00F61D59" w:rsidRDefault="00F61D59" w:rsidP="00F61D59">
            <w:pPr>
              <w:spacing w:before="40" w:after="40" w:line="240" w:lineRule="auto"/>
              <w:jc w:val="right"/>
              <w:rPr>
                <w:rFonts w:eastAsia="Times New Roman" w:cs="Arial"/>
                <w:b/>
                <w:bCs/>
                <w:color w:val="1C1C1C"/>
                <w:sz w:val="16"/>
                <w:szCs w:val="16"/>
                <w:lang w:eastAsia="en-AU"/>
              </w:rPr>
            </w:pPr>
            <w:r w:rsidRPr="00CC29EE">
              <w:rPr>
                <w:rFonts w:eastAsia="Times New Roman" w:cs="Arial"/>
                <w:b/>
                <w:bCs/>
                <w:color w:val="15272F"/>
                <w:sz w:val="16"/>
                <w:szCs w:val="16"/>
                <w:lang w:eastAsia="en-AU"/>
              </w:rPr>
              <w:t>6,681,284</w:t>
            </w:r>
          </w:p>
        </w:tc>
        <w:tc>
          <w:tcPr>
            <w:tcW w:w="865" w:type="dxa"/>
            <w:tcBorders>
              <w:top w:val="nil"/>
              <w:left w:val="nil"/>
              <w:bottom w:val="nil"/>
              <w:right w:val="single" w:sz="8" w:space="0" w:color="FFFFFF"/>
            </w:tcBorders>
            <w:shd w:val="clear" w:color="000000" w:fill="DFEBF1"/>
            <w:vAlign w:val="center"/>
            <w:hideMark/>
          </w:tcPr>
          <w:p w14:paraId="3D26A81C" w14:textId="28E93A27" w:rsidR="00F61D59" w:rsidRPr="00F61D59" w:rsidRDefault="00F61D59" w:rsidP="00F61D59">
            <w:pPr>
              <w:spacing w:before="40" w:after="40" w:line="240" w:lineRule="auto"/>
              <w:jc w:val="right"/>
              <w:rPr>
                <w:rFonts w:eastAsia="Times New Roman" w:cs="Arial"/>
                <w:b/>
                <w:bCs/>
                <w:color w:val="1C1C1C"/>
                <w:sz w:val="16"/>
                <w:szCs w:val="16"/>
                <w:lang w:eastAsia="en-AU"/>
              </w:rPr>
            </w:pPr>
            <w:r w:rsidRPr="00CC29EE">
              <w:rPr>
                <w:rFonts w:eastAsia="Times New Roman" w:cs="Arial"/>
                <w:b/>
                <w:bCs/>
                <w:color w:val="15272F"/>
                <w:sz w:val="16"/>
                <w:szCs w:val="16"/>
                <w:lang w:eastAsia="en-AU"/>
              </w:rPr>
              <w:t>6,552,451</w:t>
            </w:r>
          </w:p>
        </w:tc>
        <w:tc>
          <w:tcPr>
            <w:tcW w:w="900" w:type="dxa"/>
            <w:tcBorders>
              <w:top w:val="nil"/>
              <w:left w:val="nil"/>
              <w:bottom w:val="nil"/>
              <w:right w:val="single" w:sz="8" w:space="0" w:color="FFFFFF"/>
            </w:tcBorders>
            <w:shd w:val="clear" w:color="000000" w:fill="DFEBF1"/>
            <w:vAlign w:val="center"/>
            <w:hideMark/>
          </w:tcPr>
          <w:p w14:paraId="0F0C08A0" w14:textId="47E4840F" w:rsidR="00F61D59" w:rsidRPr="00F61D59" w:rsidRDefault="00F61D59" w:rsidP="00F61D59">
            <w:pPr>
              <w:spacing w:before="40" w:after="40" w:line="240" w:lineRule="auto"/>
              <w:jc w:val="right"/>
              <w:rPr>
                <w:rFonts w:eastAsia="Times New Roman" w:cs="Arial"/>
                <w:b/>
                <w:bCs/>
                <w:color w:val="1C1C1C"/>
                <w:sz w:val="16"/>
                <w:szCs w:val="16"/>
                <w:lang w:eastAsia="en-AU"/>
              </w:rPr>
            </w:pPr>
            <w:r w:rsidRPr="00CC29EE">
              <w:rPr>
                <w:rFonts w:eastAsia="Times New Roman" w:cs="Arial"/>
                <w:b/>
                <w:bCs/>
                <w:color w:val="15272F"/>
                <w:sz w:val="16"/>
                <w:szCs w:val="16"/>
                <w:lang w:eastAsia="en-AU"/>
              </w:rPr>
              <w:t>6,844,296</w:t>
            </w:r>
          </w:p>
        </w:tc>
        <w:tc>
          <w:tcPr>
            <w:tcW w:w="865" w:type="dxa"/>
            <w:tcBorders>
              <w:top w:val="nil"/>
              <w:left w:val="nil"/>
              <w:bottom w:val="nil"/>
              <w:right w:val="single" w:sz="8" w:space="0" w:color="FFFFFF"/>
            </w:tcBorders>
            <w:shd w:val="clear" w:color="000000" w:fill="DFEBF1"/>
            <w:vAlign w:val="center"/>
            <w:hideMark/>
          </w:tcPr>
          <w:p w14:paraId="5BB39C6B" w14:textId="528851C7" w:rsidR="00F61D59" w:rsidRPr="00F61D59" w:rsidRDefault="00F61D59" w:rsidP="00F61D59">
            <w:pPr>
              <w:spacing w:before="40" w:after="40" w:line="240" w:lineRule="auto"/>
              <w:jc w:val="right"/>
              <w:rPr>
                <w:rFonts w:eastAsia="Times New Roman" w:cs="Arial"/>
                <w:b/>
                <w:bCs/>
                <w:color w:val="1C1C1C"/>
                <w:sz w:val="16"/>
                <w:szCs w:val="16"/>
                <w:lang w:eastAsia="en-AU"/>
              </w:rPr>
            </w:pPr>
            <w:r w:rsidRPr="00CC29EE">
              <w:rPr>
                <w:rFonts w:eastAsia="Times New Roman" w:cs="Arial"/>
                <w:b/>
                <w:bCs/>
                <w:color w:val="15272F"/>
                <w:sz w:val="16"/>
                <w:szCs w:val="16"/>
                <w:lang w:eastAsia="en-AU"/>
              </w:rPr>
              <w:t>95</w:t>
            </w:r>
          </w:p>
        </w:tc>
        <w:tc>
          <w:tcPr>
            <w:tcW w:w="865" w:type="dxa"/>
            <w:tcBorders>
              <w:top w:val="nil"/>
              <w:left w:val="nil"/>
              <w:bottom w:val="nil"/>
              <w:right w:val="single" w:sz="8" w:space="0" w:color="FFFFFF"/>
            </w:tcBorders>
            <w:shd w:val="clear" w:color="000000" w:fill="DFEBF1"/>
            <w:vAlign w:val="center"/>
            <w:hideMark/>
          </w:tcPr>
          <w:p w14:paraId="14849ADA" w14:textId="2E4286C9" w:rsidR="00F61D59" w:rsidRPr="00F61D59" w:rsidRDefault="00F61D59" w:rsidP="00F61D59">
            <w:pPr>
              <w:spacing w:before="40" w:after="40" w:line="240" w:lineRule="auto"/>
              <w:jc w:val="right"/>
              <w:rPr>
                <w:rFonts w:eastAsia="Times New Roman" w:cs="Arial"/>
                <w:b/>
                <w:bCs/>
                <w:color w:val="1C1C1C"/>
                <w:sz w:val="16"/>
                <w:szCs w:val="16"/>
                <w:lang w:eastAsia="en-AU"/>
              </w:rPr>
            </w:pPr>
            <w:r w:rsidRPr="00CC29EE">
              <w:rPr>
                <w:rFonts w:eastAsia="Times New Roman" w:cs="Arial"/>
                <w:b/>
                <w:bCs/>
                <w:color w:val="15272F"/>
                <w:sz w:val="16"/>
                <w:szCs w:val="16"/>
                <w:lang w:eastAsia="en-AU"/>
              </w:rPr>
              <w:t>95</w:t>
            </w:r>
          </w:p>
        </w:tc>
        <w:tc>
          <w:tcPr>
            <w:tcW w:w="899" w:type="dxa"/>
            <w:tcBorders>
              <w:top w:val="nil"/>
              <w:left w:val="nil"/>
              <w:bottom w:val="nil"/>
              <w:right w:val="single" w:sz="8" w:space="0" w:color="FFFFFF"/>
            </w:tcBorders>
            <w:shd w:val="clear" w:color="000000" w:fill="DFEBF1"/>
            <w:vAlign w:val="center"/>
            <w:hideMark/>
          </w:tcPr>
          <w:p w14:paraId="3E3558D7" w14:textId="40817D19" w:rsidR="00F61D59" w:rsidRPr="00F61D59" w:rsidRDefault="00F61D59" w:rsidP="00F61D59">
            <w:pPr>
              <w:spacing w:before="40" w:after="40" w:line="240" w:lineRule="auto"/>
              <w:jc w:val="right"/>
              <w:rPr>
                <w:rFonts w:eastAsia="Times New Roman" w:cs="Arial"/>
                <w:b/>
                <w:bCs/>
                <w:color w:val="1C1C1C"/>
                <w:sz w:val="16"/>
                <w:szCs w:val="16"/>
                <w:lang w:eastAsia="en-AU"/>
              </w:rPr>
            </w:pPr>
            <w:r w:rsidRPr="00CC29EE">
              <w:rPr>
                <w:rFonts w:eastAsia="Times New Roman" w:cs="Arial"/>
                <w:b/>
                <w:bCs/>
                <w:color w:val="15272F"/>
                <w:sz w:val="16"/>
                <w:szCs w:val="16"/>
                <w:lang w:eastAsia="en-AU"/>
              </w:rPr>
              <w:t>95</w:t>
            </w:r>
          </w:p>
        </w:tc>
      </w:tr>
    </w:tbl>
    <w:p w14:paraId="69C04A2D" w14:textId="620560B5" w:rsidR="00BA6C2D" w:rsidRPr="00CE058E" w:rsidRDefault="002501B6" w:rsidP="00FF0B64">
      <w:pPr>
        <w:pStyle w:val="Heading2"/>
        <w:spacing w:before="400"/>
      </w:pPr>
      <w:r w:rsidRPr="00CE058E">
        <w:t xml:space="preserve">Admitted acute </w:t>
      </w:r>
      <w:r w:rsidR="00BA6C2D" w:rsidRPr="00CE058E">
        <w:t>separations</w:t>
      </w:r>
      <w:bookmarkEnd w:id="73"/>
      <w:bookmarkEnd w:id="74"/>
      <w:bookmarkEnd w:id="75"/>
      <w:bookmarkEnd w:id="76"/>
      <w:bookmarkEnd w:id="77"/>
    </w:p>
    <w:bookmarkStart w:id="82" w:name="_Hlk148531742"/>
    <w:p w14:paraId="69C82E28" w14:textId="7333CF5F" w:rsidR="00AB4337" w:rsidRPr="00A42FF4" w:rsidRDefault="00183C52" w:rsidP="00BC4620">
      <w:pPr>
        <w:spacing w:line="276" w:lineRule="auto"/>
        <w:rPr>
          <w:rFonts w:cs="Arial"/>
        </w:rPr>
      </w:pPr>
      <w:r w:rsidRPr="00183C52">
        <w:rPr>
          <w:rFonts w:cs="Arial"/>
        </w:rPr>
        <w:fldChar w:fldCharType="begin"/>
      </w:r>
      <w:r w:rsidRPr="00183C52">
        <w:rPr>
          <w:rFonts w:cs="Arial"/>
        </w:rPr>
        <w:instrText xml:space="preserve"> REF _Ref185835938 \h </w:instrText>
      </w:r>
      <w:r w:rsidRPr="00183C52">
        <w:rPr>
          <w:rFonts w:cs="Arial"/>
        </w:rPr>
      </w:r>
      <w:r w:rsidRPr="00183C52">
        <w:rPr>
          <w:rFonts w:cs="Arial"/>
        </w:rPr>
        <w:fldChar w:fldCharType="separate"/>
      </w:r>
      <w:r w:rsidRPr="00296833">
        <w:rPr>
          <w:rFonts w:cstheme="majorBidi"/>
          <w:lang w:val="en-PH"/>
        </w:rPr>
        <w:t xml:space="preserve">Figure </w:t>
      </w:r>
      <w:r w:rsidRPr="00296833">
        <w:rPr>
          <w:rFonts w:cstheme="majorBidi"/>
          <w:noProof/>
          <w:lang w:val="en-PH"/>
        </w:rPr>
        <w:t>3</w:t>
      </w:r>
      <w:r w:rsidRPr="00183C52">
        <w:rPr>
          <w:rFonts w:cs="Arial"/>
        </w:rPr>
        <w:fldChar w:fldCharType="end"/>
      </w:r>
      <w:r w:rsidR="00EA2780" w:rsidRPr="00A42FF4">
        <w:rPr>
          <w:rFonts w:cs="Arial"/>
        </w:rPr>
        <w:t xml:space="preserve"> </w:t>
      </w:r>
      <w:r w:rsidR="006D3B16" w:rsidRPr="00A42FF4">
        <w:rPr>
          <w:rFonts w:cs="Arial"/>
        </w:rPr>
        <w:t>shows the number of admitted acute</w:t>
      </w:r>
      <w:r w:rsidR="00AE448E" w:rsidRPr="00A42FF4">
        <w:rPr>
          <w:rFonts w:cs="Arial"/>
        </w:rPr>
        <w:t xml:space="preserve"> </w:t>
      </w:r>
      <w:r w:rsidR="006D3B16" w:rsidRPr="00A42FF4">
        <w:rPr>
          <w:rFonts w:cs="Arial"/>
        </w:rPr>
        <w:t>separations reported in the</w:t>
      </w:r>
      <w:r w:rsidR="008D2770">
        <w:rPr>
          <w:rFonts w:cs="Arial"/>
        </w:rPr>
        <w:t xml:space="preserve"> </w:t>
      </w:r>
      <w:proofErr w:type="gramStart"/>
      <w:r w:rsidR="003603DE">
        <w:rPr>
          <w:rFonts w:cs="Arial"/>
        </w:rPr>
        <w:t>activity based</w:t>
      </w:r>
      <w:proofErr w:type="gramEnd"/>
      <w:r w:rsidR="003603DE">
        <w:rPr>
          <w:rFonts w:cs="Arial"/>
        </w:rPr>
        <w:t xml:space="preserve"> funding (</w:t>
      </w:r>
      <w:r w:rsidR="008D2770">
        <w:rPr>
          <w:rFonts w:cs="Arial"/>
        </w:rPr>
        <w:t>ABF</w:t>
      </w:r>
      <w:r w:rsidR="003603DE">
        <w:rPr>
          <w:rFonts w:cs="Arial"/>
        </w:rPr>
        <w:t>)</w:t>
      </w:r>
      <w:r w:rsidR="008D2770">
        <w:rPr>
          <w:rFonts w:cs="Arial"/>
        </w:rPr>
        <w:t xml:space="preserve"> data against the </w:t>
      </w:r>
      <w:r w:rsidR="006D3B16" w:rsidRPr="00A42FF4">
        <w:rPr>
          <w:rFonts w:cs="Arial"/>
        </w:rPr>
        <w:t xml:space="preserve">cost data from </w:t>
      </w:r>
      <w:r w:rsidR="00741BA0" w:rsidRPr="00A42FF4">
        <w:rPr>
          <w:rFonts w:cs="Arial"/>
        </w:rPr>
        <w:t>2020-21</w:t>
      </w:r>
      <w:r w:rsidR="006D3B16" w:rsidRPr="00A42FF4">
        <w:rPr>
          <w:rFonts w:cs="Arial"/>
        </w:rPr>
        <w:t xml:space="preserve"> to </w:t>
      </w:r>
      <w:r w:rsidR="004F6C82" w:rsidRPr="00A42FF4">
        <w:rPr>
          <w:rFonts w:cstheme="majorBidi"/>
          <w:lang w:val="en-PH"/>
        </w:rPr>
        <w:t>2022-23</w:t>
      </w:r>
      <w:r w:rsidR="006D3B16" w:rsidRPr="00A42FF4">
        <w:rPr>
          <w:rFonts w:cs="Arial"/>
        </w:rPr>
        <w:t xml:space="preserve">. </w:t>
      </w:r>
      <w:r w:rsidR="005038F1" w:rsidRPr="00A42FF4">
        <w:rPr>
          <w:rFonts w:cs="Arial"/>
        </w:rPr>
        <w:t xml:space="preserve">In </w:t>
      </w:r>
      <w:r w:rsidR="004F6C82" w:rsidRPr="00A42FF4">
        <w:rPr>
          <w:rFonts w:cstheme="majorBidi"/>
          <w:lang w:val="en-PH"/>
        </w:rPr>
        <w:t>2022-23</w:t>
      </w:r>
      <w:r w:rsidR="005038F1" w:rsidRPr="00A42FF4">
        <w:rPr>
          <w:rFonts w:cs="Arial"/>
        </w:rPr>
        <w:t xml:space="preserve">, there were </w:t>
      </w:r>
      <w:r w:rsidR="008912E0" w:rsidRPr="00A42FF4">
        <w:rPr>
          <w:rFonts w:cs="Arial"/>
        </w:rPr>
        <w:t>6.5</w:t>
      </w:r>
      <w:r w:rsidR="000F7C4C" w:rsidRPr="00A42FF4">
        <w:rPr>
          <w:rFonts w:cs="Arial"/>
        </w:rPr>
        <w:t xml:space="preserve"> million</w:t>
      </w:r>
      <w:r w:rsidR="005038F1" w:rsidRPr="00A42FF4">
        <w:rPr>
          <w:rFonts w:cs="Arial"/>
        </w:rPr>
        <w:t xml:space="preserve"> admitted acute separations nationally</w:t>
      </w:r>
      <w:r w:rsidR="00C37D7B" w:rsidRPr="00A42FF4">
        <w:rPr>
          <w:rFonts w:cs="Arial"/>
        </w:rPr>
        <w:t xml:space="preserve">, a </w:t>
      </w:r>
      <w:r w:rsidR="00E53AA5">
        <w:rPr>
          <w:rFonts w:cs="Arial"/>
        </w:rPr>
        <w:t>5</w:t>
      </w:r>
      <w:r w:rsidR="00897090" w:rsidRPr="00A42FF4">
        <w:rPr>
          <w:rFonts w:cs="Arial"/>
        </w:rPr>
        <w:t>%</w:t>
      </w:r>
      <w:r w:rsidR="00C37D7B" w:rsidRPr="00A42FF4">
        <w:rPr>
          <w:rFonts w:cs="Arial"/>
        </w:rPr>
        <w:t xml:space="preserve"> </w:t>
      </w:r>
      <w:r w:rsidR="008912E0" w:rsidRPr="00A42FF4">
        <w:rPr>
          <w:rFonts w:cs="Arial"/>
        </w:rPr>
        <w:t>in</w:t>
      </w:r>
      <w:r w:rsidR="00BD67E2" w:rsidRPr="00A42FF4">
        <w:rPr>
          <w:rFonts w:cs="Arial"/>
        </w:rPr>
        <w:t xml:space="preserve">crease to the </w:t>
      </w:r>
      <w:r w:rsidR="00A85636" w:rsidRPr="00A42FF4">
        <w:rPr>
          <w:rFonts w:cs="Arial"/>
        </w:rPr>
        <w:t>2021-22</w:t>
      </w:r>
      <w:r w:rsidR="00BD67E2" w:rsidRPr="00A42FF4">
        <w:rPr>
          <w:rFonts w:cs="Arial"/>
        </w:rPr>
        <w:t xml:space="preserve"> figure of 6.</w:t>
      </w:r>
      <w:r w:rsidR="00EA1CA0" w:rsidRPr="00A42FF4">
        <w:rPr>
          <w:rFonts w:cs="Arial"/>
        </w:rPr>
        <w:t xml:space="preserve">2 </w:t>
      </w:r>
      <w:r w:rsidR="00BD67E2" w:rsidRPr="00A42FF4">
        <w:rPr>
          <w:rFonts w:cs="Arial"/>
        </w:rPr>
        <w:t>million</w:t>
      </w:r>
      <w:r w:rsidR="005038F1" w:rsidRPr="00A42FF4">
        <w:rPr>
          <w:rFonts w:cs="Arial"/>
        </w:rPr>
        <w:t>.</w:t>
      </w:r>
      <w:r w:rsidR="008912E0" w:rsidRPr="00A42FF4">
        <w:rPr>
          <w:rFonts w:cs="Arial"/>
        </w:rPr>
        <w:t xml:space="preserve"> </w:t>
      </w:r>
      <w:r w:rsidR="00A32EB6">
        <w:rPr>
          <w:rFonts w:cs="Arial"/>
        </w:rPr>
        <w:t>Nationally</w:t>
      </w:r>
      <w:r w:rsidR="008912E0" w:rsidRPr="00A42FF4">
        <w:rPr>
          <w:rFonts w:cs="Arial"/>
        </w:rPr>
        <w:t xml:space="preserve"> activity increased by 291,845 </w:t>
      </w:r>
      <w:r w:rsidR="00E6386A">
        <w:rPr>
          <w:rFonts w:cs="Arial"/>
        </w:rPr>
        <w:t xml:space="preserve">separations </w:t>
      </w:r>
      <w:r w:rsidR="008912E0" w:rsidRPr="00A42FF4">
        <w:rPr>
          <w:rFonts w:cs="Arial"/>
        </w:rPr>
        <w:t xml:space="preserve">(or 4%) from 2021-22 to </w:t>
      </w:r>
      <w:r w:rsidR="008912E0" w:rsidRPr="00A42FF4">
        <w:rPr>
          <w:rFonts w:cstheme="majorBidi"/>
          <w:lang w:val="en-PH"/>
        </w:rPr>
        <w:t>2022-23.</w:t>
      </w:r>
      <w:r w:rsidR="008912E0" w:rsidRPr="00A42FF4">
        <w:rPr>
          <w:rFonts w:cs="Arial"/>
        </w:rPr>
        <w:t xml:space="preserve"> </w:t>
      </w:r>
      <w:r w:rsidR="00D43AC7" w:rsidRPr="00A42FF4">
        <w:rPr>
          <w:rFonts w:cs="Arial"/>
        </w:rPr>
        <w:t xml:space="preserve">The national </w:t>
      </w:r>
      <w:r w:rsidR="008912E0" w:rsidRPr="00A42FF4">
        <w:rPr>
          <w:rFonts w:cs="Arial"/>
        </w:rPr>
        <w:t>in</w:t>
      </w:r>
      <w:r w:rsidR="00D43AC7" w:rsidRPr="00A42FF4">
        <w:rPr>
          <w:rFonts w:cs="Arial"/>
        </w:rPr>
        <w:t>crease in admitted acute separations was driven by New South Wales</w:t>
      </w:r>
      <w:r w:rsidR="008D2770">
        <w:rPr>
          <w:rFonts w:cs="Arial"/>
        </w:rPr>
        <w:t xml:space="preserve"> (NSW)</w:t>
      </w:r>
      <w:r w:rsidR="00A25458">
        <w:rPr>
          <w:rFonts w:cs="Arial"/>
        </w:rPr>
        <w:t xml:space="preserve"> with an increase of </w:t>
      </w:r>
      <w:r w:rsidR="008912E0" w:rsidRPr="00A42FF4">
        <w:rPr>
          <w:rFonts w:cs="Arial"/>
        </w:rPr>
        <w:t xml:space="preserve">175,696 </w:t>
      </w:r>
      <w:r w:rsidR="00B83CBB" w:rsidRPr="00A42FF4">
        <w:rPr>
          <w:rFonts w:cs="Arial"/>
        </w:rPr>
        <w:t xml:space="preserve">records </w:t>
      </w:r>
      <w:r w:rsidR="007B09AA" w:rsidRPr="00A42FF4">
        <w:rPr>
          <w:rFonts w:cs="Arial"/>
        </w:rPr>
        <w:t>(</w:t>
      </w:r>
      <w:r w:rsidR="00B83CBB" w:rsidRPr="00A42FF4">
        <w:rPr>
          <w:rFonts w:cs="Arial"/>
        </w:rPr>
        <w:t xml:space="preserve">or </w:t>
      </w:r>
      <w:r w:rsidR="008912E0" w:rsidRPr="00A42FF4">
        <w:rPr>
          <w:rFonts w:cs="Arial"/>
        </w:rPr>
        <w:t>1</w:t>
      </w:r>
      <w:r w:rsidR="00BA0138">
        <w:rPr>
          <w:rFonts w:cs="Arial"/>
        </w:rPr>
        <w:t>2</w:t>
      </w:r>
      <w:r w:rsidR="00897090" w:rsidRPr="00A42FF4">
        <w:rPr>
          <w:rFonts w:cs="Arial"/>
        </w:rPr>
        <w:t>%</w:t>
      </w:r>
      <w:r w:rsidR="007B09AA" w:rsidRPr="00A42FF4">
        <w:rPr>
          <w:rFonts w:cs="Arial"/>
        </w:rPr>
        <w:t>)</w:t>
      </w:r>
      <w:r w:rsidR="00B83CBB" w:rsidRPr="00A42FF4">
        <w:rPr>
          <w:rFonts w:cs="Arial"/>
        </w:rPr>
        <w:t>, from</w:t>
      </w:r>
      <w:r w:rsidR="00012BF3">
        <w:rPr>
          <w:rFonts w:cs="Arial"/>
        </w:rPr>
        <w:t xml:space="preserve"> </w:t>
      </w:r>
      <w:r w:rsidR="00A85636" w:rsidRPr="00A42FF4">
        <w:rPr>
          <w:rFonts w:cs="Arial"/>
        </w:rPr>
        <w:t>2021</w:t>
      </w:r>
      <w:r w:rsidR="00012BF3">
        <w:rPr>
          <w:rFonts w:cs="Arial"/>
        </w:rPr>
        <w:noBreakHyphen/>
      </w:r>
      <w:r w:rsidR="00A85636" w:rsidRPr="00A42FF4">
        <w:rPr>
          <w:rFonts w:cs="Arial"/>
        </w:rPr>
        <w:t>22</w:t>
      </w:r>
      <w:r w:rsidR="00B83CBB" w:rsidRPr="00A42FF4">
        <w:rPr>
          <w:rFonts w:cs="Arial"/>
        </w:rPr>
        <w:t xml:space="preserve"> to </w:t>
      </w:r>
      <w:r w:rsidR="004F6C82" w:rsidRPr="00A42FF4">
        <w:rPr>
          <w:rFonts w:cstheme="majorBidi"/>
          <w:lang w:val="en-PH"/>
        </w:rPr>
        <w:t>2022-23</w:t>
      </w:r>
      <w:r w:rsidR="00B83CBB" w:rsidRPr="00A42FF4">
        <w:rPr>
          <w:rFonts w:cs="Arial"/>
        </w:rPr>
        <w:t>.</w:t>
      </w:r>
      <w:r w:rsidR="005F19C0" w:rsidRPr="00A42FF4">
        <w:rPr>
          <w:rFonts w:cs="Arial"/>
        </w:rPr>
        <w:t xml:space="preserve"> </w:t>
      </w:r>
      <w:r w:rsidR="00D43AC7" w:rsidRPr="00A42FF4">
        <w:rPr>
          <w:rFonts w:cs="Arial"/>
        </w:rPr>
        <w:t xml:space="preserve">In </w:t>
      </w:r>
      <w:r w:rsidR="004F6C82" w:rsidRPr="00A42FF4">
        <w:rPr>
          <w:rFonts w:cstheme="majorBidi"/>
          <w:lang w:val="en-PH"/>
        </w:rPr>
        <w:t>2022-23</w:t>
      </w:r>
      <w:r w:rsidR="00D43AC7" w:rsidRPr="00A42FF4">
        <w:rPr>
          <w:rFonts w:cs="Arial"/>
        </w:rPr>
        <w:t>, t</w:t>
      </w:r>
      <w:r w:rsidR="005038F1" w:rsidRPr="00A42FF4">
        <w:rPr>
          <w:rFonts w:cs="Arial"/>
        </w:rPr>
        <w:t>he number of separations at the jurisdictional level range</w:t>
      </w:r>
      <w:r w:rsidR="007B09AA" w:rsidRPr="00A42FF4">
        <w:rPr>
          <w:rFonts w:cs="Arial"/>
        </w:rPr>
        <w:t>d</w:t>
      </w:r>
      <w:r w:rsidR="005038F1" w:rsidRPr="00A42FF4">
        <w:rPr>
          <w:rFonts w:cs="Arial"/>
        </w:rPr>
        <w:t xml:space="preserve"> from </w:t>
      </w:r>
      <w:r w:rsidR="00EA1CA0" w:rsidRPr="00A42FF4">
        <w:rPr>
          <w:rFonts w:cs="Arial"/>
        </w:rPr>
        <w:t>157,799</w:t>
      </w:r>
      <w:r w:rsidR="005038F1" w:rsidRPr="00A42FF4">
        <w:rPr>
          <w:rFonts w:cs="Arial"/>
        </w:rPr>
        <w:t xml:space="preserve"> (</w:t>
      </w:r>
      <w:r w:rsidR="00EA1CA0" w:rsidRPr="00A42FF4">
        <w:rPr>
          <w:rFonts w:cs="Arial"/>
        </w:rPr>
        <w:t>Tasmania</w:t>
      </w:r>
      <w:r w:rsidR="005038F1" w:rsidRPr="00A42FF4">
        <w:rPr>
          <w:rFonts w:cs="Arial"/>
        </w:rPr>
        <w:t xml:space="preserve">) to </w:t>
      </w:r>
      <w:r w:rsidR="00733E54" w:rsidRPr="00A42FF4">
        <w:rPr>
          <w:rFonts w:cs="Arial"/>
        </w:rPr>
        <w:t>1</w:t>
      </w:r>
      <w:r w:rsidR="00301519" w:rsidRPr="00A42FF4">
        <w:rPr>
          <w:rFonts w:cs="Arial"/>
        </w:rPr>
        <w:t>.</w:t>
      </w:r>
      <w:r w:rsidR="00EA1CA0" w:rsidRPr="00A42FF4">
        <w:rPr>
          <w:rFonts w:cs="Arial"/>
        </w:rPr>
        <w:t>8</w:t>
      </w:r>
      <w:r w:rsidR="00301519" w:rsidRPr="00A42FF4">
        <w:rPr>
          <w:rFonts w:cs="Arial"/>
        </w:rPr>
        <w:t xml:space="preserve"> million</w:t>
      </w:r>
      <w:r w:rsidR="005038F1" w:rsidRPr="00A42FF4">
        <w:rPr>
          <w:rFonts w:cs="Arial"/>
        </w:rPr>
        <w:t xml:space="preserve"> (Victoria).</w:t>
      </w:r>
    </w:p>
    <w:p w14:paraId="3FBC960D" w14:textId="25A7685F" w:rsidR="00BF23FA" w:rsidRDefault="006272A2" w:rsidP="001769F5">
      <w:pPr>
        <w:pStyle w:val="TableFigureheading"/>
        <w:spacing w:before="240" w:after="240"/>
        <w:rPr>
          <w:color w:val="FF0000"/>
        </w:rPr>
      </w:pPr>
      <w:bookmarkStart w:id="83" w:name="_Ref185835938"/>
      <w:bookmarkStart w:id="84" w:name="_Toc151116338"/>
      <w:bookmarkStart w:id="85" w:name="_Toc187312099"/>
      <w:bookmarkEnd w:id="82"/>
      <w:r w:rsidRPr="0093558C">
        <w:rPr>
          <w:rFonts w:cstheme="majorBidi"/>
          <w:szCs w:val="22"/>
          <w:lang w:val="en-PH"/>
        </w:rPr>
        <w:t xml:space="preserve">Figure </w:t>
      </w:r>
      <w:r w:rsidRPr="0093558C">
        <w:rPr>
          <w:rFonts w:cstheme="majorBidi"/>
          <w:iCs w:val="0"/>
          <w:lang w:val="en-PH"/>
        </w:rPr>
        <w:fldChar w:fldCharType="begin"/>
      </w:r>
      <w:r w:rsidRPr="0093558C">
        <w:rPr>
          <w:rFonts w:cstheme="majorBidi"/>
          <w:szCs w:val="22"/>
          <w:lang w:val="en-PH"/>
        </w:rPr>
        <w:instrText xml:space="preserve"> SEQ Figure \* ARABIC </w:instrText>
      </w:r>
      <w:r w:rsidRPr="0093558C">
        <w:rPr>
          <w:rFonts w:cstheme="majorBidi"/>
          <w:iCs w:val="0"/>
          <w:lang w:val="en-PH"/>
        </w:rPr>
        <w:fldChar w:fldCharType="separate"/>
      </w:r>
      <w:r w:rsidR="00E537E7">
        <w:rPr>
          <w:rFonts w:cstheme="majorBidi"/>
          <w:noProof/>
          <w:szCs w:val="22"/>
          <w:lang w:val="en-PH"/>
        </w:rPr>
        <w:t>3</w:t>
      </w:r>
      <w:r w:rsidRPr="0093558C">
        <w:rPr>
          <w:rFonts w:cstheme="majorBidi"/>
          <w:iCs w:val="0"/>
          <w:lang w:val="en-PH"/>
        </w:rPr>
        <w:fldChar w:fldCharType="end"/>
      </w:r>
      <w:bookmarkEnd w:id="83"/>
      <w:r w:rsidR="00954EF5" w:rsidRPr="0093558C">
        <w:rPr>
          <w:rFonts w:cstheme="majorBidi"/>
          <w:szCs w:val="22"/>
          <w:lang w:val="en-PH"/>
        </w:rPr>
        <w:t xml:space="preserve">: </w:t>
      </w:r>
      <w:r w:rsidR="003B3BF1">
        <w:rPr>
          <w:rFonts w:cstheme="majorBidi"/>
          <w:szCs w:val="22"/>
          <w:lang w:val="en-PH"/>
        </w:rPr>
        <w:t>Admitted acute</w:t>
      </w:r>
      <w:r w:rsidR="00954EF5" w:rsidRPr="0093558C">
        <w:rPr>
          <w:rFonts w:cstheme="majorBidi"/>
          <w:szCs w:val="22"/>
          <w:lang w:val="en-PH"/>
        </w:rPr>
        <w:t xml:space="preserve"> </w:t>
      </w:r>
      <w:r w:rsidR="004433BC">
        <w:rPr>
          <w:rFonts w:cstheme="majorBidi"/>
          <w:szCs w:val="22"/>
          <w:lang w:val="en-PH"/>
        </w:rPr>
        <w:t xml:space="preserve">separations </w:t>
      </w:r>
      <w:r w:rsidR="00DF699E">
        <w:rPr>
          <w:rFonts w:cstheme="majorBidi"/>
          <w:szCs w:val="22"/>
          <w:lang w:val="en-PH"/>
        </w:rPr>
        <w:t>ABF and NHCDC</w:t>
      </w:r>
      <w:r w:rsidR="00954EF5" w:rsidRPr="0093558C">
        <w:rPr>
          <w:rFonts w:cstheme="majorBidi"/>
          <w:szCs w:val="22"/>
          <w:lang w:val="en-PH"/>
        </w:rPr>
        <w:t xml:space="preserve">, </w:t>
      </w:r>
      <w:r w:rsidR="00741BA0" w:rsidRPr="00D73FCC">
        <w:rPr>
          <w:rFonts w:cstheme="majorBidi"/>
          <w:szCs w:val="22"/>
          <w:lang w:val="en-PH"/>
        </w:rPr>
        <w:t>2020-21</w:t>
      </w:r>
      <w:r w:rsidR="00954EF5" w:rsidRPr="0093558C">
        <w:rPr>
          <w:rFonts w:cstheme="majorBidi"/>
          <w:szCs w:val="22"/>
          <w:lang w:val="en-PH"/>
        </w:rPr>
        <w:t xml:space="preserve"> to </w:t>
      </w:r>
      <w:r w:rsidR="004F6C82" w:rsidRPr="008B2CD8">
        <w:rPr>
          <w:rFonts w:cstheme="majorBidi"/>
          <w:szCs w:val="22"/>
          <w:lang w:val="en-PH"/>
        </w:rPr>
        <w:t>202</w:t>
      </w:r>
      <w:r w:rsidR="004F6C82">
        <w:rPr>
          <w:rFonts w:cstheme="majorBidi"/>
          <w:szCs w:val="22"/>
          <w:lang w:val="en-PH"/>
        </w:rPr>
        <w:t>2</w:t>
      </w:r>
      <w:r w:rsidR="004F6C82" w:rsidRPr="008B2CD8">
        <w:rPr>
          <w:rFonts w:cstheme="majorBidi"/>
          <w:szCs w:val="22"/>
          <w:lang w:val="en-PH"/>
        </w:rPr>
        <w:t>-2</w:t>
      </w:r>
      <w:r w:rsidR="004F6C82">
        <w:rPr>
          <w:rFonts w:cstheme="majorBidi"/>
          <w:szCs w:val="22"/>
          <w:lang w:val="en-PH"/>
        </w:rPr>
        <w:t>3</w:t>
      </w:r>
      <w:bookmarkEnd w:id="84"/>
      <w:bookmarkEnd w:id="85"/>
    </w:p>
    <w:p w14:paraId="3F331CFB" w14:textId="1D16F346" w:rsidR="00021B23" w:rsidRDefault="00021B23" w:rsidP="0007638E">
      <w:pPr>
        <w:spacing w:after="0"/>
        <w:jc w:val="center"/>
        <w:rPr>
          <w:rFonts w:cs="Arial"/>
          <w:color w:val="FF0000"/>
        </w:rPr>
      </w:pPr>
      <w:r>
        <w:rPr>
          <w:noProof/>
        </w:rPr>
        <w:drawing>
          <wp:inline distT="0" distB="0" distL="0" distR="0" wp14:anchorId="7014CEDE" wp14:editId="756856D9">
            <wp:extent cx="6188400" cy="2340000"/>
            <wp:effectExtent l="0" t="0" r="0" b="0"/>
            <wp:docPr id="755590105" name="Chart 1">
              <a:extLst xmlns:a="http://schemas.openxmlformats.org/drawingml/2006/main">
                <a:ext uri="{FF2B5EF4-FFF2-40B4-BE49-F238E27FC236}">
                  <a16:creationId xmlns:a16="http://schemas.microsoft.com/office/drawing/2014/main" id="{3857A911-4994-1D11-EB39-AB775BDD3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6B323E" w14:textId="225BDDE7" w:rsidR="00BA6C2D" w:rsidRPr="00CE058E" w:rsidRDefault="00BA6C2D" w:rsidP="007B41F8">
      <w:pPr>
        <w:pStyle w:val="Heading2"/>
      </w:pPr>
      <w:bookmarkStart w:id="86" w:name="_Toc144215436"/>
      <w:bookmarkStart w:id="87" w:name="_Toc144967636"/>
      <w:bookmarkStart w:id="88" w:name="_Toc151129692"/>
      <w:bookmarkStart w:id="89" w:name="_Toc158882543"/>
      <w:bookmarkStart w:id="90" w:name="_Toc158882604"/>
      <w:r w:rsidRPr="00CE058E">
        <w:lastRenderedPageBreak/>
        <w:t xml:space="preserve">Admitted acute </w:t>
      </w:r>
      <w:bookmarkEnd w:id="86"/>
      <w:bookmarkEnd w:id="87"/>
      <w:bookmarkEnd w:id="88"/>
      <w:bookmarkEnd w:id="89"/>
      <w:bookmarkEnd w:id="90"/>
      <w:r w:rsidR="003B3BF1">
        <w:t>expenditure</w:t>
      </w:r>
    </w:p>
    <w:p w14:paraId="0B83FF5F" w14:textId="17BF89C3" w:rsidR="003E6C7A" w:rsidRPr="00A42FF4" w:rsidRDefault="00944A34" w:rsidP="0037633A">
      <w:pPr>
        <w:spacing w:line="276" w:lineRule="auto"/>
        <w:rPr>
          <w:rFonts w:cs="Arial"/>
        </w:rPr>
      </w:pPr>
      <w:bookmarkStart w:id="91" w:name="_Hlk148606192"/>
      <w:bookmarkStart w:id="92" w:name="_Hlk148605250"/>
      <w:r w:rsidRPr="00A42FF4">
        <w:rPr>
          <w:rFonts w:cs="Arial"/>
        </w:rPr>
        <w:t xml:space="preserve">In </w:t>
      </w:r>
      <w:r w:rsidR="00A54617" w:rsidRPr="00A42FF4">
        <w:rPr>
          <w:rFonts w:cstheme="majorBidi"/>
          <w:lang w:val="en-PH"/>
        </w:rPr>
        <w:t>2022-23</w:t>
      </w:r>
      <w:r w:rsidRPr="00A42FF4">
        <w:rPr>
          <w:rFonts w:cs="Arial"/>
        </w:rPr>
        <w:t xml:space="preserve">, </w:t>
      </w:r>
      <w:r w:rsidR="00AF2519" w:rsidRPr="00A42FF4">
        <w:rPr>
          <w:rFonts w:cs="Arial"/>
        </w:rPr>
        <w:t xml:space="preserve">the </w:t>
      </w:r>
      <w:r w:rsidRPr="00A42FF4">
        <w:rPr>
          <w:rFonts w:cs="Arial"/>
        </w:rPr>
        <w:t xml:space="preserve">admitted acute </w:t>
      </w:r>
      <w:r w:rsidR="00E208FD">
        <w:rPr>
          <w:rFonts w:cs="Arial"/>
        </w:rPr>
        <w:t>expenditure</w:t>
      </w:r>
      <w:r w:rsidR="00E208FD" w:rsidRPr="00A42FF4">
        <w:rPr>
          <w:rFonts w:cs="Arial"/>
        </w:rPr>
        <w:t xml:space="preserve"> </w:t>
      </w:r>
      <w:r w:rsidR="00AF2519" w:rsidRPr="00A42FF4">
        <w:rPr>
          <w:rFonts w:cs="Arial"/>
        </w:rPr>
        <w:t>reported in the NHCDC was approximately $</w:t>
      </w:r>
      <w:r w:rsidR="001337DD" w:rsidRPr="00A42FF4">
        <w:rPr>
          <w:rFonts w:cs="Arial"/>
        </w:rPr>
        <w:t>40.6</w:t>
      </w:r>
      <w:r w:rsidR="00AF2519" w:rsidRPr="00A42FF4">
        <w:rPr>
          <w:rFonts w:cs="Arial"/>
        </w:rPr>
        <w:t xml:space="preserve"> billion nationally</w:t>
      </w:r>
      <w:r w:rsidR="00301527" w:rsidRPr="00A42FF4">
        <w:rPr>
          <w:rFonts w:cs="Arial"/>
        </w:rPr>
        <w:t xml:space="preserve">. </w:t>
      </w:r>
      <w:r w:rsidR="00183C52" w:rsidRPr="00183C52">
        <w:rPr>
          <w:rFonts w:cs="Arial"/>
        </w:rPr>
        <w:fldChar w:fldCharType="begin"/>
      </w:r>
      <w:r w:rsidR="00183C52" w:rsidRPr="00183C52">
        <w:rPr>
          <w:rFonts w:cs="Arial"/>
        </w:rPr>
        <w:instrText xml:space="preserve"> REF _Ref185835953 \h </w:instrText>
      </w:r>
      <w:r w:rsidR="00183C52" w:rsidRPr="00183C52">
        <w:rPr>
          <w:rFonts w:cs="Arial"/>
        </w:rPr>
      </w:r>
      <w:r w:rsidR="00183C52" w:rsidRPr="00183C52">
        <w:rPr>
          <w:rFonts w:cs="Arial"/>
        </w:rPr>
        <w:fldChar w:fldCharType="separate"/>
      </w:r>
      <w:r w:rsidR="00183C52" w:rsidRPr="00296833">
        <w:rPr>
          <w:rFonts w:cstheme="majorBidi"/>
          <w:lang w:val="en-PH"/>
        </w:rPr>
        <w:t xml:space="preserve">Figure </w:t>
      </w:r>
      <w:r w:rsidR="00183C52" w:rsidRPr="00296833">
        <w:rPr>
          <w:rFonts w:cstheme="majorBidi"/>
          <w:noProof/>
          <w:lang w:val="en-PH"/>
        </w:rPr>
        <w:t>4</w:t>
      </w:r>
      <w:r w:rsidR="00183C52" w:rsidRPr="00183C52">
        <w:rPr>
          <w:rFonts w:cs="Arial"/>
        </w:rPr>
        <w:fldChar w:fldCharType="end"/>
      </w:r>
      <w:r w:rsidR="00301527" w:rsidRPr="00183C52">
        <w:rPr>
          <w:rFonts w:cs="Arial"/>
        </w:rPr>
        <w:t xml:space="preserve"> shows</w:t>
      </w:r>
      <w:r w:rsidR="009F0802" w:rsidRPr="00183C52">
        <w:rPr>
          <w:rFonts w:cs="Arial"/>
        </w:rPr>
        <w:t xml:space="preserve"> </w:t>
      </w:r>
      <w:r w:rsidR="009F0802" w:rsidRPr="00A42FF4">
        <w:rPr>
          <w:rFonts w:cs="Arial"/>
        </w:rPr>
        <w:t>the</w:t>
      </w:r>
      <w:r w:rsidR="00301527" w:rsidRPr="00A42FF4">
        <w:rPr>
          <w:rFonts w:cs="Arial"/>
        </w:rPr>
        <w:t xml:space="preserve"> cost of admitted acute</w:t>
      </w:r>
      <w:r w:rsidR="0079556B">
        <w:rPr>
          <w:rFonts w:cs="Arial"/>
        </w:rPr>
        <w:t xml:space="preserve"> separations</w:t>
      </w:r>
      <w:r w:rsidR="00301527" w:rsidRPr="00A42FF4">
        <w:rPr>
          <w:rFonts w:cs="Arial"/>
        </w:rPr>
        <w:t xml:space="preserve"> by jurisdiction from </w:t>
      </w:r>
      <w:r w:rsidR="00741BA0" w:rsidRPr="00A42FF4">
        <w:rPr>
          <w:rFonts w:cs="Arial"/>
        </w:rPr>
        <w:t>2020-21</w:t>
      </w:r>
      <w:r w:rsidR="00301527" w:rsidRPr="00A42FF4">
        <w:rPr>
          <w:rFonts w:cs="Arial"/>
        </w:rPr>
        <w:t xml:space="preserve"> to </w:t>
      </w:r>
      <w:r w:rsidR="00A54617" w:rsidRPr="00A42FF4">
        <w:rPr>
          <w:rFonts w:cstheme="majorBidi"/>
          <w:lang w:val="en-PH"/>
        </w:rPr>
        <w:t>2022-23</w:t>
      </w:r>
      <w:r w:rsidR="00301527" w:rsidRPr="00A42FF4">
        <w:rPr>
          <w:rFonts w:cs="Arial"/>
        </w:rPr>
        <w:t xml:space="preserve">. </w:t>
      </w:r>
      <w:r w:rsidR="0031385C">
        <w:rPr>
          <w:rFonts w:cs="Arial"/>
        </w:rPr>
        <w:t>In</w:t>
      </w:r>
      <w:r w:rsidR="0037633A" w:rsidRPr="00A42FF4">
        <w:rPr>
          <w:rFonts w:cs="Arial"/>
        </w:rPr>
        <w:t xml:space="preserve"> </w:t>
      </w:r>
      <w:r w:rsidR="00A54617" w:rsidRPr="00A42FF4">
        <w:rPr>
          <w:rFonts w:cstheme="majorBidi"/>
          <w:lang w:val="en-PH"/>
        </w:rPr>
        <w:t>2022-23</w:t>
      </w:r>
      <w:r w:rsidR="0037633A" w:rsidRPr="00A42FF4">
        <w:rPr>
          <w:rFonts w:cs="Arial"/>
        </w:rPr>
        <w:t>, the cost of admitted acute</w:t>
      </w:r>
      <w:r w:rsidR="0079556B">
        <w:rPr>
          <w:rFonts w:cs="Arial"/>
        </w:rPr>
        <w:t xml:space="preserve"> separations</w:t>
      </w:r>
      <w:r w:rsidR="0037633A" w:rsidRPr="00A42FF4">
        <w:rPr>
          <w:rFonts w:cs="Arial"/>
        </w:rPr>
        <w:t xml:space="preserve"> </w:t>
      </w:r>
      <w:r w:rsidR="001337DD" w:rsidRPr="00A42FF4">
        <w:rPr>
          <w:rFonts w:cs="Arial"/>
        </w:rPr>
        <w:t>in</w:t>
      </w:r>
      <w:r w:rsidR="00EA1CA0" w:rsidRPr="00A42FF4">
        <w:rPr>
          <w:rFonts w:cs="Arial"/>
        </w:rPr>
        <w:t xml:space="preserve">creased </w:t>
      </w:r>
      <w:r w:rsidR="00301527" w:rsidRPr="00A42FF4">
        <w:rPr>
          <w:rFonts w:cs="Arial"/>
        </w:rPr>
        <w:t>$</w:t>
      </w:r>
      <w:r w:rsidR="001337DD" w:rsidRPr="00A42FF4">
        <w:rPr>
          <w:rFonts w:cs="Arial"/>
        </w:rPr>
        <w:t xml:space="preserve">4.4 </w:t>
      </w:r>
      <w:r w:rsidR="00301527" w:rsidRPr="00A42FF4">
        <w:rPr>
          <w:rFonts w:cs="Arial"/>
        </w:rPr>
        <w:t xml:space="preserve">billion </w:t>
      </w:r>
      <w:r w:rsidR="00845FB8" w:rsidRPr="00A42FF4">
        <w:rPr>
          <w:rFonts w:cs="Arial"/>
        </w:rPr>
        <w:t>nationally</w:t>
      </w:r>
      <w:r w:rsidR="0031385C">
        <w:rPr>
          <w:rFonts w:cs="Arial"/>
        </w:rPr>
        <w:t xml:space="preserve"> (or </w:t>
      </w:r>
      <w:r w:rsidR="003B3BF1" w:rsidRPr="00A42FF4">
        <w:rPr>
          <w:rFonts w:cs="Arial"/>
        </w:rPr>
        <w:t>1</w:t>
      </w:r>
      <w:r w:rsidR="003B3BF1">
        <w:rPr>
          <w:rFonts w:cs="Arial"/>
        </w:rPr>
        <w:t>2</w:t>
      </w:r>
      <w:r w:rsidR="003B3BF1" w:rsidRPr="00A42FF4">
        <w:rPr>
          <w:rFonts w:cs="Arial"/>
        </w:rPr>
        <w:t>%</w:t>
      </w:r>
      <w:r w:rsidR="0031385C">
        <w:rPr>
          <w:rFonts w:cs="Arial"/>
        </w:rPr>
        <w:t>)</w:t>
      </w:r>
      <w:r w:rsidR="00EA1CA0" w:rsidRPr="00A42FF4">
        <w:rPr>
          <w:rFonts w:cs="Arial"/>
        </w:rPr>
        <w:t xml:space="preserve"> </w:t>
      </w:r>
      <w:r w:rsidR="00BE0386">
        <w:rPr>
          <w:rFonts w:cs="Arial"/>
        </w:rPr>
        <w:t>from</w:t>
      </w:r>
      <w:r w:rsidR="00BE0386" w:rsidRPr="00A42FF4">
        <w:rPr>
          <w:rFonts w:cs="Arial"/>
        </w:rPr>
        <w:t xml:space="preserve"> </w:t>
      </w:r>
      <w:r w:rsidR="00845FB8" w:rsidRPr="00A42FF4">
        <w:rPr>
          <w:rFonts w:cs="Arial"/>
        </w:rPr>
        <w:t xml:space="preserve">the </w:t>
      </w:r>
      <w:r w:rsidR="00A85636" w:rsidRPr="00A42FF4">
        <w:rPr>
          <w:rFonts w:cs="Arial"/>
        </w:rPr>
        <w:t>2021-22</w:t>
      </w:r>
      <w:r w:rsidR="00845FB8" w:rsidRPr="00A42FF4">
        <w:rPr>
          <w:rFonts w:cs="Arial"/>
        </w:rPr>
        <w:t xml:space="preserve"> </w:t>
      </w:r>
      <w:r w:rsidR="0031385C">
        <w:rPr>
          <w:rFonts w:cs="Arial"/>
        </w:rPr>
        <w:t>amount</w:t>
      </w:r>
      <w:r w:rsidR="0031385C" w:rsidRPr="00A42FF4">
        <w:rPr>
          <w:rFonts w:cs="Arial"/>
        </w:rPr>
        <w:t xml:space="preserve"> </w:t>
      </w:r>
      <w:r w:rsidR="00845FB8" w:rsidRPr="00A42FF4">
        <w:rPr>
          <w:rFonts w:cs="Arial"/>
        </w:rPr>
        <w:t>of $</w:t>
      </w:r>
      <w:r w:rsidR="00EA1CA0" w:rsidRPr="00A42FF4">
        <w:rPr>
          <w:rFonts w:cs="Arial"/>
        </w:rPr>
        <w:t>36.2</w:t>
      </w:r>
      <w:r w:rsidR="00845FB8" w:rsidRPr="00A42FF4">
        <w:rPr>
          <w:rFonts w:cs="Arial"/>
        </w:rPr>
        <w:t xml:space="preserve"> billion</w:t>
      </w:r>
      <w:r w:rsidR="001337DD" w:rsidRPr="00A42FF4">
        <w:rPr>
          <w:rFonts w:cs="Arial"/>
        </w:rPr>
        <w:t xml:space="preserve">. </w:t>
      </w:r>
      <w:r w:rsidR="003B3BF1" w:rsidRPr="00A42FF4">
        <w:rPr>
          <w:rFonts w:cs="Arial"/>
        </w:rPr>
        <w:t xml:space="preserve">The increase was driven by </w:t>
      </w:r>
      <w:r w:rsidR="003B3BF1">
        <w:rPr>
          <w:rFonts w:cs="Arial"/>
        </w:rPr>
        <w:t>NSW</w:t>
      </w:r>
      <w:r w:rsidR="003B3BF1" w:rsidRPr="00A42FF4">
        <w:rPr>
          <w:rFonts w:cs="Arial"/>
        </w:rPr>
        <w:t xml:space="preserve"> and Victoria, </w:t>
      </w:r>
      <w:r w:rsidR="00EF51E5">
        <w:rPr>
          <w:rFonts w:cs="Arial"/>
        </w:rPr>
        <w:t>with an increase of</w:t>
      </w:r>
      <w:r w:rsidR="003B3BF1" w:rsidRPr="00A42FF4">
        <w:rPr>
          <w:rFonts w:cs="Arial"/>
        </w:rPr>
        <w:t xml:space="preserve"> $1.5</w:t>
      </w:r>
      <w:r w:rsidR="003B3BF1">
        <w:rPr>
          <w:rFonts w:cs="Arial"/>
        </w:rPr>
        <w:t> </w:t>
      </w:r>
      <w:r w:rsidR="003B3BF1" w:rsidRPr="00A42FF4">
        <w:rPr>
          <w:rFonts w:cs="Arial"/>
        </w:rPr>
        <w:t xml:space="preserve">billion </w:t>
      </w:r>
      <w:r w:rsidR="00741F0F">
        <w:rPr>
          <w:rFonts w:cs="Arial"/>
        </w:rPr>
        <w:t xml:space="preserve">(or 15%) </w:t>
      </w:r>
      <w:r w:rsidR="003B3BF1" w:rsidRPr="00A42FF4">
        <w:rPr>
          <w:rFonts w:cs="Arial"/>
        </w:rPr>
        <w:t xml:space="preserve">and $1.4 billion </w:t>
      </w:r>
      <w:r w:rsidR="00741F0F">
        <w:rPr>
          <w:rFonts w:cs="Arial"/>
        </w:rPr>
        <w:t>(or 15%)</w:t>
      </w:r>
      <w:r w:rsidR="00EF51E5">
        <w:rPr>
          <w:rFonts w:cs="Arial"/>
        </w:rPr>
        <w:t>,</w:t>
      </w:r>
      <w:r w:rsidR="00741F0F">
        <w:rPr>
          <w:rFonts w:cs="Arial"/>
        </w:rPr>
        <w:t xml:space="preserve"> </w:t>
      </w:r>
      <w:r w:rsidR="003B3BF1" w:rsidRPr="00A42FF4">
        <w:rPr>
          <w:rFonts w:cs="Arial"/>
        </w:rPr>
        <w:t>respectively</w:t>
      </w:r>
      <w:r w:rsidR="00741F0F">
        <w:rPr>
          <w:rFonts w:cs="Arial"/>
        </w:rPr>
        <w:t xml:space="preserve">. Due to </w:t>
      </w:r>
      <w:r w:rsidR="00303546">
        <w:rPr>
          <w:rFonts w:cs="Arial"/>
        </w:rPr>
        <w:t>the Australian Capital Territory (</w:t>
      </w:r>
      <w:r w:rsidR="00741F0F">
        <w:rPr>
          <w:rFonts w:cs="Arial"/>
        </w:rPr>
        <w:t>ACT</w:t>
      </w:r>
      <w:r w:rsidR="00303546">
        <w:rPr>
          <w:rFonts w:cs="Arial"/>
        </w:rPr>
        <w:t>)</w:t>
      </w:r>
      <w:r w:rsidR="00741F0F">
        <w:rPr>
          <w:rFonts w:cs="Arial"/>
        </w:rPr>
        <w:t xml:space="preserve"> submitting $801.8 million in 2021-22, and no cost data in 2022-23, the national increase was not as significant</w:t>
      </w:r>
      <w:r w:rsidR="001337DD" w:rsidRPr="00A42FF4">
        <w:rPr>
          <w:rFonts w:cs="Arial"/>
        </w:rPr>
        <w:t>.</w:t>
      </w:r>
      <w:r w:rsidR="00301527" w:rsidRPr="00A42FF4">
        <w:rPr>
          <w:rFonts w:cs="Arial"/>
        </w:rPr>
        <w:t xml:space="preserve"> </w:t>
      </w:r>
      <w:r w:rsidR="009F0802" w:rsidRPr="00A42FF4">
        <w:rPr>
          <w:rFonts w:cs="Arial"/>
        </w:rPr>
        <w:t xml:space="preserve">In </w:t>
      </w:r>
      <w:r w:rsidR="00A54617" w:rsidRPr="00A42FF4">
        <w:rPr>
          <w:rFonts w:cstheme="majorBidi"/>
          <w:lang w:val="en-PH"/>
        </w:rPr>
        <w:t>2022-23</w:t>
      </w:r>
      <w:r w:rsidR="009F0802" w:rsidRPr="00A42FF4">
        <w:rPr>
          <w:rFonts w:cs="Arial"/>
        </w:rPr>
        <w:t>, t</w:t>
      </w:r>
      <w:r w:rsidR="00301527" w:rsidRPr="00A42FF4">
        <w:rPr>
          <w:rFonts w:cs="Arial"/>
        </w:rPr>
        <w:t>he</w:t>
      </w:r>
      <w:r w:rsidR="00CA3A4C" w:rsidRPr="00A42FF4">
        <w:rPr>
          <w:rFonts w:cs="Arial"/>
        </w:rPr>
        <w:t xml:space="preserve"> cost at the jurisdictional level range</w:t>
      </w:r>
      <w:r w:rsidR="009F0802" w:rsidRPr="00A42FF4">
        <w:rPr>
          <w:rFonts w:cs="Arial"/>
        </w:rPr>
        <w:t>d</w:t>
      </w:r>
      <w:r w:rsidR="00CA3A4C" w:rsidRPr="00A42FF4">
        <w:rPr>
          <w:rFonts w:cs="Arial"/>
        </w:rPr>
        <w:t xml:space="preserve"> from $</w:t>
      </w:r>
      <w:r w:rsidR="00047AD7" w:rsidRPr="00A42FF4">
        <w:rPr>
          <w:rFonts w:cs="Arial"/>
        </w:rPr>
        <w:t>807.6</w:t>
      </w:r>
      <w:r w:rsidR="00845FB8" w:rsidRPr="00A42FF4">
        <w:rPr>
          <w:rFonts w:cs="Arial"/>
        </w:rPr>
        <w:t xml:space="preserve"> million </w:t>
      </w:r>
      <w:r w:rsidR="00CA3A4C" w:rsidRPr="00A42FF4">
        <w:rPr>
          <w:rFonts w:cs="Arial"/>
        </w:rPr>
        <w:t>(</w:t>
      </w:r>
      <w:r w:rsidR="00E6386A">
        <w:rPr>
          <w:rFonts w:cs="Arial"/>
        </w:rPr>
        <w:t>Northern Territory</w:t>
      </w:r>
      <w:r w:rsidR="000501B8">
        <w:rPr>
          <w:rFonts w:cs="Arial"/>
        </w:rPr>
        <w:t xml:space="preserve"> (NT)</w:t>
      </w:r>
      <w:r w:rsidR="00CA3A4C" w:rsidRPr="00A42FF4">
        <w:rPr>
          <w:rFonts w:cs="Arial"/>
        </w:rPr>
        <w:t>) to $</w:t>
      </w:r>
      <w:r w:rsidR="00047AD7" w:rsidRPr="00A42FF4">
        <w:rPr>
          <w:rFonts w:cs="Arial"/>
        </w:rPr>
        <w:t>1</w:t>
      </w:r>
      <w:r w:rsidR="001337DD" w:rsidRPr="00A42FF4">
        <w:rPr>
          <w:rFonts w:cs="Arial"/>
        </w:rPr>
        <w:t>1.3</w:t>
      </w:r>
      <w:r w:rsidR="00CA3A4C" w:rsidRPr="00A42FF4">
        <w:rPr>
          <w:rFonts w:cs="Arial"/>
        </w:rPr>
        <w:t xml:space="preserve"> billion (</w:t>
      </w:r>
      <w:r w:rsidR="001337DD" w:rsidRPr="00A42FF4">
        <w:rPr>
          <w:rFonts w:cs="Arial"/>
        </w:rPr>
        <w:t>NSW</w:t>
      </w:r>
      <w:r w:rsidR="00CA3A4C" w:rsidRPr="00A42FF4">
        <w:rPr>
          <w:rFonts w:cs="Arial"/>
        </w:rPr>
        <w:t>)</w:t>
      </w:r>
      <w:r w:rsidR="00C37D7B" w:rsidRPr="00A42FF4">
        <w:rPr>
          <w:rFonts w:cs="Arial"/>
        </w:rPr>
        <w:t>.</w:t>
      </w:r>
      <w:bookmarkEnd w:id="91"/>
      <w:bookmarkEnd w:id="92"/>
    </w:p>
    <w:p w14:paraId="67B965F9" w14:textId="0D5F3F46" w:rsidR="00EA1CA0" w:rsidRDefault="006272A2" w:rsidP="0007638E">
      <w:pPr>
        <w:pStyle w:val="TableFigureheading"/>
        <w:spacing w:before="240" w:after="240"/>
        <w:rPr>
          <w:rFonts w:cstheme="majorBidi"/>
          <w:szCs w:val="22"/>
          <w:lang w:val="en-PH"/>
        </w:rPr>
      </w:pPr>
      <w:bookmarkStart w:id="93" w:name="_Ref185835953"/>
      <w:bookmarkStart w:id="94" w:name="_Toc151116339"/>
      <w:bookmarkStart w:id="95" w:name="_Toc187312100"/>
      <w:r w:rsidRPr="0093558C">
        <w:rPr>
          <w:rFonts w:cstheme="majorBidi"/>
          <w:szCs w:val="22"/>
          <w:lang w:val="en-PH"/>
        </w:rPr>
        <w:t xml:space="preserve">Figure </w:t>
      </w:r>
      <w:r w:rsidRPr="0093558C">
        <w:rPr>
          <w:rFonts w:cstheme="majorBidi"/>
          <w:iCs w:val="0"/>
          <w:lang w:val="en-PH"/>
        </w:rPr>
        <w:fldChar w:fldCharType="begin"/>
      </w:r>
      <w:r w:rsidRPr="0093558C">
        <w:rPr>
          <w:rFonts w:cstheme="majorBidi"/>
          <w:szCs w:val="22"/>
          <w:lang w:val="en-PH"/>
        </w:rPr>
        <w:instrText xml:space="preserve"> SEQ Figure \* ARABIC </w:instrText>
      </w:r>
      <w:r w:rsidRPr="0093558C">
        <w:rPr>
          <w:rFonts w:cstheme="majorBidi"/>
          <w:iCs w:val="0"/>
          <w:lang w:val="en-PH"/>
        </w:rPr>
        <w:fldChar w:fldCharType="separate"/>
      </w:r>
      <w:r w:rsidR="00E537E7">
        <w:rPr>
          <w:rFonts w:cstheme="majorBidi"/>
          <w:noProof/>
          <w:szCs w:val="22"/>
          <w:lang w:val="en-PH"/>
        </w:rPr>
        <w:t>4</w:t>
      </w:r>
      <w:r w:rsidRPr="0093558C">
        <w:rPr>
          <w:rFonts w:cstheme="majorBidi"/>
          <w:iCs w:val="0"/>
          <w:lang w:val="en-PH"/>
        </w:rPr>
        <w:fldChar w:fldCharType="end"/>
      </w:r>
      <w:bookmarkEnd w:id="93"/>
      <w:r w:rsidR="00CA3A4C" w:rsidRPr="0093558C">
        <w:rPr>
          <w:rFonts w:cstheme="majorBidi"/>
          <w:szCs w:val="22"/>
          <w:lang w:val="en-PH"/>
        </w:rPr>
        <w:t xml:space="preserve">: </w:t>
      </w:r>
      <w:r w:rsidR="003F23D1">
        <w:rPr>
          <w:rFonts w:cstheme="majorBidi"/>
          <w:szCs w:val="22"/>
          <w:lang w:val="en-PH"/>
        </w:rPr>
        <w:t>Cost of</w:t>
      </w:r>
      <w:r w:rsidR="003B3BF1">
        <w:rPr>
          <w:rFonts w:cstheme="majorBidi"/>
          <w:szCs w:val="22"/>
          <w:lang w:val="en-PH"/>
        </w:rPr>
        <w:t xml:space="preserve"> admitted acute</w:t>
      </w:r>
      <w:r w:rsidR="00397D69">
        <w:rPr>
          <w:rFonts w:cstheme="majorBidi"/>
          <w:szCs w:val="22"/>
          <w:lang w:val="en-PH"/>
        </w:rPr>
        <w:t xml:space="preserve"> separations</w:t>
      </w:r>
      <w:r w:rsidR="008E2EFF">
        <w:rPr>
          <w:rFonts w:cstheme="majorBidi"/>
          <w:szCs w:val="22"/>
          <w:lang w:val="en-PH"/>
        </w:rPr>
        <w:t xml:space="preserve"> by jurisdiction</w:t>
      </w:r>
      <w:r w:rsidR="00CA3A4C" w:rsidRPr="0093558C">
        <w:rPr>
          <w:rFonts w:cstheme="majorBidi"/>
          <w:szCs w:val="22"/>
          <w:lang w:val="en-PH"/>
        </w:rPr>
        <w:t xml:space="preserve">, </w:t>
      </w:r>
      <w:r w:rsidR="00741BA0" w:rsidRPr="00D73FCC">
        <w:rPr>
          <w:rFonts w:cstheme="majorBidi"/>
          <w:szCs w:val="22"/>
          <w:lang w:val="en-PH"/>
        </w:rPr>
        <w:t>2020-21</w:t>
      </w:r>
      <w:r w:rsidR="00CA3A4C" w:rsidRPr="0093558C">
        <w:rPr>
          <w:rFonts w:cstheme="majorBidi"/>
          <w:szCs w:val="22"/>
          <w:lang w:val="en-PH"/>
        </w:rPr>
        <w:t xml:space="preserve"> to </w:t>
      </w:r>
      <w:r w:rsidR="00831766" w:rsidRPr="008B2CD8">
        <w:rPr>
          <w:rFonts w:cstheme="majorBidi"/>
          <w:szCs w:val="22"/>
          <w:lang w:val="en-PH"/>
        </w:rPr>
        <w:t>202</w:t>
      </w:r>
      <w:r w:rsidR="00831766">
        <w:rPr>
          <w:rFonts w:cstheme="majorBidi"/>
          <w:szCs w:val="22"/>
          <w:lang w:val="en-PH"/>
        </w:rPr>
        <w:t>2</w:t>
      </w:r>
      <w:r w:rsidR="00831766" w:rsidRPr="008B2CD8">
        <w:rPr>
          <w:rFonts w:cstheme="majorBidi"/>
          <w:szCs w:val="22"/>
          <w:lang w:val="en-PH"/>
        </w:rPr>
        <w:t>-2</w:t>
      </w:r>
      <w:r w:rsidR="00831766">
        <w:rPr>
          <w:rFonts w:cstheme="majorBidi"/>
          <w:szCs w:val="22"/>
          <w:lang w:val="en-PH"/>
        </w:rPr>
        <w:t>3</w:t>
      </w:r>
      <w:bookmarkEnd w:id="94"/>
      <w:bookmarkEnd w:id="95"/>
    </w:p>
    <w:p w14:paraId="4BAF0B86" w14:textId="0E039DC8" w:rsidR="00D4057C" w:rsidRDefault="003F085F" w:rsidP="00DA13A2">
      <w:bookmarkStart w:id="96" w:name="_Toc144967639"/>
      <w:bookmarkStart w:id="97" w:name="_Toc151129694"/>
      <w:bookmarkStart w:id="98" w:name="_Toc158882545"/>
      <w:bookmarkStart w:id="99" w:name="_Toc158882606"/>
      <w:r>
        <w:rPr>
          <w:noProof/>
        </w:rPr>
        <w:drawing>
          <wp:inline distT="0" distB="0" distL="0" distR="0" wp14:anchorId="244C80BE" wp14:editId="1AA1A98C">
            <wp:extent cx="6106001" cy="2268000"/>
            <wp:effectExtent l="0" t="0" r="0" b="0"/>
            <wp:docPr id="1339140389" name="Chart 1">
              <a:extLst xmlns:a="http://schemas.openxmlformats.org/drawingml/2006/main">
                <a:ext uri="{FF2B5EF4-FFF2-40B4-BE49-F238E27FC236}">
                  <a16:creationId xmlns:a16="http://schemas.microsoft.com/office/drawing/2014/main" id="{8F422F44-CA19-4DDC-849C-AA7EED6CB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4DAD62" w14:textId="32B8F2FF" w:rsidR="00CD37CA" w:rsidRPr="000F21B4" w:rsidRDefault="00CD37CA" w:rsidP="00CD37CA">
      <w:pPr>
        <w:pStyle w:val="Heading3"/>
        <w:rPr>
          <w:sz w:val="28"/>
          <w:szCs w:val="28"/>
        </w:rPr>
      </w:pPr>
      <w:r w:rsidRPr="000F21B4">
        <w:rPr>
          <w:sz w:val="28"/>
          <w:szCs w:val="28"/>
        </w:rPr>
        <w:t>Admitted acute average cost</w:t>
      </w:r>
    </w:p>
    <w:bookmarkEnd w:id="96"/>
    <w:bookmarkEnd w:id="97"/>
    <w:bookmarkEnd w:id="98"/>
    <w:bookmarkEnd w:id="99"/>
    <w:p w14:paraId="7E70B2A7" w14:textId="3A4D2B6B" w:rsidR="00203687" w:rsidRPr="00A42FF4" w:rsidRDefault="00C22E97" w:rsidP="00F25099">
      <w:pPr>
        <w:pStyle w:val="Caption"/>
        <w:spacing w:line="276" w:lineRule="auto"/>
      </w:pPr>
      <w:r w:rsidRPr="00C22E97">
        <w:fldChar w:fldCharType="begin"/>
      </w:r>
      <w:r w:rsidRPr="00C22E97">
        <w:instrText xml:space="preserve"> REF _Ref185835993 \h </w:instrText>
      </w:r>
      <w:r>
        <w:instrText xml:space="preserve"> \* MERGEFORMAT </w:instrText>
      </w:r>
      <w:r w:rsidRPr="00C22E97">
        <w:fldChar w:fldCharType="separate"/>
      </w:r>
      <w:r w:rsidRPr="00296833">
        <w:t>Figure 5</w:t>
      </w:r>
      <w:r w:rsidRPr="00C22E97">
        <w:fldChar w:fldCharType="end"/>
      </w:r>
      <w:r w:rsidR="00FD547D" w:rsidRPr="00A42FF4">
        <w:t xml:space="preserve"> shows the average cost of admitted acute separations reported in the cost data from</w:t>
      </w:r>
      <w:r w:rsidR="005E72FD" w:rsidRPr="00A42FF4">
        <w:t xml:space="preserve"> </w:t>
      </w:r>
      <w:r w:rsidR="00741BA0" w:rsidRPr="00A42FF4">
        <w:t>2020</w:t>
      </w:r>
      <w:r w:rsidR="00012BF3">
        <w:noBreakHyphen/>
      </w:r>
      <w:r w:rsidR="00741BA0" w:rsidRPr="00A42FF4">
        <w:t>21</w:t>
      </w:r>
      <w:r w:rsidR="00FD547D" w:rsidRPr="00A42FF4">
        <w:t xml:space="preserve"> to </w:t>
      </w:r>
      <w:r w:rsidR="00A54617" w:rsidRPr="00A42FF4">
        <w:rPr>
          <w:rFonts w:cstheme="majorBidi"/>
          <w:lang w:val="en-PH"/>
        </w:rPr>
        <w:t>2022-23</w:t>
      </w:r>
      <w:r w:rsidR="00FD547D" w:rsidRPr="00A42FF4">
        <w:t xml:space="preserve">. </w:t>
      </w:r>
      <w:r w:rsidR="00E6386A">
        <w:t>The</w:t>
      </w:r>
      <w:r w:rsidR="000462AF" w:rsidRPr="00A42FF4">
        <w:t xml:space="preserve"> variation in average cost may be affected by differences in admission policies, activity complexity and hospital location.</w:t>
      </w:r>
      <w:r w:rsidR="000462AF">
        <w:t xml:space="preserve"> </w:t>
      </w:r>
      <w:r w:rsidR="00FD547D" w:rsidRPr="00A42FF4">
        <w:t xml:space="preserve">In </w:t>
      </w:r>
      <w:r w:rsidR="00A54617" w:rsidRPr="00A42FF4">
        <w:rPr>
          <w:rFonts w:cstheme="majorBidi"/>
          <w:lang w:val="en-PH"/>
        </w:rPr>
        <w:t>2022-23</w:t>
      </w:r>
      <w:r w:rsidR="00FD547D" w:rsidRPr="00A42FF4">
        <w:t>, the national average cost per admitted acute separation was $</w:t>
      </w:r>
      <w:r w:rsidR="00047AD7" w:rsidRPr="00A42FF4">
        <w:t>6,</w:t>
      </w:r>
      <w:r w:rsidR="001337DD" w:rsidRPr="00A42FF4">
        <w:t>239</w:t>
      </w:r>
      <w:r w:rsidR="00FD547D" w:rsidRPr="00A42FF4">
        <w:t xml:space="preserve">, </w:t>
      </w:r>
      <w:r w:rsidR="003B3BF1" w:rsidRPr="00A42FF4">
        <w:t xml:space="preserve">a 7% </w:t>
      </w:r>
      <w:r w:rsidR="00FD547D" w:rsidRPr="00A42FF4">
        <w:t xml:space="preserve">increase from the </w:t>
      </w:r>
      <w:r w:rsidR="00A85636" w:rsidRPr="00A42FF4">
        <w:t>2021-22</w:t>
      </w:r>
      <w:r w:rsidR="00FD547D" w:rsidRPr="00A42FF4">
        <w:t xml:space="preserve"> figure of $</w:t>
      </w:r>
      <w:r w:rsidR="00047AD7" w:rsidRPr="00A42FF4">
        <w:t>5,809.</w:t>
      </w:r>
      <w:r w:rsidR="00FD547D" w:rsidRPr="00A42FF4">
        <w:t xml:space="preserve"> In </w:t>
      </w:r>
      <w:r w:rsidR="00A54617" w:rsidRPr="00A42FF4">
        <w:rPr>
          <w:rFonts w:cstheme="majorBidi"/>
          <w:lang w:val="en-PH"/>
        </w:rPr>
        <w:t>2022-23</w:t>
      </w:r>
      <w:r w:rsidR="00FD547D" w:rsidRPr="00A42FF4">
        <w:t xml:space="preserve">, </w:t>
      </w:r>
      <w:r w:rsidR="009C485C" w:rsidRPr="00A42FF4">
        <w:t>the average cost</w:t>
      </w:r>
      <w:r w:rsidR="00236A73" w:rsidRPr="00A42FF4">
        <w:t xml:space="preserve"> </w:t>
      </w:r>
      <w:r w:rsidR="009C485C" w:rsidRPr="00A42FF4">
        <w:t xml:space="preserve">at the jurisdictional level </w:t>
      </w:r>
      <w:r w:rsidR="00203687" w:rsidRPr="00A42FF4">
        <w:t xml:space="preserve">ranged </w:t>
      </w:r>
      <w:r w:rsidR="009C485C" w:rsidRPr="00A42FF4">
        <w:t>from $4,</w:t>
      </w:r>
      <w:r w:rsidR="00047AD7" w:rsidRPr="00A42FF4">
        <w:t xml:space="preserve">488 </w:t>
      </w:r>
      <w:r w:rsidR="009C485C" w:rsidRPr="00A42FF4">
        <w:t>(</w:t>
      </w:r>
      <w:r w:rsidR="003C759C">
        <w:t>NT)</w:t>
      </w:r>
      <w:r w:rsidR="009C485C" w:rsidRPr="00A42FF4">
        <w:t xml:space="preserve"> to $</w:t>
      </w:r>
      <w:r w:rsidR="00A57821" w:rsidRPr="00A42FF4">
        <w:t>7,</w:t>
      </w:r>
      <w:r w:rsidR="00047AD7" w:rsidRPr="00A42FF4">
        <w:t xml:space="preserve">955 </w:t>
      </w:r>
      <w:r w:rsidR="009C485C" w:rsidRPr="00A42FF4">
        <w:t>(</w:t>
      </w:r>
      <w:r w:rsidR="00047AD7" w:rsidRPr="00A42FF4">
        <w:t>Tasmania</w:t>
      </w:r>
      <w:r w:rsidR="009C485C" w:rsidRPr="00A42FF4">
        <w:t>).</w:t>
      </w:r>
    </w:p>
    <w:p w14:paraId="5C0C2D36" w14:textId="494DDFF4" w:rsidR="0031385C" w:rsidRDefault="0031385C" w:rsidP="0031385C">
      <w:pPr>
        <w:pStyle w:val="TableFigureheading"/>
        <w:spacing w:before="240" w:after="240"/>
        <w:rPr>
          <w:rFonts w:cstheme="majorBidi"/>
          <w:szCs w:val="22"/>
          <w:lang w:val="en-PH"/>
        </w:rPr>
      </w:pPr>
      <w:bookmarkStart w:id="100" w:name="_Ref185835993"/>
      <w:bookmarkStart w:id="101" w:name="_Toc187312101"/>
      <w:bookmarkStart w:id="102" w:name="_Toc151116340"/>
      <w:r w:rsidRPr="0093558C">
        <w:rPr>
          <w:rFonts w:cstheme="majorBidi"/>
          <w:szCs w:val="22"/>
          <w:lang w:val="en-PH"/>
        </w:rPr>
        <w:t xml:space="preserve">Figure </w:t>
      </w:r>
      <w:r w:rsidRPr="0093558C">
        <w:rPr>
          <w:rFonts w:cstheme="majorBidi"/>
          <w:iCs w:val="0"/>
          <w:lang w:val="en-PH"/>
        </w:rPr>
        <w:fldChar w:fldCharType="begin"/>
      </w:r>
      <w:r w:rsidRPr="0093558C">
        <w:rPr>
          <w:rFonts w:cstheme="majorBidi"/>
          <w:szCs w:val="22"/>
          <w:lang w:val="en-PH"/>
        </w:rPr>
        <w:instrText xml:space="preserve"> SEQ Figure \* ARABIC </w:instrText>
      </w:r>
      <w:r w:rsidRPr="0093558C">
        <w:rPr>
          <w:rFonts w:cstheme="majorBidi"/>
          <w:iCs w:val="0"/>
          <w:lang w:val="en-PH"/>
        </w:rPr>
        <w:fldChar w:fldCharType="separate"/>
      </w:r>
      <w:r w:rsidR="00E537E7">
        <w:rPr>
          <w:rFonts w:cstheme="majorBidi"/>
          <w:noProof/>
          <w:szCs w:val="22"/>
          <w:lang w:val="en-PH"/>
        </w:rPr>
        <w:t>5</w:t>
      </w:r>
      <w:r w:rsidRPr="0093558C">
        <w:rPr>
          <w:rFonts w:cstheme="majorBidi"/>
          <w:iCs w:val="0"/>
          <w:lang w:val="en-PH"/>
        </w:rPr>
        <w:fldChar w:fldCharType="end"/>
      </w:r>
      <w:bookmarkEnd w:id="100"/>
      <w:r w:rsidRPr="0093558C">
        <w:rPr>
          <w:rFonts w:cstheme="majorBidi"/>
          <w:szCs w:val="22"/>
          <w:lang w:val="en-PH"/>
        </w:rPr>
        <w:t xml:space="preserve">: </w:t>
      </w:r>
      <w:r w:rsidR="005540B8">
        <w:rPr>
          <w:rFonts w:cstheme="majorBidi"/>
          <w:szCs w:val="22"/>
          <w:lang w:val="en-PH"/>
        </w:rPr>
        <w:t xml:space="preserve">Average cost </w:t>
      </w:r>
      <w:r w:rsidR="00B953AE">
        <w:rPr>
          <w:rFonts w:cstheme="majorBidi"/>
          <w:szCs w:val="22"/>
          <w:lang w:val="en-PH"/>
        </w:rPr>
        <w:t>per</w:t>
      </w:r>
      <w:r w:rsidR="005540B8">
        <w:rPr>
          <w:rFonts w:cstheme="majorBidi"/>
          <w:szCs w:val="22"/>
          <w:lang w:val="en-PH"/>
        </w:rPr>
        <w:t xml:space="preserve"> a</w:t>
      </w:r>
      <w:r w:rsidR="003B3BF1">
        <w:rPr>
          <w:rFonts w:cstheme="majorBidi"/>
          <w:szCs w:val="22"/>
          <w:lang w:val="en-PH"/>
        </w:rPr>
        <w:t>dmitted acute</w:t>
      </w:r>
      <w:r w:rsidR="003B3BF1" w:rsidRPr="0093558C">
        <w:rPr>
          <w:rFonts w:cstheme="majorBidi"/>
          <w:szCs w:val="22"/>
          <w:lang w:val="en-PH"/>
        </w:rPr>
        <w:t xml:space="preserve"> </w:t>
      </w:r>
      <w:r w:rsidR="005540B8">
        <w:rPr>
          <w:rFonts w:cstheme="majorBidi"/>
          <w:szCs w:val="22"/>
          <w:lang w:val="en-PH"/>
        </w:rPr>
        <w:t>separation</w:t>
      </w:r>
      <w:r w:rsidR="00FF093F">
        <w:rPr>
          <w:rFonts w:cstheme="majorBidi"/>
          <w:szCs w:val="22"/>
          <w:lang w:val="en-PH"/>
        </w:rPr>
        <w:t xml:space="preserve"> by jurisdiction</w:t>
      </w:r>
      <w:r w:rsidRPr="0093558C">
        <w:rPr>
          <w:rFonts w:cstheme="majorBidi"/>
          <w:szCs w:val="22"/>
          <w:lang w:val="en-PH"/>
        </w:rPr>
        <w:t xml:space="preserve">, </w:t>
      </w:r>
      <w:r w:rsidRPr="00D73FCC">
        <w:rPr>
          <w:rFonts w:cstheme="majorBidi"/>
          <w:szCs w:val="22"/>
          <w:lang w:val="en-PH"/>
        </w:rPr>
        <w:t>2020-21</w:t>
      </w:r>
      <w:r w:rsidRPr="0093558C">
        <w:rPr>
          <w:rFonts w:cstheme="majorBidi"/>
          <w:szCs w:val="22"/>
          <w:lang w:val="en-PH"/>
        </w:rPr>
        <w:t xml:space="preserve"> to </w:t>
      </w:r>
      <w:r w:rsidRPr="008B2CD8">
        <w:rPr>
          <w:rFonts w:cstheme="majorBidi"/>
          <w:szCs w:val="22"/>
          <w:lang w:val="en-PH"/>
        </w:rPr>
        <w:t>202</w:t>
      </w:r>
      <w:r>
        <w:rPr>
          <w:rFonts w:cstheme="majorBidi"/>
          <w:szCs w:val="22"/>
          <w:lang w:val="en-PH"/>
        </w:rPr>
        <w:t>2</w:t>
      </w:r>
      <w:r w:rsidRPr="008B2CD8">
        <w:rPr>
          <w:rFonts w:cstheme="majorBidi"/>
          <w:szCs w:val="22"/>
          <w:lang w:val="en-PH"/>
        </w:rPr>
        <w:t>-2</w:t>
      </w:r>
      <w:r>
        <w:rPr>
          <w:rFonts w:cstheme="majorBidi"/>
          <w:szCs w:val="22"/>
          <w:lang w:val="en-PH"/>
        </w:rPr>
        <w:t>3</w:t>
      </w:r>
      <w:bookmarkEnd w:id="101"/>
    </w:p>
    <w:bookmarkEnd w:id="102"/>
    <w:p w14:paraId="28728E0D" w14:textId="744FD6D7" w:rsidR="0031385C" w:rsidRDefault="003F085F" w:rsidP="0044452F">
      <w:r>
        <w:rPr>
          <w:noProof/>
        </w:rPr>
        <w:drawing>
          <wp:inline distT="0" distB="0" distL="0" distR="0" wp14:anchorId="5A86701C" wp14:editId="0AD6C2D7">
            <wp:extent cx="6154628" cy="2268000"/>
            <wp:effectExtent l="0" t="0" r="0" b="0"/>
            <wp:docPr id="1501612395" name="Chart 1">
              <a:extLst xmlns:a="http://schemas.openxmlformats.org/drawingml/2006/main">
                <a:ext uri="{FF2B5EF4-FFF2-40B4-BE49-F238E27FC236}">
                  <a16:creationId xmlns:a16="http://schemas.microsoft.com/office/drawing/2014/main" id="{8214F80A-D844-4853-AE55-2695035A3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3FC4FD" w14:textId="52949FB0" w:rsidR="00EB0BC5" w:rsidRPr="000F21B4" w:rsidRDefault="006B7462" w:rsidP="007861EC">
      <w:pPr>
        <w:pStyle w:val="Heading3"/>
        <w:rPr>
          <w:sz w:val="28"/>
          <w:szCs w:val="28"/>
        </w:rPr>
      </w:pPr>
      <w:bookmarkStart w:id="103" w:name="_Toc144967644"/>
      <w:bookmarkStart w:id="104" w:name="_Toc151129695"/>
      <w:bookmarkStart w:id="105" w:name="_Toc158882546"/>
      <w:bookmarkStart w:id="106" w:name="_Toc158882607"/>
      <w:r w:rsidRPr="000F21B4">
        <w:rPr>
          <w:sz w:val="28"/>
          <w:szCs w:val="28"/>
        </w:rPr>
        <w:lastRenderedPageBreak/>
        <w:t>Admitted acute weighted average cost</w:t>
      </w:r>
      <w:bookmarkEnd w:id="103"/>
      <w:bookmarkEnd w:id="104"/>
      <w:bookmarkEnd w:id="105"/>
      <w:bookmarkEnd w:id="106"/>
    </w:p>
    <w:p w14:paraId="412DC2EB" w14:textId="01FD6FCD" w:rsidR="00385F7E" w:rsidRPr="00A42FF4" w:rsidRDefault="00442268" w:rsidP="00F25099">
      <w:pPr>
        <w:pStyle w:val="Caption"/>
        <w:spacing w:line="276" w:lineRule="auto"/>
      </w:pPr>
      <w:r>
        <w:t>Jurisdiction comparisons should consider</w:t>
      </w:r>
      <w:r w:rsidR="003454F8" w:rsidRPr="00A42FF4">
        <w:t xml:space="preserve"> the complexity of a jurisdiction’s acute activity profile</w:t>
      </w:r>
      <w:r>
        <w:t xml:space="preserve">. </w:t>
      </w:r>
      <w:r w:rsidR="009D6AF6">
        <w:t>More</w:t>
      </w:r>
      <w:r w:rsidR="009D6AF6" w:rsidRPr="00A42FF4">
        <w:t xml:space="preserve"> </w:t>
      </w:r>
      <w:r w:rsidR="0063514E" w:rsidRPr="00A42FF4">
        <w:t>complex</w:t>
      </w:r>
      <w:r w:rsidR="003454F8" w:rsidRPr="00A42FF4">
        <w:t xml:space="preserve"> activities are typically more expensive than </w:t>
      </w:r>
      <w:r w:rsidR="0063514E">
        <w:t xml:space="preserve">activity of </w:t>
      </w:r>
      <w:r w:rsidR="003454F8" w:rsidRPr="00A42FF4">
        <w:t xml:space="preserve">minor complexity, influencing the average cost </w:t>
      </w:r>
      <w:r w:rsidR="001A7430" w:rsidRPr="00A42FF4">
        <w:t>within each</w:t>
      </w:r>
      <w:r w:rsidR="003454F8" w:rsidRPr="00A42FF4">
        <w:t xml:space="preserve"> jurisdiction. </w:t>
      </w:r>
      <w:r w:rsidR="001A7430" w:rsidRPr="00A42FF4">
        <w:t>W</w:t>
      </w:r>
      <w:r w:rsidR="003454F8" w:rsidRPr="00A42FF4">
        <w:t>eighted averages</w:t>
      </w:r>
      <w:r w:rsidR="001A7430" w:rsidRPr="00A42FF4">
        <w:t xml:space="preserve"> factor in the complexity of patient </w:t>
      </w:r>
      <w:r w:rsidR="00E2221A" w:rsidRPr="00A42FF4">
        <w:t>activity</w:t>
      </w:r>
      <w:r w:rsidR="001A7430" w:rsidRPr="00A42FF4">
        <w:t xml:space="preserve"> and provide a more accurate comparison</w:t>
      </w:r>
      <w:r w:rsidR="003454F8" w:rsidRPr="00A42FF4">
        <w:t>.</w:t>
      </w:r>
      <w:r w:rsidR="00A53E80">
        <w:t xml:space="preserve"> IHACPA uses </w:t>
      </w:r>
      <w:r w:rsidR="001F520C">
        <w:t>t</w:t>
      </w:r>
      <w:r w:rsidR="001F520C" w:rsidRPr="00DC3FFA">
        <w:t xml:space="preserve">he AR-DRG </w:t>
      </w:r>
      <w:r w:rsidR="00A53E80">
        <w:t xml:space="preserve">classification to group </w:t>
      </w:r>
      <w:r w:rsidR="000501B8">
        <w:t xml:space="preserve">similar </w:t>
      </w:r>
      <w:r w:rsidR="00A53E80">
        <w:t>ac</w:t>
      </w:r>
      <w:r w:rsidR="00D144C2">
        <w:t>t</w:t>
      </w:r>
      <w:r w:rsidR="00A53E80">
        <w:t>ivity in the admitted acute setting</w:t>
      </w:r>
      <w:r w:rsidR="00A62703">
        <w:t>.</w:t>
      </w:r>
      <w:r w:rsidR="0044452F" w:rsidRPr="00C22E97">
        <w:t xml:space="preserve"> </w:t>
      </w:r>
      <w:r w:rsidR="00C22E97" w:rsidRPr="00C22E97">
        <w:fldChar w:fldCharType="begin"/>
      </w:r>
      <w:r w:rsidR="00C22E97" w:rsidRPr="00C22E97">
        <w:instrText xml:space="preserve"> REF _Ref185836012 \h </w:instrText>
      </w:r>
      <w:r w:rsidR="00C22E97">
        <w:instrText xml:space="preserve"> \* MERGEFORMAT </w:instrText>
      </w:r>
      <w:r w:rsidR="00C22E97" w:rsidRPr="00C22E97">
        <w:fldChar w:fldCharType="separate"/>
      </w:r>
      <w:r w:rsidR="00C22E97" w:rsidRPr="00296833">
        <w:rPr>
          <w:rFonts w:cstheme="majorBidi"/>
          <w:szCs w:val="22"/>
          <w:lang w:val="en-PH"/>
        </w:rPr>
        <w:t xml:space="preserve">Figure </w:t>
      </w:r>
      <w:r w:rsidR="00C22E97" w:rsidRPr="00296833">
        <w:rPr>
          <w:rFonts w:cstheme="majorBidi"/>
          <w:noProof/>
          <w:szCs w:val="22"/>
          <w:lang w:val="en-PH"/>
        </w:rPr>
        <w:t>6</w:t>
      </w:r>
      <w:r w:rsidR="00C22E97" w:rsidRPr="00C22E97">
        <w:fldChar w:fldCharType="end"/>
      </w:r>
      <w:r w:rsidR="000956C9" w:rsidRPr="00C22E97">
        <w:t xml:space="preserve"> </w:t>
      </w:r>
      <w:r w:rsidR="000956C9" w:rsidRPr="00A42FF4">
        <w:t>shows the</w:t>
      </w:r>
      <w:r w:rsidR="00861C26" w:rsidRPr="00A42FF4">
        <w:t xml:space="preserve"> </w:t>
      </w:r>
      <w:r w:rsidR="000956C9" w:rsidRPr="00A42FF4">
        <w:t xml:space="preserve">average cost </w:t>
      </w:r>
      <w:r w:rsidR="001769F5" w:rsidRPr="00A42FF4">
        <w:t xml:space="preserve">per weighted </w:t>
      </w:r>
      <w:r w:rsidR="000956C9" w:rsidRPr="00A42FF4">
        <w:t xml:space="preserve">admitted acute separation from </w:t>
      </w:r>
      <w:r w:rsidR="00741BA0" w:rsidRPr="00A42FF4">
        <w:t>2020-21</w:t>
      </w:r>
      <w:r w:rsidR="000956C9" w:rsidRPr="00A42FF4">
        <w:t xml:space="preserve"> to </w:t>
      </w:r>
      <w:r w:rsidR="00A54617" w:rsidRPr="00A42FF4">
        <w:rPr>
          <w:rFonts w:cstheme="majorBidi"/>
          <w:lang w:val="en-PH"/>
        </w:rPr>
        <w:t>2022-23</w:t>
      </w:r>
      <w:r w:rsidR="000956C9" w:rsidRPr="00A42FF4">
        <w:t xml:space="preserve">. </w:t>
      </w:r>
      <w:r w:rsidR="00093445" w:rsidRPr="00A42FF4">
        <w:t xml:space="preserve">In </w:t>
      </w:r>
      <w:r w:rsidR="00A54617" w:rsidRPr="00A42FF4">
        <w:rPr>
          <w:rFonts w:cstheme="majorBidi"/>
          <w:lang w:val="en-PH"/>
        </w:rPr>
        <w:t>2022-23</w:t>
      </w:r>
      <w:r w:rsidR="00093445" w:rsidRPr="00A42FF4">
        <w:t xml:space="preserve">, the average cost per </w:t>
      </w:r>
      <w:r w:rsidR="001769F5" w:rsidRPr="00A42FF4">
        <w:t xml:space="preserve">weighted </w:t>
      </w:r>
      <w:r w:rsidR="00093445" w:rsidRPr="00A42FF4">
        <w:t>separation at the jurisdictional level range</w:t>
      </w:r>
      <w:r w:rsidR="003B117A">
        <w:t>d</w:t>
      </w:r>
      <w:r w:rsidR="00093445" w:rsidRPr="00A42FF4">
        <w:t xml:space="preserve"> from $5,</w:t>
      </w:r>
      <w:r w:rsidR="00814842">
        <w:t>631</w:t>
      </w:r>
      <w:r w:rsidR="00814842" w:rsidRPr="00A42FF4">
        <w:t xml:space="preserve"> </w:t>
      </w:r>
      <w:r w:rsidR="00093445" w:rsidRPr="00A42FF4">
        <w:t>(</w:t>
      </w:r>
      <w:r w:rsidR="00F01052" w:rsidRPr="00A42FF4">
        <w:t>Queensland</w:t>
      </w:r>
      <w:r w:rsidR="00093445" w:rsidRPr="00A42FF4">
        <w:t>) to $7,</w:t>
      </w:r>
      <w:r w:rsidR="00814842">
        <w:t>906</w:t>
      </w:r>
      <w:r w:rsidR="00814842" w:rsidRPr="00A42FF4">
        <w:t xml:space="preserve"> </w:t>
      </w:r>
      <w:r w:rsidR="00093445" w:rsidRPr="00A42FF4">
        <w:t>(</w:t>
      </w:r>
      <w:r w:rsidR="002E2D58" w:rsidRPr="00A42FF4">
        <w:t>Tas</w:t>
      </w:r>
      <w:r w:rsidR="00F01052" w:rsidRPr="00A42FF4">
        <w:t>mania</w:t>
      </w:r>
      <w:r w:rsidR="00093445" w:rsidRPr="00A42FF4">
        <w:t>).</w:t>
      </w:r>
    </w:p>
    <w:p w14:paraId="76ED9C47" w14:textId="7D9CA3FD" w:rsidR="00BF23FA" w:rsidRDefault="006272A2" w:rsidP="00990D55">
      <w:pPr>
        <w:pStyle w:val="TableFigureheading"/>
        <w:spacing w:before="240" w:after="240"/>
        <w:rPr>
          <w:rFonts w:cstheme="majorBidi"/>
          <w:szCs w:val="22"/>
          <w:lang w:val="en-PH"/>
        </w:rPr>
      </w:pPr>
      <w:bookmarkStart w:id="107" w:name="_Ref185836012"/>
      <w:bookmarkStart w:id="108" w:name="_Toc151116341"/>
      <w:bookmarkStart w:id="109" w:name="_Toc187312102"/>
      <w:r w:rsidRPr="0093558C">
        <w:rPr>
          <w:rFonts w:cstheme="majorBidi"/>
          <w:szCs w:val="22"/>
          <w:lang w:val="en-PH"/>
        </w:rPr>
        <w:t xml:space="preserve">Figure </w:t>
      </w:r>
      <w:r w:rsidRPr="0093558C">
        <w:rPr>
          <w:rFonts w:cstheme="majorBidi"/>
          <w:iCs w:val="0"/>
          <w:lang w:val="en-PH"/>
        </w:rPr>
        <w:fldChar w:fldCharType="begin"/>
      </w:r>
      <w:r w:rsidRPr="0093558C">
        <w:rPr>
          <w:rFonts w:cstheme="majorBidi"/>
          <w:szCs w:val="22"/>
          <w:lang w:val="en-PH"/>
        </w:rPr>
        <w:instrText xml:space="preserve"> SEQ Figure \* ARABIC </w:instrText>
      </w:r>
      <w:r w:rsidRPr="0093558C">
        <w:rPr>
          <w:rFonts w:cstheme="majorBidi"/>
          <w:iCs w:val="0"/>
          <w:lang w:val="en-PH"/>
        </w:rPr>
        <w:fldChar w:fldCharType="separate"/>
      </w:r>
      <w:r w:rsidR="00E537E7">
        <w:rPr>
          <w:rFonts w:cstheme="majorBidi"/>
          <w:noProof/>
          <w:szCs w:val="22"/>
          <w:lang w:val="en-PH"/>
        </w:rPr>
        <w:t>6</w:t>
      </w:r>
      <w:r w:rsidRPr="0093558C">
        <w:rPr>
          <w:rFonts w:cstheme="majorBidi"/>
          <w:iCs w:val="0"/>
          <w:lang w:val="en-PH"/>
        </w:rPr>
        <w:fldChar w:fldCharType="end"/>
      </w:r>
      <w:bookmarkEnd w:id="107"/>
      <w:r w:rsidR="00D37929" w:rsidRPr="0093558C">
        <w:rPr>
          <w:rFonts w:cstheme="majorBidi"/>
          <w:szCs w:val="22"/>
          <w:lang w:val="en-PH"/>
        </w:rPr>
        <w:t xml:space="preserve">: </w:t>
      </w:r>
      <w:r w:rsidR="00013027">
        <w:rPr>
          <w:rFonts w:cstheme="majorBidi"/>
          <w:szCs w:val="22"/>
          <w:lang w:val="en-PH"/>
        </w:rPr>
        <w:t xml:space="preserve">Average cost </w:t>
      </w:r>
      <w:r w:rsidR="00B953AE">
        <w:rPr>
          <w:rFonts w:cstheme="majorBidi"/>
          <w:szCs w:val="22"/>
          <w:lang w:val="en-PH"/>
        </w:rPr>
        <w:t>per</w:t>
      </w:r>
      <w:r w:rsidR="00013027">
        <w:rPr>
          <w:rFonts w:cstheme="majorBidi"/>
          <w:szCs w:val="22"/>
          <w:lang w:val="en-PH"/>
        </w:rPr>
        <w:t xml:space="preserve"> </w:t>
      </w:r>
      <w:r w:rsidR="00E45937">
        <w:rPr>
          <w:rFonts w:cstheme="majorBidi"/>
          <w:szCs w:val="22"/>
          <w:lang w:val="en-PH"/>
        </w:rPr>
        <w:t>weighted separation</w:t>
      </w:r>
      <w:r w:rsidR="00FF093F">
        <w:rPr>
          <w:rFonts w:cstheme="majorBidi"/>
          <w:szCs w:val="22"/>
          <w:lang w:val="en-PH"/>
        </w:rPr>
        <w:t xml:space="preserve"> by jurisdiction</w:t>
      </w:r>
      <w:r w:rsidR="00D37929" w:rsidRPr="0093558C">
        <w:rPr>
          <w:rFonts w:cstheme="majorBidi"/>
          <w:szCs w:val="22"/>
          <w:lang w:val="en-PH"/>
        </w:rPr>
        <w:t xml:space="preserve">, </w:t>
      </w:r>
      <w:r w:rsidR="00741BA0" w:rsidRPr="00D73FCC">
        <w:rPr>
          <w:rFonts w:cstheme="majorBidi"/>
          <w:szCs w:val="22"/>
          <w:lang w:val="en-PH"/>
        </w:rPr>
        <w:t>2020-21</w:t>
      </w:r>
      <w:r w:rsidR="00D37929" w:rsidRPr="0093558C">
        <w:rPr>
          <w:rFonts w:cstheme="majorBidi"/>
          <w:szCs w:val="22"/>
          <w:lang w:val="en-PH"/>
        </w:rPr>
        <w:t xml:space="preserve"> to </w:t>
      </w:r>
      <w:r w:rsidR="00A54617" w:rsidRPr="008B2CD8">
        <w:rPr>
          <w:rFonts w:cstheme="majorBidi"/>
          <w:szCs w:val="22"/>
          <w:lang w:val="en-PH"/>
        </w:rPr>
        <w:t>202</w:t>
      </w:r>
      <w:r w:rsidR="00A54617">
        <w:rPr>
          <w:rFonts w:cstheme="majorBidi"/>
          <w:szCs w:val="22"/>
          <w:lang w:val="en-PH"/>
        </w:rPr>
        <w:t>2</w:t>
      </w:r>
      <w:r w:rsidR="00A54617" w:rsidRPr="008B2CD8">
        <w:rPr>
          <w:rFonts w:cstheme="majorBidi"/>
          <w:szCs w:val="22"/>
          <w:lang w:val="en-PH"/>
        </w:rPr>
        <w:t>-2</w:t>
      </w:r>
      <w:r w:rsidR="00A54617">
        <w:rPr>
          <w:rFonts w:cstheme="majorBidi"/>
          <w:szCs w:val="22"/>
          <w:lang w:val="en-PH"/>
        </w:rPr>
        <w:t>3</w:t>
      </w:r>
      <w:bookmarkEnd w:id="108"/>
      <w:bookmarkEnd w:id="109"/>
    </w:p>
    <w:p w14:paraId="4711C145" w14:textId="32F5F279" w:rsidR="00814842" w:rsidRDefault="003F085F" w:rsidP="00A32EB6">
      <w:pPr>
        <w:rPr>
          <w:rFonts w:eastAsiaTheme="majorEastAsia" w:cs="Arial"/>
          <w:b/>
          <w:color w:val="008F55" w:themeColor="accent4"/>
          <w:sz w:val="26"/>
          <w:szCs w:val="24"/>
        </w:rPr>
      </w:pPr>
      <w:r>
        <w:rPr>
          <w:noProof/>
        </w:rPr>
        <w:drawing>
          <wp:inline distT="0" distB="0" distL="0" distR="0" wp14:anchorId="5DFC7DD1" wp14:editId="0F4FFE2D">
            <wp:extent cx="6156471" cy="2250000"/>
            <wp:effectExtent l="0" t="0" r="0" b="0"/>
            <wp:docPr id="1681047247" name="Chart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28974E2" w14:textId="6D22D742" w:rsidR="006D3B16" w:rsidRPr="000F21B4" w:rsidRDefault="006D3B16" w:rsidP="007861EC">
      <w:pPr>
        <w:pStyle w:val="Heading3"/>
        <w:rPr>
          <w:sz w:val="28"/>
          <w:szCs w:val="28"/>
        </w:rPr>
      </w:pPr>
      <w:bookmarkStart w:id="110" w:name="_Toc151129696"/>
      <w:bookmarkStart w:id="111" w:name="_Toc158882547"/>
      <w:bookmarkStart w:id="112" w:name="_Toc158882608"/>
      <w:r w:rsidRPr="000F21B4">
        <w:rPr>
          <w:sz w:val="28"/>
          <w:szCs w:val="28"/>
        </w:rPr>
        <w:t>Admitted acute cost buckets</w:t>
      </w:r>
      <w:bookmarkEnd w:id="110"/>
      <w:bookmarkEnd w:id="111"/>
      <w:bookmarkEnd w:id="112"/>
    </w:p>
    <w:p w14:paraId="03D2EB5E" w14:textId="1E30CF8B" w:rsidR="001769F5" w:rsidRPr="00A42FF4" w:rsidRDefault="004D3B51" w:rsidP="00F25099">
      <w:pPr>
        <w:pStyle w:val="Caption"/>
        <w:spacing w:line="276" w:lineRule="auto"/>
      </w:pPr>
      <w:r w:rsidRPr="00A42FF4">
        <w:t xml:space="preserve">In </w:t>
      </w:r>
      <w:r w:rsidR="00A54617" w:rsidRPr="00A42FF4">
        <w:rPr>
          <w:rFonts w:cstheme="majorBidi"/>
          <w:lang w:val="en-PH"/>
        </w:rPr>
        <w:t>2022-23</w:t>
      </w:r>
      <w:r w:rsidRPr="00A42FF4">
        <w:t>, the national average cost per admitted acute separation was $</w:t>
      </w:r>
      <w:r w:rsidR="004503E2" w:rsidRPr="00A42FF4">
        <w:t>6,</w:t>
      </w:r>
      <w:r w:rsidR="008F3DDF" w:rsidRPr="00A42FF4">
        <w:t>239</w:t>
      </w:r>
      <w:r w:rsidRPr="00A42FF4">
        <w:t xml:space="preserve">, a </w:t>
      </w:r>
      <w:r w:rsidR="00385F7E" w:rsidRPr="00A42FF4">
        <w:t>7</w:t>
      </w:r>
      <w:r w:rsidR="00897090" w:rsidRPr="00A42FF4">
        <w:t>%</w:t>
      </w:r>
      <w:r w:rsidRPr="00A42FF4">
        <w:t xml:space="preserve"> increase from the </w:t>
      </w:r>
      <w:r w:rsidR="009108FF" w:rsidRPr="00A42FF4">
        <w:t>2021-22</w:t>
      </w:r>
      <w:r w:rsidRPr="00A42FF4">
        <w:t xml:space="preserve"> </w:t>
      </w:r>
      <w:r w:rsidR="0063669D" w:rsidRPr="00A42FF4">
        <w:t>average</w:t>
      </w:r>
      <w:r w:rsidRPr="00A42FF4">
        <w:t xml:space="preserve"> of $5,</w:t>
      </w:r>
      <w:r w:rsidR="004503E2" w:rsidRPr="00A42FF4">
        <w:t>809</w:t>
      </w:r>
      <w:r w:rsidRPr="00A42FF4">
        <w:t xml:space="preserve">. </w:t>
      </w:r>
      <w:r w:rsidR="00180020" w:rsidRPr="00180020">
        <w:fldChar w:fldCharType="begin"/>
      </w:r>
      <w:r w:rsidR="00180020" w:rsidRPr="00180020">
        <w:instrText xml:space="preserve"> REF _Ref185836057 \h  \* MERGEFORMAT </w:instrText>
      </w:r>
      <w:r w:rsidR="00180020" w:rsidRPr="00180020">
        <w:fldChar w:fldCharType="separate"/>
      </w:r>
      <w:r w:rsidR="00180020" w:rsidRPr="00296833">
        <w:t>Figure 7</w:t>
      </w:r>
      <w:r w:rsidR="00180020" w:rsidRPr="00180020">
        <w:fldChar w:fldCharType="end"/>
      </w:r>
      <w:r w:rsidR="006D4E76" w:rsidRPr="00A42FF4">
        <w:t xml:space="preserve"> shows </w:t>
      </w:r>
      <w:r w:rsidR="001769F5" w:rsidRPr="00A42FF4">
        <w:t xml:space="preserve">the </w:t>
      </w:r>
      <w:r w:rsidR="008B1911">
        <w:t xml:space="preserve">top 10 cost buckets contributing to the </w:t>
      </w:r>
      <w:r w:rsidR="00AC5CC3">
        <w:t xml:space="preserve">national </w:t>
      </w:r>
      <w:r w:rsidR="006D4E76" w:rsidRPr="00A42FF4">
        <w:t xml:space="preserve">admitted acute average cost </w:t>
      </w:r>
      <w:r w:rsidR="00814842">
        <w:t>in 2022-23</w:t>
      </w:r>
      <w:r w:rsidR="00CC1A3B">
        <w:t>, in comparison to 2020-21 and 2021-22</w:t>
      </w:r>
      <w:r w:rsidR="00E6386A">
        <w:t>. These cost buckets</w:t>
      </w:r>
      <w:r w:rsidR="00442268">
        <w:t xml:space="preserve"> account</w:t>
      </w:r>
      <w:r w:rsidR="00E6386A">
        <w:t xml:space="preserve"> </w:t>
      </w:r>
      <w:r w:rsidR="004D1E7D">
        <w:t xml:space="preserve">for </w:t>
      </w:r>
      <w:r w:rsidR="00442268">
        <w:t>approximately 87</w:t>
      </w:r>
      <w:r w:rsidR="004D1E7D">
        <w:t>% of average national costs</w:t>
      </w:r>
      <w:r w:rsidR="001769F5" w:rsidRPr="00A42FF4">
        <w:t>,</w:t>
      </w:r>
      <w:r w:rsidR="006D4E76" w:rsidRPr="00A42FF4">
        <w:t xml:space="preserve"> from 2020-21 to </w:t>
      </w:r>
      <w:r w:rsidR="006D4E76" w:rsidRPr="00A42FF4">
        <w:rPr>
          <w:rFonts w:cstheme="majorBidi"/>
          <w:lang w:val="en-PH"/>
        </w:rPr>
        <w:t>2022-23</w:t>
      </w:r>
      <w:r w:rsidR="006D4E76" w:rsidRPr="00A42FF4">
        <w:t>.</w:t>
      </w:r>
      <w:r w:rsidR="00AA0720">
        <w:t xml:space="preserve"> </w:t>
      </w:r>
      <w:r w:rsidR="003B3BF1">
        <w:t>Further detail on</w:t>
      </w:r>
      <w:r w:rsidR="00AA0720" w:rsidRPr="00A42FF4">
        <w:t xml:space="preserve"> all</w:t>
      </w:r>
      <w:r w:rsidR="00AA0720">
        <w:t xml:space="preserve"> admitted</w:t>
      </w:r>
      <w:r w:rsidR="00AA0720" w:rsidRPr="00A42FF4">
        <w:t xml:space="preserve"> </w:t>
      </w:r>
      <w:r w:rsidR="00AA0720">
        <w:t xml:space="preserve">acute cost by </w:t>
      </w:r>
      <w:r w:rsidR="00AA0720" w:rsidRPr="00A42FF4">
        <w:t>cost bucket</w:t>
      </w:r>
      <w:r w:rsidR="00AA0720">
        <w:t xml:space="preserve"> is available </w:t>
      </w:r>
      <w:r w:rsidR="00AA0720" w:rsidRPr="00A42FF4">
        <w:t xml:space="preserve">in the </w:t>
      </w:r>
      <w:hyperlink r:id="rId29" w:history="1">
        <w:r w:rsidR="00AA0720" w:rsidRPr="00A42FF4">
          <w:rPr>
            <w:rStyle w:val="Hyperlink"/>
          </w:rPr>
          <w:t>Appendix Tables</w:t>
        </w:r>
      </w:hyperlink>
      <w:r w:rsidR="00AA0720" w:rsidRPr="00A42FF4">
        <w:t>.</w:t>
      </w:r>
    </w:p>
    <w:p w14:paraId="0BB4A142" w14:textId="411A0E0D" w:rsidR="00152AE1" w:rsidRDefault="006D4E76" w:rsidP="00152AE1">
      <w:pPr>
        <w:pStyle w:val="TableFigureheading"/>
        <w:rPr>
          <w:rStyle w:val="TableFigureheadingChar"/>
          <w:szCs w:val="22"/>
        </w:rPr>
      </w:pPr>
      <w:bookmarkStart w:id="113" w:name="_Ref185836057"/>
      <w:bookmarkStart w:id="114" w:name="_Hlk184815078"/>
      <w:bookmarkStart w:id="115" w:name="_Toc187312103"/>
      <w:r w:rsidRPr="00296833">
        <w:rPr>
          <w:rStyle w:val="TableFigureheadingChar"/>
          <w:szCs w:val="22"/>
        </w:rPr>
        <w:t xml:space="preserve">Figure </w:t>
      </w:r>
      <w:r w:rsidRPr="00296833">
        <w:rPr>
          <w:rStyle w:val="TableFigureheadingChar"/>
          <w:szCs w:val="22"/>
        </w:rPr>
        <w:fldChar w:fldCharType="begin"/>
      </w:r>
      <w:r w:rsidRPr="00296833">
        <w:rPr>
          <w:rStyle w:val="TableFigureheadingChar"/>
          <w:szCs w:val="22"/>
        </w:rPr>
        <w:instrText xml:space="preserve"> SEQ Figure \* ARABIC </w:instrText>
      </w:r>
      <w:r w:rsidRPr="00296833">
        <w:rPr>
          <w:rStyle w:val="TableFigureheadingChar"/>
          <w:szCs w:val="22"/>
        </w:rPr>
        <w:fldChar w:fldCharType="separate"/>
      </w:r>
      <w:r w:rsidR="00E537E7">
        <w:rPr>
          <w:rStyle w:val="TableFigureheadingChar"/>
          <w:noProof/>
          <w:szCs w:val="22"/>
        </w:rPr>
        <w:t>7</w:t>
      </w:r>
      <w:r w:rsidRPr="00296833">
        <w:rPr>
          <w:rStyle w:val="TableFigureheadingChar"/>
          <w:szCs w:val="22"/>
        </w:rPr>
        <w:fldChar w:fldCharType="end"/>
      </w:r>
      <w:bookmarkEnd w:id="113"/>
      <w:r w:rsidRPr="00296833">
        <w:rPr>
          <w:rStyle w:val="TableFigureheadingChar"/>
          <w:szCs w:val="22"/>
        </w:rPr>
        <w:t xml:space="preserve">: </w:t>
      </w:r>
      <w:r w:rsidR="00D25BDB">
        <w:rPr>
          <w:rStyle w:val="TableFigureheadingChar"/>
          <w:szCs w:val="22"/>
        </w:rPr>
        <w:t xml:space="preserve">Top 10 cost </w:t>
      </w:r>
      <w:r w:rsidR="00D25BDB" w:rsidRPr="00152AE1">
        <w:rPr>
          <w:rStyle w:val="TableFigureheadingChar"/>
          <w:iCs/>
        </w:rPr>
        <w:t>buckets</w:t>
      </w:r>
      <w:r w:rsidR="00D25BDB">
        <w:rPr>
          <w:rStyle w:val="TableFigureheadingChar"/>
          <w:szCs w:val="22"/>
        </w:rPr>
        <w:t xml:space="preserve"> in </w:t>
      </w:r>
      <w:r w:rsidR="00984086">
        <w:rPr>
          <w:rStyle w:val="TableFigureheadingChar"/>
          <w:szCs w:val="22"/>
        </w:rPr>
        <w:t>a</w:t>
      </w:r>
      <w:r w:rsidR="00984086" w:rsidRPr="00296833">
        <w:rPr>
          <w:rStyle w:val="TableFigureheadingChar"/>
          <w:szCs w:val="22"/>
        </w:rPr>
        <w:t>dmitted acute</w:t>
      </w:r>
      <w:r w:rsidR="001E11F3">
        <w:rPr>
          <w:rStyle w:val="TableFigureheadingChar"/>
          <w:szCs w:val="22"/>
        </w:rPr>
        <w:t xml:space="preserve"> separation</w:t>
      </w:r>
      <w:r w:rsidR="00485C2C">
        <w:rPr>
          <w:rStyle w:val="TableFigureheadingChar"/>
          <w:szCs w:val="22"/>
        </w:rPr>
        <w:t>s</w:t>
      </w:r>
      <w:r w:rsidRPr="00296833">
        <w:rPr>
          <w:rStyle w:val="TableFigureheadingChar"/>
          <w:szCs w:val="22"/>
        </w:rPr>
        <w:t>, 2020-21 to 2022-23</w:t>
      </w:r>
      <w:bookmarkEnd w:id="114"/>
      <w:bookmarkEnd w:id="115"/>
    </w:p>
    <w:p w14:paraId="6C8E7928" w14:textId="6E7EA609" w:rsidR="0031385C" w:rsidRDefault="00021B23" w:rsidP="00303546">
      <w:pPr>
        <w:rPr>
          <w:highlight w:val="yellow"/>
        </w:rPr>
      </w:pPr>
      <w:r>
        <w:rPr>
          <w:noProof/>
        </w:rPr>
        <w:drawing>
          <wp:inline distT="0" distB="0" distL="0" distR="0" wp14:anchorId="56EEA446" wp14:editId="7560BC03">
            <wp:extent cx="6170075" cy="2520000"/>
            <wp:effectExtent l="0" t="0" r="0" b="0"/>
            <wp:docPr id="748578933" name="Chart 1">
              <a:extLst xmlns:a="http://schemas.openxmlformats.org/drawingml/2006/main">
                <a:ext uri="{FF2B5EF4-FFF2-40B4-BE49-F238E27FC236}">
                  <a16:creationId xmlns:a16="http://schemas.microsoft.com/office/drawing/2014/main" id="{27068C56-4A7D-4443-B2A6-DB297988E5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738882" w14:textId="7A3F574A" w:rsidR="00D836A8" w:rsidRDefault="005A6632" w:rsidP="005A6632">
      <w:r w:rsidRPr="00CC5738">
        <w:lastRenderedPageBreak/>
        <w:fldChar w:fldCharType="begin"/>
      </w:r>
      <w:r w:rsidRPr="00CC5738">
        <w:instrText xml:space="preserve"> REF _Ref185834676 \h  \* MERGEFORMAT </w:instrText>
      </w:r>
      <w:r w:rsidRPr="00CC5738">
        <w:fldChar w:fldCharType="separate"/>
      </w:r>
      <w:r w:rsidRPr="00296833">
        <w:t>Table 7</w:t>
      </w:r>
      <w:r w:rsidRPr="00CC5738">
        <w:fldChar w:fldCharType="end"/>
      </w:r>
      <w:r w:rsidR="00D836A8" w:rsidRPr="00CC5738">
        <w:t xml:space="preserve"> </w:t>
      </w:r>
      <w:r w:rsidR="00D836A8" w:rsidRPr="005A6632">
        <w:t>shows</w:t>
      </w:r>
      <w:r w:rsidR="00D836A8" w:rsidRPr="00A42FF4">
        <w:t xml:space="preserve"> the </w:t>
      </w:r>
      <w:r w:rsidR="00D836A8">
        <w:t xml:space="preserve">average </w:t>
      </w:r>
      <w:r w:rsidR="008D6DCB">
        <w:t>cost for 2021-22</w:t>
      </w:r>
      <w:r w:rsidR="00E6386A">
        <w:t xml:space="preserve"> and </w:t>
      </w:r>
      <w:r w:rsidR="008D6DCB">
        <w:t>2022-23,</w:t>
      </w:r>
      <w:r w:rsidR="009A419C">
        <w:t xml:space="preserve"> the</w:t>
      </w:r>
      <w:r w:rsidR="008D6DCB">
        <w:t xml:space="preserve"> </w:t>
      </w:r>
      <w:r w:rsidR="007F3D88">
        <w:t>distribution of cost</w:t>
      </w:r>
      <w:r w:rsidR="009A419C">
        <w:t xml:space="preserve"> in 2022-23, the percentage change and </w:t>
      </w:r>
      <w:r w:rsidR="00073D31">
        <w:t>actual</w:t>
      </w:r>
      <w:r w:rsidR="007807CF">
        <w:t xml:space="preserve"> </w:t>
      </w:r>
      <w:r w:rsidR="009A419C">
        <w:t>change by cost bucket</w:t>
      </w:r>
      <w:r w:rsidR="007F3D88">
        <w:t xml:space="preserve"> </w:t>
      </w:r>
      <w:r w:rsidR="00E6386A">
        <w:t>f</w:t>
      </w:r>
      <w:r w:rsidR="009A419C">
        <w:t>rom 2021-22 to</w:t>
      </w:r>
      <w:r w:rsidR="00E6386A">
        <w:t xml:space="preserve"> </w:t>
      </w:r>
      <w:r w:rsidR="008D6DCB">
        <w:t>2022-23</w:t>
      </w:r>
      <w:r w:rsidR="009A419C">
        <w:t>.</w:t>
      </w:r>
      <w:r w:rsidR="009156E0">
        <w:t xml:space="preserve"> </w:t>
      </w:r>
      <w:r w:rsidR="009156E0" w:rsidRPr="00A42FF4">
        <w:t>The nursing, operating room, medical, on-costs and clinical supplies cost buckets accounted for 61% of the average cost per admitted acute separation nationally.</w:t>
      </w:r>
      <w:r w:rsidR="009156E0">
        <w:t xml:space="preserve"> </w:t>
      </w:r>
      <w:bookmarkStart w:id="116" w:name="_Hlk189118967"/>
      <w:r w:rsidR="009A419C">
        <w:t xml:space="preserve">The </w:t>
      </w:r>
      <w:r w:rsidR="009462D1">
        <w:t>last column</w:t>
      </w:r>
      <w:r w:rsidR="009A419C">
        <w:t xml:space="preserve"> shows the proportion </w:t>
      </w:r>
      <w:r w:rsidR="00143769">
        <w:t xml:space="preserve">the actual change in each </w:t>
      </w:r>
      <w:r w:rsidR="009A419C">
        <w:t>cost bucket</w:t>
      </w:r>
      <w:r w:rsidR="00291034">
        <w:t xml:space="preserve"> </w:t>
      </w:r>
      <w:r w:rsidR="009A419C">
        <w:t>contributes to the total actual</w:t>
      </w:r>
      <w:r w:rsidR="00EC15FB">
        <w:t xml:space="preserve"> </w:t>
      </w:r>
      <w:r w:rsidR="009A419C">
        <w:t>change</w:t>
      </w:r>
      <w:r w:rsidR="008D6DCB">
        <w:t xml:space="preserve"> </w:t>
      </w:r>
      <w:r w:rsidR="00400BE5">
        <w:t xml:space="preserve">between </w:t>
      </w:r>
      <w:r w:rsidR="008D6DCB">
        <w:t xml:space="preserve">2021-22 </w:t>
      </w:r>
      <w:r w:rsidR="00400BE5">
        <w:t xml:space="preserve">and </w:t>
      </w:r>
      <w:r w:rsidR="008D6DCB">
        <w:t>2022-23.</w:t>
      </w:r>
      <w:bookmarkEnd w:id="116"/>
      <w:r w:rsidR="008D6DCB">
        <w:t xml:space="preserve"> The </w:t>
      </w:r>
      <w:r w:rsidR="00D836A8" w:rsidRPr="00A42FF4">
        <w:t>nursing, on-costs, and medical cost buckets accounted for $207 (or 48%) of the $431 increase in average cost per admitted acute separation nationally</w:t>
      </w:r>
      <w:r w:rsidR="009156E0">
        <w:t>.</w:t>
      </w:r>
    </w:p>
    <w:p w14:paraId="5DEC5031" w14:textId="766E806F" w:rsidR="00D836A8" w:rsidRPr="00AF182D" w:rsidRDefault="001D0F17" w:rsidP="00296833">
      <w:pPr>
        <w:pStyle w:val="TableFigureheading"/>
        <w:rPr>
          <w:rFonts w:cstheme="majorBidi"/>
          <w:lang w:val="en-PH"/>
        </w:rPr>
      </w:pPr>
      <w:bookmarkStart w:id="117" w:name="_Ref185834676"/>
      <w:bookmarkStart w:id="118" w:name="_Toc185852214"/>
      <w:bookmarkStart w:id="119" w:name="_Toc187312133"/>
      <w:r>
        <w:rPr>
          <w:rFonts w:cstheme="majorBidi"/>
          <w:szCs w:val="22"/>
          <w:lang w:val="en-PH"/>
        </w:rPr>
        <w:t xml:space="preserve">Table </w:t>
      </w:r>
      <w:r>
        <w:rPr>
          <w:rFonts w:cstheme="majorBidi"/>
          <w:szCs w:val="22"/>
          <w:lang w:val="en-PH"/>
        </w:rPr>
        <w:fldChar w:fldCharType="begin"/>
      </w:r>
      <w:r>
        <w:rPr>
          <w:rFonts w:cstheme="majorBidi"/>
          <w:szCs w:val="22"/>
          <w:lang w:val="en-PH"/>
        </w:rPr>
        <w:instrText xml:space="preserve"> SEQ Table \* ARABIC </w:instrText>
      </w:r>
      <w:r>
        <w:rPr>
          <w:rFonts w:cstheme="majorBidi"/>
          <w:szCs w:val="22"/>
          <w:lang w:val="en-PH"/>
        </w:rPr>
        <w:fldChar w:fldCharType="separate"/>
      </w:r>
      <w:r w:rsidR="003523AB">
        <w:rPr>
          <w:rFonts w:cstheme="majorBidi"/>
          <w:noProof/>
          <w:szCs w:val="22"/>
          <w:lang w:val="en-PH"/>
        </w:rPr>
        <w:t>7</w:t>
      </w:r>
      <w:r>
        <w:rPr>
          <w:rFonts w:cstheme="majorBidi"/>
          <w:szCs w:val="22"/>
          <w:lang w:val="en-PH"/>
        </w:rPr>
        <w:fldChar w:fldCharType="end"/>
      </w:r>
      <w:bookmarkEnd w:id="117"/>
      <w:r>
        <w:rPr>
          <w:rFonts w:cstheme="majorBidi"/>
          <w:szCs w:val="22"/>
          <w:lang w:val="en-PH"/>
        </w:rPr>
        <w:t>:</w:t>
      </w:r>
      <w:r w:rsidR="00D836A8" w:rsidRPr="0093558C">
        <w:rPr>
          <w:rFonts w:cstheme="majorBidi"/>
          <w:szCs w:val="22"/>
          <w:lang w:val="en-PH"/>
        </w:rPr>
        <w:t xml:space="preserve"> </w:t>
      </w:r>
      <w:r w:rsidR="00103836">
        <w:rPr>
          <w:rFonts w:cstheme="majorBidi"/>
          <w:szCs w:val="22"/>
          <w:lang w:val="en-PH"/>
        </w:rPr>
        <w:t xml:space="preserve">National </w:t>
      </w:r>
      <w:r w:rsidR="00311FA0">
        <w:rPr>
          <w:rFonts w:cstheme="majorBidi"/>
          <w:szCs w:val="22"/>
          <w:lang w:val="en-PH"/>
        </w:rPr>
        <w:t xml:space="preserve">average cost per </w:t>
      </w:r>
      <w:r w:rsidR="00103836">
        <w:rPr>
          <w:rFonts w:cstheme="majorBidi"/>
          <w:szCs w:val="22"/>
          <w:lang w:val="en-PH"/>
        </w:rPr>
        <w:t>a</w:t>
      </w:r>
      <w:r w:rsidR="003B3BF1">
        <w:rPr>
          <w:rFonts w:cstheme="majorBidi"/>
          <w:szCs w:val="22"/>
          <w:lang w:val="en-PH"/>
        </w:rPr>
        <w:t>dmitted acute</w:t>
      </w:r>
      <w:r w:rsidR="003B3BF1" w:rsidRPr="0093558C">
        <w:rPr>
          <w:rFonts w:cstheme="majorBidi"/>
          <w:szCs w:val="22"/>
          <w:lang w:val="en-PH"/>
        </w:rPr>
        <w:t xml:space="preserve"> </w:t>
      </w:r>
      <w:r w:rsidR="00311FA0">
        <w:rPr>
          <w:rFonts w:cstheme="majorBidi"/>
          <w:szCs w:val="22"/>
          <w:lang w:val="en-PH"/>
        </w:rPr>
        <w:t xml:space="preserve">separation </w:t>
      </w:r>
      <w:r w:rsidR="00103836">
        <w:rPr>
          <w:rFonts w:cstheme="majorBidi"/>
          <w:szCs w:val="22"/>
          <w:lang w:val="en-PH"/>
        </w:rPr>
        <w:t xml:space="preserve">by </w:t>
      </w:r>
      <w:r w:rsidR="00D836A8" w:rsidRPr="0093558C">
        <w:rPr>
          <w:rFonts w:cstheme="majorBidi"/>
          <w:szCs w:val="22"/>
          <w:lang w:val="en-PH"/>
        </w:rPr>
        <w:t xml:space="preserve">cost bucket, </w:t>
      </w:r>
      <w:r w:rsidR="00D836A8" w:rsidRPr="008B2CD8">
        <w:rPr>
          <w:rFonts w:cstheme="majorBidi"/>
          <w:szCs w:val="22"/>
          <w:lang w:val="en-PH"/>
        </w:rPr>
        <w:t>202</w:t>
      </w:r>
      <w:r w:rsidR="00D836A8">
        <w:rPr>
          <w:rFonts w:cstheme="majorBidi"/>
          <w:szCs w:val="22"/>
          <w:lang w:val="en-PH"/>
        </w:rPr>
        <w:t>2</w:t>
      </w:r>
      <w:r w:rsidR="00D836A8" w:rsidRPr="008B2CD8">
        <w:rPr>
          <w:rFonts w:cstheme="majorBidi"/>
          <w:szCs w:val="22"/>
          <w:lang w:val="en-PH"/>
        </w:rPr>
        <w:t>-2</w:t>
      </w:r>
      <w:r w:rsidR="00D836A8">
        <w:rPr>
          <w:rFonts w:cstheme="majorBidi"/>
          <w:szCs w:val="22"/>
          <w:lang w:val="en-PH"/>
        </w:rPr>
        <w:t>3</w:t>
      </w:r>
      <w:bookmarkEnd w:id="118"/>
      <w:bookmarkEnd w:id="119"/>
    </w:p>
    <w:p w14:paraId="6EAF66EB" w14:textId="2A14C818" w:rsidR="0073580C" w:rsidRPr="0007638E" w:rsidRDefault="0073580C" w:rsidP="00AF182D">
      <w:pPr>
        <w:jc w:val="center"/>
        <w:rPr>
          <w:highlight w:val="yellow"/>
        </w:rPr>
      </w:pPr>
      <w:bookmarkStart w:id="120" w:name="_Hlk184814853"/>
      <w:r>
        <w:rPr>
          <w:noProof/>
        </w:rPr>
        <w:drawing>
          <wp:inline distT="0" distB="0" distL="0" distR="0" wp14:anchorId="248AD89C" wp14:editId="15B2C547">
            <wp:extent cx="6082384" cy="3224675"/>
            <wp:effectExtent l="0" t="0" r="0" b="0"/>
            <wp:docPr id="183306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69365" name=""/>
                    <pic:cNvPicPr/>
                  </pic:nvPicPr>
                  <pic:blipFill>
                    <a:blip r:embed="rId31"/>
                    <a:stretch>
                      <a:fillRect/>
                    </a:stretch>
                  </pic:blipFill>
                  <pic:spPr>
                    <a:xfrm>
                      <a:off x="0" y="0"/>
                      <a:ext cx="6085186" cy="3226161"/>
                    </a:xfrm>
                    <a:prstGeom prst="rect">
                      <a:avLst/>
                    </a:prstGeom>
                  </pic:spPr>
                </pic:pic>
              </a:graphicData>
            </a:graphic>
          </wp:inline>
        </w:drawing>
      </w:r>
    </w:p>
    <w:bookmarkEnd w:id="120"/>
    <w:p w14:paraId="15BE55FC" w14:textId="6FB6E568" w:rsidR="009E1717" w:rsidRDefault="009E1717" w:rsidP="00FA39AE">
      <w:pPr>
        <w:pStyle w:val="Heading3"/>
        <w:rPr>
          <w:color w:val="auto"/>
        </w:rPr>
      </w:pPr>
      <w:r w:rsidRPr="000F21B4">
        <w:rPr>
          <w:sz w:val="28"/>
          <w:szCs w:val="28"/>
        </w:rPr>
        <w:t xml:space="preserve">Admitted acute </w:t>
      </w:r>
      <w:r>
        <w:rPr>
          <w:sz w:val="28"/>
          <w:szCs w:val="28"/>
        </w:rPr>
        <w:t>line items</w:t>
      </w:r>
    </w:p>
    <w:p w14:paraId="6CCB9B25" w14:textId="0EDF50A8" w:rsidR="001769F5" w:rsidRPr="00A42FF4" w:rsidRDefault="00CC5738" w:rsidP="00A32EB6">
      <w:pPr>
        <w:spacing w:line="276" w:lineRule="auto"/>
        <w:rPr>
          <w:rFonts w:cstheme="majorBidi"/>
          <w:lang w:val="en-PH"/>
        </w:rPr>
      </w:pPr>
      <w:r w:rsidRPr="00CC5738">
        <w:rPr>
          <w:rFonts w:cs="Arial"/>
        </w:rPr>
        <w:fldChar w:fldCharType="begin"/>
      </w:r>
      <w:r w:rsidRPr="00CC5738">
        <w:rPr>
          <w:rFonts w:cs="Arial"/>
        </w:rPr>
        <w:instrText xml:space="preserve"> REF _Ref185834750 \h </w:instrText>
      </w:r>
      <w:r w:rsidRPr="00CC5738">
        <w:rPr>
          <w:rFonts w:cs="Arial"/>
        </w:rPr>
      </w:r>
      <w:r w:rsidRPr="00CC5738">
        <w:rPr>
          <w:rFonts w:cs="Arial"/>
        </w:rPr>
        <w:fldChar w:fldCharType="separate"/>
      </w:r>
      <w:r w:rsidRPr="00296833">
        <w:rPr>
          <w:rFonts w:cstheme="majorBidi"/>
          <w:lang w:val="en-PH"/>
        </w:rPr>
        <w:t xml:space="preserve">Figure </w:t>
      </w:r>
      <w:r w:rsidRPr="00296833">
        <w:rPr>
          <w:rFonts w:cstheme="majorBidi"/>
          <w:noProof/>
          <w:lang w:val="en-PH"/>
        </w:rPr>
        <w:t>8</w:t>
      </w:r>
      <w:r w:rsidRPr="00CC5738">
        <w:rPr>
          <w:rFonts w:cs="Arial"/>
        </w:rPr>
        <w:fldChar w:fldCharType="end"/>
      </w:r>
      <w:r w:rsidR="0072141C" w:rsidRPr="00CC5738">
        <w:rPr>
          <w:rFonts w:cs="Arial"/>
        </w:rPr>
        <w:t xml:space="preserve"> </w:t>
      </w:r>
      <w:r w:rsidR="0063669D" w:rsidRPr="00CC5738">
        <w:rPr>
          <w:rFonts w:cs="Arial"/>
        </w:rPr>
        <w:t xml:space="preserve">shows </w:t>
      </w:r>
      <w:r w:rsidR="0063669D" w:rsidRPr="00A42FF4">
        <w:rPr>
          <w:rFonts w:cs="Arial"/>
        </w:rPr>
        <w:t xml:space="preserve">the </w:t>
      </w:r>
      <w:r w:rsidR="004D4E51">
        <w:rPr>
          <w:rFonts w:cs="Arial"/>
        </w:rPr>
        <w:t xml:space="preserve">top </w:t>
      </w:r>
      <w:proofErr w:type="gramStart"/>
      <w:r w:rsidR="004D4E51">
        <w:rPr>
          <w:rFonts w:cs="Arial"/>
        </w:rPr>
        <w:t>10 line</w:t>
      </w:r>
      <w:proofErr w:type="gramEnd"/>
      <w:r w:rsidR="004D4E51">
        <w:rPr>
          <w:rFonts w:cs="Arial"/>
        </w:rPr>
        <w:t xml:space="preserve"> items contributing to the </w:t>
      </w:r>
      <w:r w:rsidR="00963F78">
        <w:rPr>
          <w:rFonts w:cs="Arial"/>
        </w:rPr>
        <w:t xml:space="preserve">national </w:t>
      </w:r>
      <w:r w:rsidR="0063669D" w:rsidRPr="00A42FF4">
        <w:rPr>
          <w:rFonts w:cs="Arial"/>
        </w:rPr>
        <w:t>admitted acute average cost</w:t>
      </w:r>
      <w:r w:rsidR="004D4E51">
        <w:rPr>
          <w:rFonts w:cs="Arial"/>
        </w:rPr>
        <w:t xml:space="preserve"> for </w:t>
      </w:r>
      <w:r w:rsidR="008E4A28">
        <w:rPr>
          <w:rFonts w:cs="Arial"/>
        </w:rPr>
        <w:t>2022-23</w:t>
      </w:r>
      <w:r w:rsidR="001769F5" w:rsidRPr="00A42FF4">
        <w:rPr>
          <w:rFonts w:cs="Arial"/>
        </w:rPr>
        <w:t>,</w:t>
      </w:r>
      <w:r w:rsidR="00115302">
        <w:rPr>
          <w:rFonts w:cs="Arial"/>
        </w:rPr>
        <w:t xml:space="preserve"> in comparison </w:t>
      </w:r>
      <w:r w:rsidR="00433FB6">
        <w:rPr>
          <w:rFonts w:cs="Arial"/>
        </w:rPr>
        <w:t>to</w:t>
      </w:r>
      <w:r w:rsidR="00115302">
        <w:rPr>
          <w:rFonts w:cs="Arial"/>
        </w:rPr>
        <w:t xml:space="preserve"> </w:t>
      </w:r>
      <w:r w:rsidR="0063669D" w:rsidRPr="00A42FF4">
        <w:rPr>
          <w:rFonts w:cs="Arial"/>
        </w:rPr>
        <w:t>2020</w:t>
      </w:r>
      <w:r w:rsidR="00012BF3">
        <w:rPr>
          <w:rFonts w:cs="Arial"/>
        </w:rPr>
        <w:noBreakHyphen/>
      </w:r>
      <w:r w:rsidR="0063669D" w:rsidRPr="00A42FF4">
        <w:rPr>
          <w:rFonts w:cs="Arial"/>
        </w:rPr>
        <w:t xml:space="preserve">21 </w:t>
      </w:r>
      <w:r w:rsidR="00115302">
        <w:rPr>
          <w:rFonts w:cstheme="majorBidi"/>
          <w:lang w:val="en-PH"/>
        </w:rPr>
        <w:t>and 2021-22</w:t>
      </w:r>
      <w:r w:rsidR="00D47578" w:rsidRPr="00A42FF4">
        <w:rPr>
          <w:rFonts w:cstheme="majorBidi"/>
          <w:lang w:val="en-PH"/>
        </w:rPr>
        <w:t>.</w:t>
      </w:r>
      <w:r w:rsidR="00F44DA7" w:rsidRPr="00A42FF4">
        <w:rPr>
          <w:rFonts w:cstheme="majorBidi"/>
          <w:lang w:val="en-PH"/>
        </w:rPr>
        <w:t xml:space="preserve"> </w:t>
      </w:r>
      <w:r w:rsidR="003B3BF1">
        <w:rPr>
          <w:rFonts w:cs="Arial"/>
        </w:rPr>
        <w:t>Further detail on</w:t>
      </w:r>
      <w:r w:rsidR="0029216B" w:rsidRPr="00A42FF4">
        <w:rPr>
          <w:rFonts w:cs="Arial"/>
        </w:rPr>
        <w:t xml:space="preserve"> all</w:t>
      </w:r>
      <w:r w:rsidR="0029216B">
        <w:rPr>
          <w:rFonts w:cs="Arial"/>
        </w:rPr>
        <w:t xml:space="preserve"> admitted</w:t>
      </w:r>
      <w:r w:rsidR="0029216B" w:rsidRPr="00A42FF4">
        <w:rPr>
          <w:rFonts w:cs="Arial"/>
        </w:rPr>
        <w:t xml:space="preserve"> </w:t>
      </w:r>
      <w:r w:rsidR="0029216B">
        <w:rPr>
          <w:rFonts w:cs="Arial"/>
        </w:rPr>
        <w:t xml:space="preserve">acute cost by line item is available </w:t>
      </w:r>
      <w:r w:rsidR="0029216B" w:rsidRPr="00A42FF4">
        <w:rPr>
          <w:rFonts w:cs="Arial"/>
        </w:rPr>
        <w:t xml:space="preserve">in the </w:t>
      </w:r>
      <w:hyperlink r:id="rId32" w:history="1">
        <w:r w:rsidR="0029216B" w:rsidRPr="00A42FF4">
          <w:rPr>
            <w:rStyle w:val="Hyperlink"/>
          </w:rPr>
          <w:t>Appendix Tables</w:t>
        </w:r>
      </w:hyperlink>
      <w:r w:rsidR="0029216B" w:rsidRPr="00A42FF4">
        <w:rPr>
          <w:rFonts w:cs="Arial"/>
        </w:rPr>
        <w:t>.</w:t>
      </w:r>
      <w:r w:rsidR="0029216B">
        <w:rPr>
          <w:rFonts w:cs="Arial"/>
        </w:rPr>
        <w:t xml:space="preserve"> </w:t>
      </w:r>
    </w:p>
    <w:p w14:paraId="7B08E7A5" w14:textId="5CDAF225" w:rsidR="00340EF8" w:rsidRDefault="0029308A" w:rsidP="00296833">
      <w:pPr>
        <w:pStyle w:val="TableFigureheading"/>
        <w:rPr>
          <w:lang w:val="en-PH"/>
        </w:rPr>
      </w:pPr>
      <w:bookmarkStart w:id="121" w:name="_Ref185834750"/>
      <w:bookmarkStart w:id="122" w:name="_Toc187312104"/>
      <w:r w:rsidRPr="0093558C">
        <w:rPr>
          <w:lang w:val="en-PH"/>
        </w:rPr>
        <w:t xml:space="preserve">Figure </w:t>
      </w:r>
      <w:r w:rsidRPr="0093558C">
        <w:rPr>
          <w:sz w:val="20"/>
          <w:lang w:val="en-PH"/>
        </w:rPr>
        <w:fldChar w:fldCharType="begin"/>
      </w:r>
      <w:r w:rsidRPr="0093558C">
        <w:rPr>
          <w:lang w:val="en-PH"/>
        </w:rPr>
        <w:instrText xml:space="preserve"> SEQ Figure \* ARABIC </w:instrText>
      </w:r>
      <w:r w:rsidRPr="0093558C">
        <w:rPr>
          <w:sz w:val="20"/>
          <w:lang w:val="en-PH"/>
        </w:rPr>
        <w:fldChar w:fldCharType="separate"/>
      </w:r>
      <w:r w:rsidR="00CC5738">
        <w:rPr>
          <w:noProof/>
          <w:lang w:val="en-PH"/>
        </w:rPr>
        <w:t>8</w:t>
      </w:r>
      <w:r w:rsidRPr="0093558C">
        <w:rPr>
          <w:sz w:val="20"/>
          <w:lang w:val="en-PH"/>
        </w:rPr>
        <w:fldChar w:fldCharType="end"/>
      </w:r>
      <w:bookmarkEnd w:id="121"/>
      <w:r w:rsidRPr="0093558C">
        <w:rPr>
          <w:lang w:val="en-PH"/>
        </w:rPr>
        <w:t xml:space="preserve">: </w:t>
      </w:r>
      <w:r w:rsidR="007B14D7">
        <w:rPr>
          <w:lang w:val="en-PH"/>
        </w:rPr>
        <w:t xml:space="preserve">Top </w:t>
      </w:r>
      <w:proofErr w:type="gramStart"/>
      <w:r w:rsidR="007B14D7">
        <w:rPr>
          <w:lang w:val="en-PH"/>
        </w:rPr>
        <w:t>10 line</w:t>
      </w:r>
      <w:proofErr w:type="gramEnd"/>
      <w:r w:rsidR="007B14D7">
        <w:rPr>
          <w:lang w:val="en-PH"/>
        </w:rPr>
        <w:t xml:space="preserve"> items in </w:t>
      </w:r>
      <w:r w:rsidR="00984086">
        <w:rPr>
          <w:lang w:val="en-PH"/>
        </w:rPr>
        <w:t>admitted acute</w:t>
      </w:r>
      <w:r w:rsidR="00272E4E">
        <w:rPr>
          <w:lang w:val="en-PH"/>
        </w:rPr>
        <w:t xml:space="preserve"> separation</w:t>
      </w:r>
      <w:r w:rsidR="00485C2C">
        <w:rPr>
          <w:lang w:val="en-PH"/>
        </w:rPr>
        <w:t>s</w:t>
      </w:r>
      <w:r w:rsidRPr="0093558C">
        <w:rPr>
          <w:lang w:val="en-PH"/>
        </w:rPr>
        <w:t xml:space="preserve">, </w:t>
      </w:r>
      <w:r w:rsidRPr="00D73FCC">
        <w:rPr>
          <w:lang w:val="en-PH"/>
        </w:rPr>
        <w:t>2020-21</w:t>
      </w:r>
      <w:r w:rsidRPr="0093558C">
        <w:rPr>
          <w:lang w:val="en-PH"/>
        </w:rPr>
        <w:t xml:space="preserve"> to </w:t>
      </w:r>
      <w:r w:rsidRPr="008B2CD8">
        <w:rPr>
          <w:lang w:val="en-PH"/>
        </w:rPr>
        <w:t>202</w:t>
      </w:r>
      <w:r>
        <w:rPr>
          <w:lang w:val="en-PH"/>
        </w:rPr>
        <w:t>2</w:t>
      </w:r>
      <w:r w:rsidRPr="008B2CD8">
        <w:rPr>
          <w:lang w:val="en-PH"/>
        </w:rPr>
        <w:t>-2</w:t>
      </w:r>
      <w:r>
        <w:rPr>
          <w:lang w:val="en-PH"/>
        </w:rPr>
        <w:t>3</w:t>
      </w:r>
      <w:bookmarkEnd w:id="122"/>
    </w:p>
    <w:p w14:paraId="2BC22F97" w14:textId="77777777" w:rsidR="007136F3" w:rsidRDefault="00DA1E98">
      <w:pPr>
        <w:spacing w:line="259" w:lineRule="auto"/>
        <w:rPr>
          <w:rFonts w:cs="Arial"/>
        </w:rPr>
      </w:pPr>
      <w:r>
        <w:rPr>
          <w:noProof/>
        </w:rPr>
        <w:drawing>
          <wp:inline distT="0" distB="0" distL="0" distR="0" wp14:anchorId="2850BD7C" wp14:editId="52F37E67">
            <wp:extent cx="6188710" cy="2520000"/>
            <wp:effectExtent l="0" t="0" r="0" b="0"/>
            <wp:docPr id="1673631735" name="Chart 1">
              <a:extLst xmlns:a="http://schemas.openxmlformats.org/drawingml/2006/main">
                <a:ext uri="{FF2B5EF4-FFF2-40B4-BE49-F238E27FC236}">
                  <a16:creationId xmlns:a16="http://schemas.microsoft.com/office/drawing/2014/main" id="{119815AF-5962-4120-A863-BCD66CA29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79C4DE" w14:textId="4EACC2AF" w:rsidR="00C17FB6" w:rsidRDefault="003523AB" w:rsidP="00F25099">
      <w:pPr>
        <w:spacing w:line="276" w:lineRule="auto"/>
        <w:rPr>
          <w:rFonts w:cs="Arial"/>
        </w:rPr>
      </w:pPr>
      <w:r>
        <w:rPr>
          <w:rFonts w:cs="Arial"/>
        </w:rPr>
        <w:lastRenderedPageBreak/>
        <w:fldChar w:fldCharType="begin"/>
      </w:r>
      <w:r>
        <w:rPr>
          <w:rFonts w:cs="Arial"/>
        </w:rPr>
        <w:instrText xml:space="preserve"> REF _Ref185835112 \h </w:instrText>
      </w:r>
      <w:r>
        <w:rPr>
          <w:rFonts w:cs="Arial"/>
        </w:rPr>
      </w:r>
      <w:r>
        <w:rPr>
          <w:rFonts w:cs="Arial"/>
        </w:rPr>
        <w:fldChar w:fldCharType="separate"/>
      </w:r>
      <w:r>
        <w:rPr>
          <w:rFonts w:cstheme="majorBidi"/>
          <w:lang w:val="en-PH"/>
        </w:rPr>
        <w:t xml:space="preserve">Table </w:t>
      </w:r>
      <w:r>
        <w:rPr>
          <w:rFonts w:cstheme="majorBidi"/>
          <w:noProof/>
          <w:lang w:val="en-PH"/>
        </w:rPr>
        <w:t>8</w:t>
      </w:r>
      <w:r>
        <w:rPr>
          <w:rFonts w:cs="Arial"/>
        </w:rPr>
        <w:fldChar w:fldCharType="end"/>
      </w:r>
      <w:r w:rsidR="00D47578" w:rsidRPr="00A42FF4">
        <w:rPr>
          <w:rFonts w:cs="Arial"/>
        </w:rPr>
        <w:t xml:space="preserve"> </w:t>
      </w:r>
      <w:r w:rsidR="008D6DCB" w:rsidRPr="00A42FF4">
        <w:rPr>
          <w:rFonts w:cs="Arial"/>
        </w:rPr>
        <w:t xml:space="preserve">shows the </w:t>
      </w:r>
      <w:r w:rsidR="008D6DCB">
        <w:rPr>
          <w:rFonts w:cs="Arial"/>
        </w:rPr>
        <w:t>average cost for 2021-22</w:t>
      </w:r>
      <w:r w:rsidR="00E6386A">
        <w:rPr>
          <w:rFonts w:cs="Arial"/>
        </w:rPr>
        <w:t xml:space="preserve"> and</w:t>
      </w:r>
      <w:r w:rsidR="008D6DCB">
        <w:rPr>
          <w:rFonts w:cs="Arial"/>
        </w:rPr>
        <w:t xml:space="preserve"> 2022-23, </w:t>
      </w:r>
      <w:r w:rsidR="00A31B99">
        <w:rPr>
          <w:rFonts w:cs="Arial"/>
        </w:rPr>
        <w:t xml:space="preserve">distribution </w:t>
      </w:r>
      <w:r w:rsidR="008D6DCB">
        <w:rPr>
          <w:rFonts w:cs="Arial"/>
        </w:rPr>
        <w:t xml:space="preserve">of cost </w:t>
      </w:r>
      <w:r w:rsidR="00A31B99">
        <w:rPr>
          <w:rFonts w:cs="Arial"/>
        </w:rPr>
        <w:t xml:space="preserve">in </w:t>
      </w:r>
      <w:r w:rsidR="008D6DCB">
        <w:rPr>
          <w:rFonts w:cs="Arial"/>
        </w:rPr>
        <w:t xml:space="preserve">2022-23, </w:t>
      </w:r>
      <w:r w:rsidR="00A31B99">
        <w:rPr>
          <w:rFonts w:cs="Arial"/>
        </w:rPr>
        <w:t xml:space="preserve">percentage change and actual </w:t>
      </w:r>
      <w:r w:rsidR="008D6DCB">
        <w:rPr>
          <w:rFonts w:cs="Arial"/>
        </w:rPr>
        <w:t>change</w:t>
      </w:r>
      <w:r w:rsidR="00A31B99">
        <w:rPr>
          <w:rFonts w:cs="Arial"/>
        </w:rPr>
        <w:t xml:space="preserve"> by line item from 2021-22 to 2022-2</w:t>
      </w:r>
      <w:r w:rsidR="00BD25FF">
        <w:rPr>
          <w:rFonts w:cs="Arial"/>
        </w:rPr>
        <w:t>3</w:t>
      </w:r>
      <w:r w:rsidR="00A31B99">
        <w:rPr>
          <w:rFonts w:cs="Arial"/>
        </w:rPr>
        <w:t>.</w:t>
      </w:r>
      <w:r w:rsidR="008D6DCB">
        <w:rPr>
          <w:rFonts w:cs="Arial"/>
        </w:rPr>
        <w:t xml:space="preserve"> </w:t>
      </w:r>
      <w:r w:rsidR="009156E0" w:rsidRPr="00A42FF4">
        <w:rPr>
          <w:rFonts w:cs="Arial"/>
        </w:rPr>
        <w:t xml:space="preserve">The salary </w:t>
      </w:r>
      <w:r w:rsidR="009156E0">
        <w:rPr>
          <w:rFonts w:cs="Arial"/>
        </w:rPr>
        <w:t>and</w:t>
      </w:r>
      <w:r w:rsidR="009156E0" w:rsidRPr="00A42FF4">
        <w:rPr>
          <w:rFonts w:cs="Arial"/>
        </w:rPr>
        <w:t xml:space="preserve"> wages nursing, salary </w:t>
      </w:r>
      <w:r w:rsidR="009156E0">
        <w:rPr>
          <w:rFonts w:cs="Arial"/>
        </w:rPr>
        <w:t>and</w:t>
      </w:r>
      <w:r w:rsidR="009156E0" w:rsidRPr="00A42FF4">
        <w:rPr>
          <w:rFonts w:cs="Arial"/>
        </w:rPr>
        <w:t xml:space="preserve"> wages medical (non</w:t>
      </w:r>
      <w:r w:rsidR="009156E0">
        <w:rPr>
          <w:rFonts w:cs="Arial"/>
        </w:rPr>
        <w:t> </w:t>
      </w:r>
      <w:r w:rsidR="009156E0" w:rsidRPr="00A42FF4">
        <w:rPr>
          <w:rFonts w:cs="Arial"/>
        </w:rPr>
        <w:t xml:space="preserve">VMO), salary </w:t>
      </w:r>
      <w:r w:rsidR="009156E0">
        <w:rPr>
          <w:rFonts w:cs="Arial"/>
        </w:rPr>
        <w:t>and</w:t>
      </w:r>
      <w:r w:rsidR="009156E0" w:rsidRPr="00A42FF4">
        <w:rPr>
          <w:rFonts w:cs="Arial"/>
        </w:rPr>
        <w:t xml:space="preserve"> wages other, goods and services, and on-costs </w:t>
      </w:r>
      <w:r w:rsidR="009156E0">
        <w:rPr>
          <w:rFonts w:cs="Arial"/>
        </w:rPr>
        <w:t xml:space="preserve">line items </w:t>
      </w:r>
      <w:r w:rsidR="009156E0" w:rsidRPr="00A42FF4">
        <w:rPr>
          <w:rFonts w:cs="Arial"/>
        </w:rPr>
        <w:t xml:space="preserve">accounted for </w:t>
      </w:r>
      <w:r w:rsidR="009156E0">
        <w:rPr>
          <w:rFonts w:cs="Arial"/>
        </w:rPr>
        <w:t>69</w:t>
      </w:r>
      <w:r w:rsidR="009156E0" w:rsidRPr="00A42FF4">
        <w:rPr>
          <w:rFonts w:cs="Arial"/>
        </w:rPr>
        <w:t>% of the average cost per admitted acute separation nationally</w:t>
      </w:r>
      <w:r w:rsidR="009156E0">
        <w:rPr>
          <w:rFonts w:cs="Arial"/>
        </w:rPr>
        <w:t xml:space="preserve">. </w:t>
      </w:r>
      <w:r w:rsidR="00A31B99">
        <w:rPr>
          <w:rFonts w:cs="Arial"/>
        </w:rPr>
        <w:t>T</w:t>
      </w:r>
      <w:r w:rsidR="008D6DCB">
        <w:rPr>
          <w:rFonts w:cs="Arial"/>
        </w:rPr>
        <w:t>he</w:t>
      </w:r>
      <w:r w:rsidR="00A31B99">
        <w:rPr>
          <w:rFonts w:cs="Arial"/>
        </w:rPr>
        <w:t xml:space="preserve"> </w:t>
      </w:r>
      <w:r w:rsidR="00217D61">
        <w:rPr>
          <w:rFonts w:cs="Arial"/>
        </w:rPr>
        <w:t>last</w:t>
      </w:r>
      <w:r w:rsidR="00F35F66">
        <w:rPr>
          <w:rFonts w:cs="Arial"/>
        </w:rPr>
        <w:t xml:space="preserve"> column</w:t>
      </w:r>
      <w:r w:rsidR="00E57140">
        <w:rPr>
          <w:rFonts w:cs="Arial"/>
        </w:rPr>
        <w:t xml:space="preserve"> </w:t>
      </w:r>
      <w:r w:rsidR="00A31B99">
        <w:rPr>
          <w:rFonts w:cs="Arial"/>
        </w:rPr>
        <w:t>shows the</w:t>
      </w:r>
      <w:r w:rsidR="008D6DCB">
        <w:rPr>
          <w:rFonts w:cs="Arial"/>
        </w:rPr>
        <w:t xml:space="preserve"> proportion </w:t>
      </w:r>
      <w:r w:rsidR="00A31B99">
        <w:rPr>
          <w:rFonts w:cs="Arial"/>
        </w:rPr>
        <w:t xml:space="preserve">the actual change in each line item contributes to the total actual change between </w:t>
      </w:r>
      <w:r w:rsidR="008D6DCB">
        <w:rPr>
          <w:rFonts w:cs="Arial"/>
        </w:rPr>
        <w:t xml:space="preserve">2021-22 </w:t>
      </w:r>
      <w:r w:rsidR="00A31B99">
        <w:rPr>
          <w:rFonts w:cs="Arial"/>
        </w:rPr>
        <w:t>and</w:t>
      </w:r>
      <w:r w:rsidR="008D6DCB">
        <w:rPr>
          <w:rFonts w:cs="Arial"/>
        </w:rPr>
        <w:t xml:space="preserve"> 2022-23. In </w:t>
      </w:r>
      <w:r w:rsidR="00D47578" w:rsidRPr="00A42FF4">
        <w:rPr>
          <w:rFonts w:cs="Arial"/>
        </w:rPr>
        <w:t xml:space="preserve">2022-23, </w:t>
      </w:r>
      <w:r w:rsidR="007E1A2D" w:rsidRPr="00A42FF4">
        <w:rPr>
          <w:rFonts w:cs="Arial"/>
        </w:rPr>
        <w:t>salary</w:t>
      </w:r>
      <w:r w:rsidR="00D47578" w:rsidRPr="00A42FF4">
        <w:rPr>
          <w:rFonts w:cs="Arial"/>
        </w:rPr>
        <w:t xml:space="preserve"> </w:t>
      </w:r>
      <w:r w:rsidR="00746A66">
        <w:rPr>
          <w:rFonts w:cs="Arial"/>
        </w:rPr>
        <w:t>and</w:t>
      </w:r>
      <w:r w:rsidR="00D47578" w:rsidRPr="00A42FF4">
        <w:rPr>
          <w:rFonts w:cs="Arial"/>
        </w:rPr>
        <w:t xml:space="preserve"> wages nursing, </w:t>
      </w:r>
      <w:r w:rsidR="007E1A2D" w:rsidRPr="00A42FF4">
        <w:rPr>
          <w:rFonts w:cs="Arial"/>
        </w:rPr>
        <w:t>salary</w:t>
      </w:r>
      <w:r w:rsidR="00D47578" w:rsidRPr="00A42FF4">
        <w:rPr>
          <w:rFonts w:cs="Arial"/>
        </w:rPr>
        <w:t xml:space="preserve"> </w:t>
      </w:r>
      <w:r w:rsidR="000304D4">
        <w:rPr>
          <w:rFonts w:cs="Arial"/>
        </w:rPr>
        <w:t>and</w:t>
      </w:r>
      <w:r w:rsidR="000304D4" w:rsidRPr="00A42FF4">
        <w:rPr>
          <w:rFonts w:cs="Arial"/>
        </w:rPr>
        <w:t xml:space="preserve"> </w:t>
      </w:r>
      <w:r w:rsidR="00D47578" w:rsidRPr="00A42FF4">
        <w:rPr>
          <w:rFonts w:cs="Arial"/>
        </w:rPr>
        <w:t>wages medical (</w:t>
      </w:r>
      <w:r w:rsidR="008D6DCB" w:rsidRPr="00A42FF4">
        <w:rPr>
          <w:rFonts w:cs="Arial"/>
        </w:rPr>
        <w:t>non</w:t>
      </w:r>
      <w:r w:rsidR="008D6DCB">
        <w:rPr>
          <w:rFonts w:cs="Arial"/>
        </w:rPr>
        <w:t> </w:t>
      </w:r>
      <w:r w:rsidR="00D47578" w:rsidRPr="00A42FF4">
        <w:rPr>
          <w:rFonts w:cs="Arial"/>
        </w:rPr>
        <w:t>VMO), and on-costs line items accounted for 64% of the $</w:t>
      </w:r>
      <w:r w:rsidR="008D6DCB">
        <w:rPr>
          <w:rFonts w:cs="Arial"/>
        </w:rPr>
        <w:t>431</w:t>
      </w:r>
      <w:r w:rsidR="008D6DCB" w:rsidRPr="00A42FF4">
        <w:rPr>
          <w:rFonts w:cs="Arial"/>
        </w:rPr>
        <w:t xml:space="preserve"> </w:t>
      </w:r>
      <w:r w:rsidR="00D47578" w:rsidRPr="00A42FF4">
        <w:rPr>
          <w:rFonts w:cs="Arial"/>
        </w:rPr>
        <w:t>increase in average cost per admitted acute separation.</w:t>
      </w:r>
      <w:r w:rsidR="008D6DCB">
        <w:rPr>
          <w:rFonts w:cs="Arial"/>
        </w:rPr>
        <w:t xml:space="preserve"> </w:t>
      </w:r>
    </w:p>
    <w:p w14:paraId="3E9446AB" w14:textId="0D0F57F9" w:rsidR="007136F3" w:rsidRPr="000B3FF9" w:rsidRDefault="003523AB" w:rsidP="00296833">
      <w:pPr>
        <w:pStyle w:val="TableFigureheading"/>
      </w:pPr>
      <w:bookmarkStart w:id="123" w:name="_Ref185835112"/>
      <w:bookmarkStart w:id="124" w:name="_Ref185834783"/>
      <w:bookmarkStart w:id="125" w:name="_Toc185852215"/>
      <w:bookmarkStart w:id="126" w:name="_Toc187312134"/>
      <w:r>
        <w:rPr>
          <w:lang w:val="en-PH"/>
        </w:rPr>
        <w:t xml:space="preserve">Table </w:t>
      </w:r>
      <w:r>
        <w:rPr>
          <w:lang w:val="en-PH"/>
        </w:rPr>
        <w:fldChar w:fldCharType="begin"/>
      </w:r>
      <w:r>
        <w:rPr>
          <w:lang w:val="en-PH"/>
        </w:rPr>
        <w:instrText xml:space="preserve"> SEQ Table \* ARABIC </w:instrText>
      </w:r>
      <w:r>
        <w:rPr>
          <w:lang w:val="en-PH"/>
        </w:rPr>
        <w:fldChar w:fldCharType="separate"/>
      </w:r>
      <w:r>
        <w:rPr>
          <w:noProof/>
          <w:lang w:val="en-PH"/>
        </w:rPr>
        <w:t>8</w:t>
      </w:r>
      <w:r>
        <w:rPr>
          <w:lang w:val="en-PH"/>
        </w:rPr>
        <w:fldChar w:fldCharType="end"/>
      </w:r>
      <w:bookmarkEnd w:id="123"/>
      <w:bookmarkEnd w:id="124"/>
      <w:r w:rsidR="00C17FB6" w:rsidRPr="000B3FF9">
        <w:rPr>
          <w:lang w:val="en-PH"/>
        </w:rPr>
        <w:t xml:space="preserve">: </w:t>
      </w:r>
      <w:r w:rsidR="00695800">
        <w:rPr>
          <w:lang w:val="en-PH"/>
        </w:rPr>
        <w:t xml:space="preserve">National </w:t>
      </w:r>
      <w:r w:rsidR="00D3679E">
        <w:rPr>
          <w:lang w:val="en-PH"/>
        </w:rPr>
        <w:t xml:space="preserve">average cost per </w:t>
      </w:r>
      <w:r w:rsidR="00695800">
        <w:rPr>
          <w:lang w:val="en-PH"/>
        </w:rPr>
        <w:t>a</w:t>
      </w:r>
      <w:r w:rsidR="003B3BF1" w:rsidRPr="007F7EEF">
        <w:rPr>
          <w:lang w:val="en-PH"/>
        </w:rPr>
        <w:t>dmitted acute</w:t>
      </w:r>
      <w:r w:rsidR="007F7EEF" w:rsidRPr="007F7EEF">
        <w:rPr>
          <w:lang w:val="en-PH"/>
        </w:rPr>
        <w:t xml:space="preserve"> </w:t>
      </w:r>
      <w:r w:rsidR="00D3679E">
        <w:rPr>
          <w:lang w:val="en-PH"/>
        </w:rPr>
        <w:t xml:space="preserve">separation </w:t>
      </w:r>
      <w:r w:rsidR="00695800">
        <w:rPr>
          <w:lang w:val="en-PH"/>
        </w:rPr>
        <w:t>by</w:t>
      </w:r>
      <w:r w:rsidR="003B3BF1" w:rsidRPr="007F7EEF">
        <w:rPr>
          <w:lang w:val="en-PH"/>
        </w:rPr>
        <w:t xml:space="preserve"> </w:t>
      </w:r>
      <w:r w:rsidR="00C17FB6" w:rsidRPr="000B3FF9">
        <w:rPr>
          <w:lang w:val="en-PH"/>
        </w:rPr>
        <w:t>line item, 2022-23</w:t>
      </w:r>
      <w:bookmarkEnd w:id="125"/>
      <w:bookmarkEnd w:id="126"/>
    </w:p>
    <w:p w14:paraId="75D7D300" w14:textId="722C644D" w:rsidR="009874C6" w:rsidRDefault="009874C6" w:rsidP="00AF182D">
      <w:pPr>
        <w:spacing w:line="259" w:lineRule="auto"/>
        <w:rPr>
          <w:rFonts w:cs="Arial"/>
          <w:color w:val="auto"/>
        </w:rPr>
      </w:pPr>
      <w:r>
        <w:rPr>
          <w:noProof/>
        </w:rPr>
        <w:drawing>
          <wp:inline distT="0" distB="0" distL="0" distR="0" wp14:anchorId="2C10DB54" wp14:editId="2B2C48DE">
            <wp:extent cx="6188710" cy="4114800"/>
            <wp:effectExtent l="0" t="0" r="2540" b="0"/>
            <wp:docPr id="117966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66978" name=""/>
                    <pic:cNvPicPr/>
                  </pic:nvPicPr>
                  <pic:blipFill>
                    <a:blip r:embed="rId34"/>
                    <a:stretch>
                      <a:fillRect/>
                    </a:stretch>
                  </pic:blipFill>
                  <pic:spPr>
                    <a:xfrm>
                      <a:off x="0" y="0"/>
                      <a:ext cx="6188710" cy="4114800"/>
                    </a:xfrm>
                    <a:prstGeom prst="rect">
                      <a:avLst/>
                    </a:prstGeom>
                  </pic:spPr>
                </pic:pic>
              </a:graphicData>
            </a:graphic>
          </wp:inline>
        </w:drawing>
      </w:r>
    </w:p>
    <w:p w14:paraId="7D751199" w14:textId="77777777" w:rsidR="00F44DA7" w:rsidRDefault="00F44DA7">
      <w:pPr>
        <w:spacing w:line="259" w:lineRule="auto"/>
        <w:rPr>
          <w:rFonts w:cs="Arial"/>
          <w:color w:val="auto"/>
        </w:rPr>
      </w:pPr>
      <w:r>
        <w:rPr>
          <w:rFonts w:cs="Arial"/>
          <w:color w:val="auto"/>
        </w:rPr>
        <w:br w:type="page"/>
      </w:r>
    </w:p>
    <w:p w14:paraId="7533AAF3" w14:textId="1735ECB9" w:rsidR="00E07B55" w:rsidRPr="00CE058E" w:rsidRDefault="00E07B55" w:rsidP="00A32EB6">
      <w:pPr>
        <w:pStyle w:val="Heading1"/>
        <w:numPr>
          <w:ilvl w:val="0"/>
          <w:numId w:val="45"/>
        </w:numPr>
        <w:rPr>
          <w:rFonts w:cs="Arial"/>
        </w:rPr>
      </w:pPr>
      <w:bookmarkStart w:id="127" w:name="_Toc158882609"/>
      <w:bookmarkStart w:id="128" w:name="_Toc144215449"/>
      <w:bookmarkStart w:id="129" w:name="_Toc144967656"/>
      <w:r w:rsidRPr="00CE058E">
        <w:rPr>
          <w:rFonts w:cs="Arial"/>
        </w:rPr>
        <w:lastRenderedPageBreak/>
        <w:t>Admitted subacute and non-acute</w:t>
      </w:r>
      <w:bookmarkEnd w:id="127"/>
    </w:p>
    <w:p w14:paraId="5A3224FC" w14:textId="77777777" w:rsidR="00E07B55" w:rsidRPr="00CE058E" w:rsidRDefault="00E07B55" w:rsidP="007B41F8">
      <w:pPr>
        <w:pStyle w:val="Heading2"/>
      </w:pPr>
      <w:bookmarkStart w:id="130" w:name="_Toc144215439"/>
      <w:bookmarkStart w:id="131" w:name="_Toc144967646"/>
      <w:bookmarkStart w:id="132" w:name="_Toc151129698"/>
      <w:bookmarkStart w:id="133" w:name="_Toc158882549"/>
      <w:bookmarkStart w:id="134" w:name="_Toc158882610"/>
      <w:r w:rsidRPr="00CE058E">
        <w:t>Summary</w:t>
      </w:r>
      <w:bookmarkEnd w:id="130"/>
      <w:bookmarkEnd w:id="131"/>
      <w:bookmarkEnd w:id="132"/>
      <w:bookmarkEnd w:id="133"/>
      <w:bookmarkEnd w:id="134"/>
    </w:p>
    <w:p w14:paraId="3556CB41" w14:textId="4E4CF20A" w:rsidR="00E07B55" w:rsidRPr="00A42FF4" w:rsidRDefault="00E07B55" w:rsidP="00BC4620">
      <w:pPr>
        <w:spacing w:line="276" w:lineRule="auto"/>
        <w:rPr>
          <w:rFonts w:cs="Arial"/>
        </w:rPr>
      </w:pPr>
      <w:r w:rsidRPr="00A42FF4">
        <w:rPr>
          <w:rFonts w:cs="Arial"/>
        </w:rPr>
        <w:t>This</w:t>
      </w:r>
      <w:r w:rsidR="009A42AD" w:rsidRPr="00A42FF4">
        <w:rPr>
          <w:rFonts w:cs="Arial"/>
        </w:rPr>
        <w:t xml:space="preserve"> chapter</w:t>
      </w:r>
      <w:r w:rsidRPr="00A42FF4">
        <w:rPr>
          <w:rFonts w:cs="Arial"/>
        </w:rPr>
        <w:t xml:space="preserve"> </w:t>
      </w:r>
      <w:r w:rsidR="006C715D" w:rsidRPr="00A42FF4">
        <w:rPr>
          <w:rFonts w:cs="Arial"/>
        </w:rPr>
        <w:t>outlines</w:t>
      </w:r>
      <w:r w:rsidRPr="00A42FF4">
        <w:rPr>
          <w:rFonts w:cs="Arial"/>
        </w:rPr>
        <w:t xml:space="preserve"> the </w:t>
      </w:r>
      <w:r w:rsidR="000F48D8">
        <w:rPr>
          <w:rFonts w:cs="Arial"/>
        </w:rPr>
        <w:t xml:space="preserve">in-scope </w:t>
      </w:r>
      <w:r w:rsidRPr="00A42FF4">
        <w:rPr>
          <w:rFonts w:cs="Arial"/>
        </w:rPr>
        <w:t xml:space="preserve">admitted </w:t>
      </w:r>
      <w:r w:rsidR="00D84CAB" w:rsidRPr="00A42FF4">
        <w:rPr>
          <w:rFonts w:cs="Arial"/>
        </w:rPr>
        <w:t xml:space="preserve">subacute and non-acute </w:t>
      </w:r>
      <w:r w:rsidRPr="00A42FF4">
        <w:rPr>
          <w:rFonts w:cs="Arial"/>
        </w:rPr>
        <w:t>activity, cost, and average cost per episode or phase</w:t>
      </w:r>
      <w:r w:rsidR="001255A2" w:rsidRPr="00A42FF4">
        <w:rPr>
          <w:rFonts w:cs="Arial"/>
        </w:rPr>
        <w:t>,</w:t>
      </w:r>
      <w:r w:rsidRPr="00A42FF4">
        <w:rPr>
          <w:rFonts w:cs="Arial"/>
        </w:rPr>
        <w:t xml:space="preserve"> from </w:t>
      </w:r>
      <w:r w:rsidR="00741BA0" w:rsidRPr="00A42FF4">
        <w:rPr>
          <w:rFonts w:cs="Arial"/>
        </w:rPr>
        <w:t>2020-21</w:t>
      </w:r>
      <w:r w:rsidRPr="00A42FF4">
        <w:rPr>
          <w:rFonts w:cs="Arial"/>
        </w:rPr>
        <w:t xml:space="preserve"> to </w:t>
      </w:r>
      <w:r w:rsidR="00A54617" w:rsidRPr="00A42FF4">
        <w:rPr>
          <w:rFonts w:cstheme="majorBidi"/>
          <w:lang w:val="en-PH"/>
        </w:rPr>
        <w:t>2022-23</w:t>
      </w:r>
      <w:r w:rsidRPr="00A42FF4">
        <w:rPr>
          <w:rFonts w:cs="Arial"/>
        </w:rPr>
        <w:t xml:space="preserve">. Admitted subacute </w:t>
      </w:r>
      <w:r w:rsidR="001255A2" w:rsidRPr="00A42FF4">
        <w:rPr>
          <w:rFonts w:cs="Arial"/>
        </w:rPr>
        <w:t xml:space="preserve">and non-acute </w:t>
      </w:r>
      <w:r w:rsidRPr="00A42FF4">
        <w:rPr>
          <w:rFonts w:cs="Arial"/>
        </w:rPr>
        <w:t>care is defined as specialised, multidisciplinary care</w:t>
      </w:r>
      <w:r w:rsidR="00301F51" w:rsidRPr="00A42FF4">
        <w:rPr>
          <w:rFonts w:cs="Arial"/>
        </w:rPr>
        <w:t xml:space="preserve"> where </w:t>
      </w:r>
      <w:r w:rsidRPr="00A42FF4">
        <w:rPr>
          <w:rFonts w:cs="Arial"/>
        </w:rPr>
        <w:t xml:space="preserve">the primary need for care is to optimise a patient’s functioning and quality of life. There are </w:t>
      </w:r>
      <w:r w:rsidR="00EE76DB" w:rsidRPr="00A42FF4">
        <w:rPr>
          <w:rFonts w:cs="Arial"/>
        </w:rPr>
        <w:t xml:space="preserve">4 </w:t>
      </w:r>
      <w:r w:rsidRPr="00A42FF4">
        <w:rPr>
          <w:rFonts w:cs="Arial"/>
        </w:rPr>
        <w:t xml:space="preserve">admitted subacute care types, </w:t>
      </w:r>
      <w:r w:rsidR="2AC65B47" w:rsidRPr="00A42FF4">
        <w:rPr>
          <w:rFonts w:cs="Arial"/>
        </w:rPr>
        <w:t xml:space="preserve">including: rehabilitation, palliative care, geriatric </w:t>
      </w:r>
      <w:r w:rsidR="004004AC" w:rsidRPr="00A42FF4">
        <w:rPr>
          <w:rFonts w:cs="Arial"/>
        </w:rPr>
        <w:t>evaluation,</w:t>
      </w:r>
      <w:r w:rsidR="2AC65B47" w:rsidRPr="00A42FF4">
        <w:rPr>
          <w:rFonts w:cs="Arial"/>
        </w:rPr>
        <w:t xml:space="preserve"> and management (GEM) care and psychogeriatric care</w:t>
      </w:r>
      <w:r w:rsidRPr="00A42FF4">
        <w:rPr>
          <w:rFonts w:cs="Arial"/>
        </w:rPr>
        <w:t xml:space="preserve">. Palliative care is the only </w:t>
      </w:r>
      <w:r w:rsidR="003E6905" w:rsidRPr="00A42FF4">
        <w:rPr>
          <w:rFonts w:cs="Arial"/>
        </w:rPr>
        <w:t xml:space="preserve">admitted </w:t>
      </w:r>
      <w:r w:rsidRPr="00A42FF4">
        <w:rPr>
          <w:rFonts w:cs="Arial"/>
        </w:rPr>
        <w:t>subacute care type to be represented by phase</w:t>
      </w:r>
      <w:r w:rsidR="1CD60650" w:rsidRPr="00A42FF4">
        <w:rPr>
          <w:rFonts w:cs="Arial"/>
        </w:rPr>
        <w:t>s</w:t>
      </w:r>
      <w:r w:rsidRPr="00A42FF4">
        <w:rPr>
          <w:rFonts w:cs="Arial"/>
        </w:rPr>
        <w:t xml:space="preserve">. Non-acute care relates to maintenance care </w:t>
      </w:r>
      <w:r w:rsidR="00301F51" w:rsidRPr="00A42FF4">
        <w:rPr>
          <w:rFonts w:cs="Arial"/>
        </w:rPr>
        <w:t xml:space="preserve">where </w:t>
      </w:r>
      <w:r w:rsidRPr="00A42FF4">
        <w:rPr>
          <w:rFonts w:cs="Arial"/>
        </w:rPr>
        <w:t>the treatment goal is to support a patient with impairment, activity limitation or participation restriction due to a health condition.</w:t>
      </w:r>
    </w:p>
    <w:p w14:paraId="1DDD5D63" w14:textId="2DE1264C" w:rsidR="00E31918" w:rsidRPr="00A42FF4" w:rsidRDefault="00E31918" w:rsidP="0007638E">
      <w:pPr>
        <w:spacing w:line="276" w:lineRule="auto"/>
        <w:rPr>
          <w:rFonts w:cs="Arial"/>
        </w:rPr>
      </w:pPr>
      <w:bookmarkStart w:id="135" w:name="_Hlk148518151"/>
      <w:r w:rsidRPr="00A42FF4">
        <w:rPr>
          <w:rFonts w:cs="Arial"/>
        </w:rPr>
        <w:t xml:space="preserve">The Australian National Subacute and Non-Acute Patient Classification </w:t>
      </w:r>
      <w:r w:rsidR="00C74002">
        <w:rPr>
          <w:rFonts w:cs="Arial"/>
        </w:rPr>
        <w:t>V</w:t>
      </w:r>
      <w:r w:rsidRPr="00A42FF4">
        <w:rPr>
          <w:rFonts w:cs="Arial"/>
        </w:rPr>
        <w:t xml:space="preserve">ersion 5.0 (AN-SNAP </w:t>
      </w:r>
      <w:r w:rsidR="002A71DF">
        <w:rPr>
          <w:rFonts w:cs="Arial"/>
        </w:rPr>
        <w:t xml:space="preserve">Version </w:t>
      </w:r>
      <w:r w:rsidRPr="00A42FF4">
        <w:rPr>
          <w:rFonts w:cs="Arial"/>
        </w:rPr>
        <w:t xml:space="preserve">5.0) was used to prepare </w:t>
      </w:r>
      <w:r w:rsidR="00005059">
        <w:rPr>
          <w:rFonts w:cs="Arial"/>
        </w:rPr>
        <w:t xml:space="preserve">the episode and phase level results in </w:t>
      </w:r>
      <w:r w:rsidRPr="00A42FF4">
        <w:rPr>
          <w:rFonts w:cs="Arial"/>
        </w:rPr>
        <w:t>this report. AN-SNAP classifies episodes of admitted subacute and non-acute patient care based on setting, care type, phase of care, assessment of functional impairment, age, and other measures.</w:t>
      </w:r>
    </w:p>
    <w:bookmarkStart w:id="136" w:name="_Hlk148531992"/>
    <w:p w14:paraId="40419B20" w14:textId="667B83D7" w:rsidR="00532F2F" w:rsidRDefault="003523AB" w:rsidP="00466F57">
      <w:pPr>
        <w:spacing w:line="276" w:lineRule="auto"/>
        <w:rPr>
          <w:rFonts w:eastAsia="Arial" w:cs="Arial"/>
        </w:rPr>
      </w:pPr>
      <w:r w:rsidRPr="003523AB">
        <w:rPr>
          <w:rFonts w:cs="Arial"/>
        </w:rPr>
        <w:fldChar w:fldCharType="begin"/>
      </w:r>
      <w:r w:rsidRPr="003523AB">
        <w:rPr>
          <w:rFonts w:cs="Arial"/>
        </w:rPr>
        <w:instrText xml:space="preserve"> REF _Ref185835143 \h </w:instrText>
      </w:r>
      <w:r w:rsidRPr="003523AB">
        <w:rPr>
          <w:rFonts w:cs="Arial"/>
        </w:rPr>
      </w:r>
      <w:r w:rsidRPr="003523AB">
        <w:rPr>
          <w:rFonts w:cs="Arial"/>
        </w:rPr>
        <w:fldChar w:fldCharType="separate"/>
      </w:r>
      <w:r w:rsidRPr="00296833">
        <w:rPr>
          <w:rFonts w:cstheme="majorBidi"/>
          <w:lang w:val="en-PH"/>
        </w:rPr>
        <w:t xml:space="preserve">Table </w:t>
      </w:r>
      <w:r w:rsidRPr="00296833">
        <w:rPr>
          <w:rFonts w:cstheme="majorBidi"/>
          <w:noProof/>
          <w:lang w:val="en-PH"/>
        </w:rPr>
        <w:t>9</w:t>
      </w:r>
      <w:r w:rsidRPr="003523AB">
        <w:rPr>
          <w:rFonts w:cs="Arial"/>
        </w:rPr>
        <w:fldChar w:fldCharType="end"/>
      </w:r>
      <w:r w:rsidR="00BA79DC" w:rsidRPr="003523AB">
        <w:rPr>
          <w:rFonts w:cs="Arial"/>
        </w:rPr>
        <w:t xml:space="preserve"> summarises </w:t>
      </w:r>
      <w:r w:rsidR="00BA79DC">
        <w:rPr>
          <w:rFonts w:cs="Arial"/>
        </w:rPr>
        <w:t xml:space="preserve">the national AN-SNAP episode results from 2020-21 to 2022-23. </w:t>
      </w:r>
      <w:r w:rsidR="00BF20DA" w:rsidRPr="00A42FF4">
        <w:rPr>
          <w:rFonts w:cs="Arial"/>
        </w:rPr>
        <w:t xml:space="preserve">In </w:t>
      </w:r>
      <w:r w:rsidR="00A54617" w:rsidRPr="00A42FF4">
        <w:rPr>
          <w:rFonts w:cstheme="majorBidi"/>
          <w:lang w:val="en-PH"/>
        </w:rPr>
        <w:t>2022-23</w:t>
      </w:r>
      <w:r w:rsidR="00BF20DA" w:rsidRPr="00A42FF4">
        <w:rPr>
          <w:rFonts w:cs="Arial"/>
        </w:rPr>
        <w:t xml:space="preserve">, </w:t>
      </w:r>
      <w:r w:rsidR="001255A2" w:rsidRPr="00A42FF4">
        <w:rPr>
          <w:rFonts w:cs="Arial"/>
        </w:rPr>
        <w:t xml:space="preserve">there were </w:t>
      </w:r>
      <w:r w:rsidR="001E72BA" w:rsidRPr="00A42FF4">
        <w:rPr>
          <w:rFonts w:cs="Arial"/>
        </w:rPr>
        <w:t xml:space="preserve">164,415 </w:t>
      </w:r>
      <w:r w:rsidR="00C503AB">
        <w:rPr>
          <w:rFonts w:cs="Arial"/>
        </w:rPr>
        <w:t>AN-SNAP</w:t>
      </w:r>
      <w:r w:rsidR="001255A2" w:rsidRPr="00A42FF4">
        <w:rPr>
          <w:rFonts w:cs="Arial"/>
        </w:rPr>
        <w:t xml:space="preserve"> episodes</w:t>
      </w:r>
      <w:r w:rsidR="00AB7758">
        <w:rPr>
          <w:rFonts w:cs="Arial"/>
        </w:rPr>
        <w:t xml:space="preserve"> reported nationally</w:t>
      </w:r>
      <w:r w:rsidR="00532F2F" w:rsidRPr="00A42FF4">
        <w:rPr>
          <w:rFonts w:cs="Arial"/>
        </w:rPr>
        <w:t>, an 8%</w:t>
      </w:r>
      <w:r w:rsidR="00532F2F">
        <w:rPr>
          <w:rFonts w:cs="Arial"/>
        </w:rPr>
        <w:t xml:space="preserve"> increase </w:t>
      </w:r>
      <w:r w:rsidR="00383850">
        <w:rPr>
          <w:rFonts w:cs="Arial"/>
        </w:rPr>
        <w:t xml:space="preserve">from </w:t>
      </w:r>
      <w:r w:rsidR="00532F2F" w:rsidRPr="00A42FF4">
        <w:rPr>
          <w:rFonts w:cs="Arial"/>
        </w:rPr>
        <w:t>2021-22</w:t>
      </w:r>
      <w:r w:rsidR="00383850">
        <w:rPr>
          <w:rFonts w:cs="Arial"/>
        </w:rPr>
        <w:t xml:space="preserve">, with a total cost of </w:t>
      </w:r>
      <w:r w:rsidR="00532F2F" w:rsidRPr="00A42FF4">
        <w:rPr>
          <w:rFonts w:cs="Arial"/>
        </w:rPr>
        <w:t>$3.8 billion</w:t>
      </w:r>
      <w:r w:rsidR="00532F2F">
        <w:rPr>
          <w:rFonts w:cs="Arial"/>
        </w:rPr>
        <w:t xml:space="preserve">, </w:t>
      </w:r>
      <w:r w:rsidR="00532F2F" w:rsidRPr="00A42FF4">
        <w:rPr>
          <w:rFonts w:cs="Arial"/>
        </w:rPr>
        <w:t xml:space="preserve">an 18% increase </w:t>
      </w:r>
      <w:r w:rsidR="00383850">
        <w:rPr>
          <w:rFonts w:cs="Arial"/>
        </w:rPr>
        <w:t>from</w:t>
      </w:r>
      <w:r w:rsidR="00532F2F" w:rsidRPr="00A42FF4">
        <w:rPr>
          <w:rFonts w:cs="Arial"/>
        </w:rPr>
        <w:t xml:space="preserve"> 2021-22</w:t>
      </w:r>
      <w:r w:rsidR="00532F2F">
        <w:rPr>
          <w:rFonts w:cs="Arial"/>
        </w:rPr>
        <w:t xml:space="preserve">. </w:t>
      </w:r>
      <w:r w:rsidR="00532F2F" w:rsidRPr="00A42FF4">
        <w:rPr>
          <w:rFonts w:eastAsia="Arial" w:cs="Arial"/>
        </w:rPr>
        <w:t xml:space="preserve">The national average cost per </w:t>
      </w:r>
      <w:r w:rsidR="00532F2F">
        <w:rPr>
          <w:rFonts w:eastAsia="Arial" w:cs="Arial"/>
        </w:rPr>
        <w:t xml:space="preserve">AN-SNAP </w:t>
      </w:r>
      <w:r w:rsidR="00532F2F" w:rsidRPr="00A42FF4">
        <w:rPr>
          <w:rFonts w:eastAsia="Arial" w:cs="Arial"/>
        </w:rPr>
        <w:t xml:space="preserve">episode was $23,356 for </w:t>
      </w:r>
      <w:r w:rsidR="00532F2F" w:rsidRPr="00A42FF4">
        <w:rPr>
          <w:rFonts w:cstheme="majorBidi"/>
          <w:lang w:val="en-PH"/>
        </w:rPr>
        <w:t>2022-23</w:t>
      </w:r>
      <w:r w:rsidR="00532F2F" w:rsidRPr="00A42FF4">
        <w:rPr>
          <w:rFonts w:eastAsia="Arial" w:cs="Arial"/>
        </w:rPr>
        <w:t xml:space="preserve">, a 9% increase to the </w:t>
      </w:r>
      <w:r w:rsidR="00532F2F" w:rsidRPr="00A42FF4">
        <w:rPr>
          <w:rFonts w:cs="Arial"/>
        </w:rPr>
        <w:t>2021-22</w:t>
      </w:r>
      <w:r w:rsidR="00532F2F" w:rsidRPr="00A42FF4">
        <w:rPr>
          <w:rFonts w:eastAsia="Arial" w:cs="Arial"/>
        </w:rPr>
        <w:t xml:space="preserve"> national average of $21,402.</w:t>
      </w:r>
    </w:p>
    <w:p w14:paraId="04B9DA1C" w14:textId="2B7DAD97" w:rsidR="00BA79DC" w:rsidRDefault="00BA79DC" w:rsidP="00296833">
      <w:pPr>
        <w:pStyle w:val="TableFigureheading"/>
        <w:rPr>
          <w:lang w:val="en-PH"/>
        </w:rPr>
      </w:pPr>
      <w:bookmarkStart w:id="137" w:name="_Ref185835143"/>
      <w:bookmarkStart w:id="138" w:name="_Toc185852216"/>
      <w:bookmarkStart w:id="139" w:name="_Toc187312135"/>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3523AB">
        <w:rPr>
          <w:noProof/>
          <w:lang w:val="en-PH"/>
        </w:rPr>
        <w:t>9</w:t>
      </w:r>
      <w:r w:rsidRPr="0093558C">
        <w:rPr>
          <w:lang w:val="en-PH"/>
        </w:rPr>
        <w:fldChar w:fldCharType="end"/>
      </w:r>
      <w:bookmarkEnd w:id="137"/>
      <w:r w:rsidRPr="0093558C">
        <w:rPr>
          <w:lang w:val="en-PH"/>
        </w:rPr>
        <w:t xml:space="preserve">: </w:t>
      </w:r>
      <w:r>
        <w:rPr>
          <w:lang w:val="en-PH"/>
        </w:rPr>
        <w:t>AN-SNAP episodes national summary</w:t>
      </w:r>
      <w:r w:rsidRPr="0093558C">
        <w:rPr>
          <w:lang w:val="en-PH"/>
        </w:rPr>
        <w:t xml:space="preserve">, </w:t>
      </w:r>
      <w:r w:rsidRPr="00D73FCC">
        <w:rPr>
          <w:lang w:val="en-PH"/>
        </w:rPr>
        <w:t>2020-</w:t>
      </w:r>
      <w:r w:rsidRPr="00296833">
        <w:t>21</w:t>
      </w:r>
      <w:r w:rsidRPr="0093558C">
        <w:rPr>
          <w:lang w:val="en-PH"/>
        </w:rPr>
        <w:t xml:space="preserve"> to </w:t>
      </w:r>
      <w:r w:rsidRPr="008B2CD8">
        <w:rPr>
          <w:lang w:val="en-PH"/>
        </w:rPr>
        <w:t>202</w:t>
      </w:r>
      <w:r>
        <w:rPr>
          <w:lang w:val="en-PH"/>
        </w:rPr>
        <w:t>2</w:t>
      </w:r>
      <w:r w:rsidRPr="008B2CD8">
        <w:rPr>
          <w:lang w:val="en-PH"/>
        </w:rPr>
        <w:t>-2</w:t>
      </w:r>
      <w:r>
        <w:rPr>
          <w:lang w:val="en-PH"/>
        </w:rPr>
        <w:t>3</w:t>
      </w:r>
      <w:bookmarkEnd w:id="138"/>
      <w:bookmarkEnd w:id="139"/>
    </w:p>
    <w:tbl>
      <w:tblPr>
        <w:tblW w:w="9723" w:type="dxa"/>
        <w:tblLook w:val="04A0" w:firstRow="1" w:lastRow="0" w:firstColumn="1" w:lastColumn="0" w:noHBand="0" w:noVBand="1"/>
      </w:tblPr>
      <w:tblGrid>
        <w:gridCol w:w="3303"/>
        <w:gridCol w:w="2140"/>
        <w:gridCol w:w="2140"/>
        <w:gridCol w:w="2140"/>
      </w:tblGrid>
      <w:tr w:rsidR="00BA79DC" w:rsidRPr="00492588" w14:paraId="76B9AD41" w14:textId="77777777" w:rsidTr="00E04435">
        <w:trPr>
          <w:trHeight w:val="298"/>
        </w:trPr>
        <w:tc>
          <w:tcPr>
            <w:tcW w:w="3303" w:type="dxa"/>
            <w:tcBorders>
              <w:top w:val="nil"/>
              <w:left w:val="single" w:sz="8" w:space="0" w:color="FFFFFF"/>
              <w:bottom w:val="nil"/>
              <w:right w:val="nil"/>
            </w:tcBorders>
            <w:shd w:val="clear" w:color="000000" w:fill="15272F"/>
            <w:vAlign w:val="center"/>
            <w:hideMark/>
          </w:tcPr>
          <w:p w14:paraId="68F129EE" w14:textId="77777777" w:rsidR="00BA79DC" w:rsidRPr="00144CE8" w:rsidRDefault="00BA79DC" w:rsidP="00E04435">
            <w:pPr>
              <w:spacing w:before="40" w:after="40" w:line="240" w:lineRule="auto"/>
              <w:rPr>
                <w:rFonts w:eastAsia="Times New Roman" w:cs="Arial"/>
                <w:b/>
                <w:bCs/>
                <w:color w:val="FFFFFF"/>
                <w:sz w:val="16"/>
                <w:szCs w:val="16"/>
                <w:lang w:eastAsia="en-AU"/>
              </w:rPr>
            </w:pPr>
            <w:r w:rsidRPr="00144CE8">
              <w:rPr>
                <w:rFonts w:eastAsia="Times New Roman" w:cs="Arial"/>
                <w:b/>
                <w:bCs/>
                <w:color w:val="FFFFFF"/>
                <w:sz w:val="16"/>
                <w:szCs w:val="16"/>
                <w:lang w:eastAsia="en-AU"/>
              </w:rPr>
              <w:t> </w:t>
            </w:r>
          </w:p>
        </w:tc>
        <w:tc>
          <w:tcPr>
            <w:tcW w:w="2140" w:type="dxa"/>
            <w:tcBorders>
              <w:top w:val="nil"/>
              <w:left w:val="single" w:sz="8" w:space="0" w:color="FFFFFF"/>
              <w:bottom w:val="nil"/>
              <w:right w:val="nil"/>
            </w:tcBorders>
            <w:shd w:val="clear" w:color="000000" w:fill="15272F"/>
            <w:vAlign w:val="center"/>
            <w:hideMark/>
          </w:tcPr>
          <w:p w14:paraId="06E26D6D" w14:textId="77777777" w:rsidR="00BA79DC" w:rsidRPr="00144CE8" w:rsidRDefault="00BA79DC" w:rsidP="00E04435">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sz w:val="16"/>
                <w:szCs w:val="16"/>
                <w:lang w:eastAsia="en-AU"/>
              </w:rPr>
              <w:t>2020-21</w:t>
            </w:r>
          </w:p>
        </w:tc>
        <w:tc>
          <w:tcPr>
            <w:tcW w:w="2140" w:type="dxa"/>
            <w:tcBorders>
              <w:top w:val="nil"/>
              <w:left w:val="single" w:sz="8" w:space="0" w:color="FFFFFF"/>
              <w:bottom w:val="nil"/>
              <w:right w:val="nil"/>
            </w:tcBorders>
            <w:shd w:val="clear" w:color="000000" w:fill="15272F"/>
            <w:vAlign w:val="center"/>
            <w:hideMark/>
          </w:tcPr>
          <w:p w14:paraId="378C9988" w14:textId="77777777" w:rsidR="00BA79DC" w:rsidRPr="00144CE8" w:rsidRDefault="00BA79DC" w:rsidP="00E04435">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sz w:val="16"/>
                <w:szCs w:val="16"/>
                <w:lang w:eastAsia="en-AU"/>
              </w:rPr>
              <w:t>2021-22</w:t>
            </w:r>
          </w:p>
        </w:tc>
        <w:tc>
          <w:tcPr>
            <w:tcW w:w="2140" w:type="dxa"/>
            <w:tcBorders>
              <w:top w:val="nil"/>
              <w:left w:val="single" w:sz="8" w:space="0" w:color="FFFFFF"/>
              <w:bottom w:val="nil"/>
              <w:right w:val="nil"/>
            </w:tcBorders>
            <w:shd w:val="clear" w:color="000000" w:fill="15272F"/>
            <w:vAlign w:val="center"/>
            <w:hideMark/>
          </w:tcPr>
          <w:p w14:paraId="27EAD352" w14:textId="77777777" w:rsidR="00BA79DC" w:rsidRPr="00144CE8" w:rsidRDefault="00BA79DC" w:rsidP="00E04435">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sz w:val="16"/>
                <w:szCs w:val="16"/>
                <w:lang w:eastAsia="en-AU"/>
              </w:rPr>
              <w:t>2022-23</w:t>
            </w:r>
          </w:p>
        </w:tc>
      </w:tr>
      <w:tr w:rsidR="00BA79DC" w:rsidRPr="00492588" w14:paraId="7C9AF522" w14:textId="77777777" w:rsidTr="00E04435">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hideMark/>
          </w:tcPr>
          <w:p w14:paraId="4C3886DB" w14:textId="77777777" w:rsidR="00BA79DC" w:rsidRPr="00144CE8" w:rsidRDefault="00BA79DC" w:rsidP="00E04435">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Number of establishments (episodes)</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2F9A5D4C" w14:textId="77777777" w:rsidR="00BA79DC" w:rsidRPr="00CA7829" w:rsidRDefault="00BA79DC" w:rsidP="00E04435">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333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4FF9E900" w14:textId="77777777" w:rsidR="00BA79DC" w:rsidRPr="00CA7829" w:rsidRDefault="00BA79DC" w:rsidP="00E04435">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340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416C8E46" w14:textId="77777777" w:rsidR="00BA79DC" w:rsidRPr="00CA7829" w:rsidRDefault="00BA79DC" w:rsidP="00E04435">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350 </w:t>
            </w:r>
          </w:p>
        </w:tc>
      </w:tr>
      <w:tr w:rsidR="00BA79DC" w:rsidRPr="00492588" w14:paraId="1E782F61" w14:textId="77777777" w:rsidTr="00E04435">
        <w:trPr>
          <w:trHeight w:val="298"/>
        </w:trPr>
        <w:tc>
          <w:tcPr>
            <w:tcW w:w="3303" w:type="dxa"/>
            <w:tcBorders>
              <w:top w:val="nil"/>
              <w:left w:val="nil"/>
              <w:bottom w:val="nil"/>
              <w:right w:val="single" w:sz="8" w:space="0" w:color="FFFFFF"/>
            </w:tcBorders>
            <w:shd w:val="clear" w:color="000000" w:fill="F2F2F2"/>
            <w:vAlign w:val="center"/>
            <w:hideMark/>
          </w:tcPr>
          <w:p w14:paraId="7ABBCB70" w14:textId="77777777" w:rsidR="00BA79DC" w:rsidRPr="00144CE8" w:rsidRDefault="00BA79DC" w:rsidP="00E04435">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Episodes</w:t>
            </w:r>
          </w:p>
        </w:tc>
        <w:tc>
          <w:tcPr>
            <w:tcW w:w="2140" w:type="dxa"/>
            <w:tcBorders>
              <w:top w:val="nil"/>
              <w:left w:val="nil"/>
              <w:bottom w:val="nil"/>
              <w:right w:val="single" w:sz="8" w:space="0" w:color="FFFFFF"/>
            </w:tcBorders>
            <w:shd w:val="clear" w:color="000000" w:fill="F2F2F2"/>
            <w:vAlign w:val="center"/>
            <w:hideMark/>
          </w:tcPr>
          <w:p w14:paraId="117888CB" w14:textId="77777777" w:rsidR="00BA79DC" w:rsidRPr="00CA7829" w:rsidRDefault="00BA79DC" w:rsidP="00E04435">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148,487 </w:t>
            </w:r>
          </w:p>
        </w:tc>
        <w:tc>
          <w:tcPr>
            <w:tcW w:w="2140" w:type="dxa"/>
            <w:tcBorders>
              <w:top w:val="nil"/>
              <w:left w:val="nil"/>
              <w:bottom w:val="nil"/>
              <w:right w:val="single" w:sz="8" w:space="0" w:color="FFFFFF"/>
            </w:tcBorders>
            <w:shd w:val="clear" w:color="000000" w:fill="F2F2F2"/>
            <w:vAlign w:val="center"/>
            <w:hideMark/>
          </w:tcPr>
          <w:p w14:paraId="58248606" w14:textId="77777777" w:rsidR="00BA79DC" w:rsidRPr="00CA7829" w:rsidRDefault="00BA79DC" w:rsidP="00E04435">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151,706 </w:t>
            </w:r>
          </w:p>
        </w:tc>
        <w:tc>
          <w:tcPr>
            <w:tcW w:w="2140" w:type="dxa"/>
            <w:tcBorders>
              <w:top w:val="nil"/>
              <w:left w:val="nil"/>
              <w:bottom w:val="nil"/>
              <w:right w:val="single" w:sz="8" w:space="0" w:color="FFFFFF"/>
            </w:tcBorders>
            <w:shd w:val="clear" w:color="000000" w:fill="F2F2F2"/>
            <w:vAlign w:val="center"/>
            <w:hideMark/>
          </w:tcPr>
          <w:p w14:paraId="0C366974" w14:textId="77777777" w:rsidR="00BA79DC" w:rsidRPr="00CA7829" w:rsidRDefault="00BA79DC" w:rsidP="00E04435">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164,415 </w:t>
            </w:r>
          </w:p>
        </w:tc>
      </w:tr>
      <w:tr w:rsidR="00BA79DC" w:rsidRPr="00492588" w14:paraId="435128B8" w14:textId="77777777" w:rsidTr="00E04435">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tcPr>
          <w:p w14:paraId="131E8A82" w14:textId="100B71CF" w:rsidR="00BA79DC" w:rsidRPr="00144CE8" w:rsidRDefault="006B63F7" w:rsidP="00E04435">
            <w:pPr>
              <w:spacing w:before="40" w:after="40" w:line="240" w:lineRule="auto"/>
              <w:rPr>
                <w:rFonts w:eastAsia="Times New Roman" w:cs="Arial"/>
                <w:color w:val="1C1C1C"/>
                <w:sz w:val="16"/>
                <w:szCs w:val="16"/>
                <w:lang w:eastAsia="en-AU"/>
              </w:rPr>
            </w:pPr>
            <w:r>
              <w:rPr>
                <w:rFonts w:eastAsia="Times New Roman" w:cs="Arial"/>
                <w:color w:val="1C1C1C"/>
                <w:sz w:val="16"/>
                <w:szCs w:val="16"/>
                <w:lang w:eastAsia="en-AU"/>
              </w:rPr>
              <w:t>C</w:t>
            </w:r>
            <w:r w:rsidR="00BA79DC" w:rsidRPr="00144CE8">
              <w:rPr>
                <w:rFonts w:eastAsia="Times New Roman" w:cs="Arial"/>
                <w:color w:val="1C1C1C"/>
                <w:sz w:val="16"/>
                <w:szCs w:val="16"/>
                <w:lang w:eastAsia="en-AU"/>
              </w:rPr>
              <w:t>ost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15B46BE7" w14:textId="77777777" w:rsidR="00BA79DC" w:rsidRPr="00CA7829" w:rsidRDefault="00BA79DC" w:rsidP="00E04435">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2,893,061,845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459C4C1E" w14:textId="77777777" w:rsidR="00BA79DC" w:rsidRPr="00CA7829" w:rsidRDefault="00BA79DC" w:rsidP="00E04435">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3,246,832,888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1820F484" w14:textId="77777777" w:rsidR="00BA79DC" w:rsidRPr="00CA7829" w:rsidRDefault="00BA79DC" w:rsidP="00E04435">
            <w:pPr>
              <w:spacing w:before="40" w:after="40" w:line="240" w:lineRule="auto"/>
              <w:jc w:val="right"/>
              <w:rPr>
                <w:rFonts w:eastAsia="Times New Roman" w:cs="Arial"/>
                <w:color w:val="1C1C1C"/>
                <w:sz w:val="16"/>
                <w:szCs w:val="16"/>
                <w:lang w:eastAsia="en-AU"/>
              </w:rPr>
            </w:pPr>
            <w:r w:rsidRPr="00144CE8">
              <w:rPr>
                <w:rFonts w:cs="Arial"/>
                <w:sz w:val="16"/>
                <w:szCs w:val="16"/>
              </w:rPr>
              <w:t>3,840,002,93</w:t>
            </w:r>
            <w:r>
              <w:rPr>
                <w:rFonts w:cs="Arial"/>
                <w:sz w:val="16"/>
                <w:szCs w:val="16"/>
              </w:rPr>
              <w:t>4</w:t>
            </w:r>
          </w:p>
        </w:tc>
      </w:tr>
      <w:tr w:rsidR="00BA79DC" w:rsidRPr="00492588" w14:paraId="41EDB5B7" w14:textId="77777777" w:rsidTr="00E04435">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hideMark/>
          </w:tcPr>
          <w:p w14:paraId="427B8D24" w14:textId="77777777" w:rsidR="00BA79DC" w:rsidRPr="00144CE8" w:rsidRDefault="00BA79DC" w:rsidP="00E04435">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 xml:space="preserve">Average cost per episode ($)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18E275E6" w14:textId="77777777" w:rsidR="00BA79DC" w:rsidRPr="00CA7829" w:rsidRDefault="00BA79DC" w:rsidP="00E04435">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19,484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42D1A789" w14:textId="77777777" w:rsidR="00BA79DC" w:rsidRPr="00CA7829" w:rsidRDefault="00BA79DC" w:rsidP="00E04435">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21,402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00150858" w14:textId="77777777" w:rsidR="00BA79DC" w:rsidRPr="00CA7829" w:rsidRDefault="00BA79DC" w:rsidP="00E04435">
            <w:pPr>
              <w:spacing w:before="40" w:after="40" w:line="240" w:lineRule="auto"/>
              <w:jc w:val="right"/>
              <w:rPr>
                <w:rFonts w:eastAsia="Times New Roman" w:cs="Arial"/>
                <w:color w:val="1C1C1C"/>
                <w:sz w:val="16"/>
                <w:szCs w:val="16"/>
                <w:lang w:eastAsia="en-AU"/>
              </w:rPr>
            </w:pPr>
            <w:r w:rsidRPr="00144CE8">
              <w:rPr>
                <w:rFonts w:cs="Arial"/>
                <w:sz w:val="16"/>
                <w:szCs w:val="16"/>
              </w:rPr>
              <w:t>23,356</w:t>
            </w:r>
          </w:p>
        </w:tc>
      </w:tr>
    </w:tbl>
    <w:p w14:paraId="1E914EF2" w14:textId="3F9004E6" w:rsidR="00BF20DA" w:rsidRPr="00A42FF4" w:rsidRDefault="003523AB" w:rsidP="00AF182D">
      <w:pPr>
        <w:spacing w:before="160" w:line="276" w:lineRule="auto"/>
        <w:rPr>
          <w:rFonts w:eastAsia="Arial" w:cs="Arial"/>
        </w:rPr>
      </w:pPr>
      <w:r w:rsidRPr="003523AB">
        <w:rPr>
          <w:rFonts w:cs="Arial"/>
        </w:rPr>
        <w:fldChar w:fldCharType="begin"/>
      </w:r>
      <w:r w:rsidRPr="003523AB">
        <w:rPr>
          <w:rFonts w:cs="Arial"/>
        </w:rPr>
        <w:instrText xml:space="preserve"> REF _Ref185835148 \h </w:instrText>
      </w:r>
      <w:r w:rsidRPr="003523AB">
        <w:rPr>
          <w:rFonts w:cs="Arial"/>
        </w:rPr>
      </w:r>
      <w:r w:rsidRPr="003523AB">
        <w:rPr>
          <w:rFonts w:cs="Arial"/>
        </w:rPr>
        <w:fldChar w:fldCharType="separate"/>
      </w:r>
      <w:r w:rsidRPr="00296833">
        <w:rPr>
          <w:rFonts w:cstheme="majorBidi"/>
          <w:lang w:val="en-PH"/>
        </w:rPr>
        <w:t xml:space="preserve">Table </w:t>
      </w:r>
      <w:r w:rsidRPr="00296833">
        <w:rPr>
          <w:rFonts w:cstheme="majorBidi"/>
          <w:noProof/>
          <w:lang w:val="en-PH"/>
        </w:rPr>
        <w:t>10</w:t>
      </w:r>
      <w:r w:rsidRPr="003523AB">
        <w:rPr>
          <w:rFonts w:cs="Arial"/>
        </w:rPr>
        <w:fldChar w:fldCharType="end"/>
      </w:r>
      <w:r w:rsidRPr="003523AB">
        <w:rPr>
          <w:rFonts w:cs="Arial"/>
        </w:rPr>
        <w:t xml:space="preserve"> </w:t>
      </w:r>
      <w:r w:rsidR="00BA79DC">
        <w:rPr>
          <w:rFonts w:cs="Arial"/>
        </w:rPr>
        <w:t xml:space="preserve">summarises the national AN-SNAP phase results from 2020-21 to 2022-23. </w:t>
      </w:r>
      <w:r w:rsidR="00532F2F" w:rsidRPr="00A42FF4">
        <w:rPr>
          <w:rFonts w:cs="Arial"/>
        </w:rPr>
        <w:t xml:space="preserve">In </w:t>
      </w:r>
      <w:r w:rsidR="00532F2F" w:rsidRPr="00A42FF4">
        <w:rPr>
          <w:rFonts w:cstheme="majorBidi"/>
          <w:lang w:val="en-PH"/>
        </w:rPr>
        <w:t>2022-23</w:t>
      </w:r>
      <w:r w:rsidR="00532F2F" w:rsidRPr="00A42FF4">
        <w:rPr>
          <w:rFonts w:cs="Arial"/>
        </w:rPr>
        <w:t>,</w:t>
      </w:r>
      <w:r w:rsidR="00383850">
        <w:rPr>
          <w:rFonts w:cs="Arial"/>
        </w:rPr>
        <w:t xml:space="preserve"> </w:t>
      </w:r>
      <w:r w:rsidR="00532F2F" w:rsidRPr="00A42FF4">
        <w:rPr>
          <w:rFonts w:cs="Arial"/>
        </w:rPr>
        <w:t xml:space="preserve">there were </w:t>
      </w:r>
      <w:r w:rsidR="001E72BA" w:rsidRPr="00A42FF4">
        <w:rPr>
          <w:rFonts w:cs="Arial"/>
        </w:rPr>
        <w:t>72,889</w:t>
      </w:r>
      <w:r w:rsidR="00F65212" w:rsidRPr="00A42FF4">
        <w:rPr>
          <w:rFonts w:cs="Arial"/>
        </w:rPr>
        <w:t xml:space="preserve"> </w:t>
      </w:r>
      <w:r w:rsidR="00C503AB">
        <w:rPr>
          <w:rFonts w:cs="Arial"/>
        </w:rPr>
        <w:t>AN-SNAP</w:t>
      </w:r>
      <w:r w:rsidR="00C503AB" w:rsidRPr="00A42FF4">
        <w:rPr>
          <w:rFonts w:cs="Arial"/>
        </w:rPr>
        <w:t xml:space="preserve"> </w:t>
      </w:r>
      <w:r w:rsidR="00F65212" w:rsidRPr="00A42FF4">
        <w:rPr>
          <w:rFonts w:cs="Arial"/>
        </w:rPr>
        <w:t>phases</w:t>
      </w:r>
      <w:r w:rsidR="00AB7758">
        <w:rPr>
          <w:rFonts w:cs="Arial"/>
        </w:rPr>
        <w:t xml:space="preserve"> reported nationally</w:t>
      </w:r>
      <w:r w:rsidR="00466F57" w:rsidRPr="00A42FF4">
        <w:rPr>
          <w:rFonts w:cs="Arial"/>
        </w:rPr>
        <w:t>, a</w:t>
      </w:r>
      <w:r w:rsidR="00532F2F">
        <w:rPr>
          <w:rFonts w:cs="Arial"/>
        </w:rPr>
        <w:t xml:space="preserve"> </w:t>
      </w:r>
      <w:r w:rsidR="00F65212" w:rsidRPr="00A42FF4">
        <w:rPr>
          <w:rFonts w:cs="Arial"/>
        </w:rPr>
        <w:t>1</w:t>
      </w:r>
      <w:r w:rsidR="001E72BA" w:rsidRPr="00A42FF4">
        <w:rPr>
          <w:rFonts w:cs="Arial"/>
        </w:rPr>
        <w:t>3</w:t>
      </w:r>
      <w:r w:rsidR="00F65212" w:rsidRPr="00A42FF4">
        <w:rPr>
          <w:rFonts w:cs="Arial"/>
        </w:rPr>
        <w:t xml:space="preserve">% </w:t>
      </w:r>
      <w:r w:rsidR="001E72BA" w:rsidRPr="00A42FF4">
        <w:rPr>
          <w:rFonts w:cs="Arial"/>
        </w:rPr>
        <w:t>in</w:t>
      </w:r>
      <w:r w:rsidR="00466F57" w:rsidRPr="00A42FF4">
        <w:rPr>
          <w:rFonts w:cs="Arial"/>
        </w:rPr>
        <w:t xml:space="preserve">crease </w:t>
      </w:r>
      <w:r w:rsidR="00383850">
        <w:rPr>
          <w:rFonts w:cs="Arial"/>
        </w:rPr>
        <w:t>from</w:t>
      </w:r>
      <w:r w:rsidR="00466F57" w:rsidRPr="00A42FF4">
        <w:rPr>
          <w:rFonts w:cs="Arial"/>
        </w:rPr>
        <w:t xml:space="preserve"> </w:t>
      </w:r>
      <w:r w:rsidR="00A85636" w:rsidRPr="00A42FF4">
        <w:rPr>
          <w:rFonts w:cs="Arial"/>
        </w:rPr>
        <w:t>2021-22</w:t>
      </w:r>
      <w:r w:rsidR="00383850">
        <w:rPr>
          <w:rFonts w:cs="Arial"/>
        </w:rPr>
        <w:t>, with a total cost of</w:t>
      </w:r>
      <w:r w:rsidR="00F65212" w:rsidRPr="00A42FF4">
        <w:rPr>
          <w:rFonts w:cs="Arial"/>
        </w:rPr>
        <w:t xml:space="preserve"> $</w:t>
      </w:r>
      <w:r w:rsidR="001E72BA" w:rsidRPr="00A42FF4">
        <w:rPr>
          <w:rFonts w:cs="Arial"/>
        </w:rPr>
        <w:t>543.5</w:t>
      </w:r>
      <w:r w:rsidR="00F65212" w:rsidRPr="00A42FF4">
        <w:rPr>
          <w:rFonts w:cs="Arial"/>
        </w:rPr>
        <w:t xml:space="preserve"> million</w:t>
      </w:r>
      <w:r w:rsidR="005C67B3" w:rsidRPr="00A42FF4">
        <w:rPr>
          <w:rFonts w:cs="Arial"/>
        </w:rPr>
        <w:t xml:space="preserve">, </w:t>
      </w:r>
      <w:r w:rsidR="00F65212" w:rsidRPr="00A42FF4">
        <w:rPr>
          <w:rFonts w:cs="Arial"/>
        </w:rPr>
        <w:t xml:space="preserve">a </w:t>
      </w:r>
      <w:r w:rsidR="001E72BA" w:rsidRPr="00A42FF4">
        <w:rPr>
          <w:rFonts w:cs="Arial"/>
        </w:rPr>
        <w:t>1</w:t>
      </w:r>
      <w:r w:rsidR="00F65212" w:rsidRPr="00A42FF4">
        <w:rPr>
          <w:rFonts w:cs="Arial"/>
        </w:rPr>
        <w:t xml:space="preserve">6% </w:t>
      </w:r>
      <w:r w:rsidR="001E72BA" w:rsidRPr="00A42FF4">
        <w:rPr>
          <w:rFonts w:cs="Arial"/>
        </w:rPr>
        <w:t>in</w:t>
      </w:r>
      <w:r w:rsidR="00F65212" w:rsidRPr="00A42FF4">
        <w:rPr>
          <w:rFonts w:cs="Arial"/>
        </w:rPr>
        <w:t>crease</w:t>
      </w:r>
      <w:r w:rsidR="005C67B3" w:rsidRPr="00A42FF4">
        <w:rPr>
          <w:rFonts w:cs="Arial"/>
        </w:rPr>
        <w:t xml:space="preserve"> </w:t>
      </w:r>
      <w:r w:rsidR="00383850">
        <w:rPr>
          <w:rFonts w:cs="Arial"/>
        </w:rPr>
        <w:t>from</w:t>
      </w:r>
      <w:r w:rsidR="005C67B3" w:rsidRPr="00A42FF4">
        <w:rPr>
          <w:rFonts w:cs="Arial"/>
        </w:rPr>
        <w:t xml:space="preserve"> </w:t>
      </w:r>
      <w:r w:rsidR="00A85636" w:rsidRPr="00A42FF4">
        <w:rPr>
          <w:rFonts w:cs="Arial"/>
        </w:rPr>
        <w:t>2021-22</w:t>
      </w:r>
      <w:r w:rsidR="00F65212" w:rsidRPr="00A42FF4">
        <w:rPr>
          <w:rFonts w:cs="Arial"/>
        </w:rPr>
        <w:t>.</w:t>
      </w:r>
      <w:r w:rsidR="001075E4" w:rsidRPr="00A42FF4">
        <w:rPr>
          <w:rFonts w:eastAsia="Arial" w:cs="Arial"/>
        </w:rPr>
        <w:t xml:space="preserve"> </w:t>
      </w:r>
      <w:r w:rsidR="00BF20DA" w:rsidRPr="00A42FF4">
        <w:rPr>
          <w:rFonts w:eastAsia="Arial" w:cs="Arial"/>
        </w:rPr>
        <w:t xml:space="preserve">The national average cost per </w:t>
      </w:r>
      <w:r w:rsidR="00532F2F">
        <w:rPr>
          <w:rFonts w:eastAsia="Arial" w:cs="Arial"/>
        </w:rPr>
        <w:t>AN-SNAP</w:t>
      </w:r>
      <w:r w:rsidR="00532F2F" w:rsidRPr="00A42FF4">
        <w:rPr>
          <w:rFonts w:eastAsia="Arial" w:cs="Arial"/>
        </w:rPr>
        <w:t xml:space="preserve"> </w:t>
      </w:r>
      <w:r w:rsidR="00BF20DA" w:rsidRPr="00A42FF4">
        <w:rPr>
          <w:rFonts w:eastAsia="Arial" w:cs="Arial"/>
        </w:rPr>
        <w:t>phase was $</w:t>
      </w:r>
      <w:r w:rsidR="005F35F7" w:rsidRPr="00A42FF4">
        <w:rPr>
          <w:rFonts w:eastAsia="Arial" w:cs="Arial"/>
        </w:rPr>
        <w:t>7,456</w:t>
      </w:r>
      <w:r w:rsidR="00BF20DA" w:rsidRPr="00A42FF4">
        <w:rPr>
          <w:rFonts w:eastAsia="Arial" w:cs="Arial"/>
        </w:rPr>
        <w:t xml:space="preserve"> for </w:t>
      </w:r>
      <w:r w:rsidR="00A54617" w:rsidRPr="00A42FF4">
        <w:rPr>
          <w:rFonts w:cstheme="majorBidi"/>
          <w:lang w:val="en-PH"/>
        </w:rPr>
        <w:t>2022</w:t>
      </w:r>
      <w:r w:rsidR="00012BF3">
        <w:rPr>
          <w:rFonts w:cstheme="majorBidi"/>
          <w:lang w:val="en-PH"/>
        </w:rPr>
        <w:noBreakHyphen/>
      </w:r>
      <w:r w:rsidR="00A54617" w:rsidRPr="00A42FF4">
        <w:rPr>
          <w:rFonts w:cstheme="majorBidi"/>
          <w:lang w:val="en-PH"/>
        </w:rPr>
        <w:t>23</w:t>
      </w:r>
      <w:r w:rsidR="00BF20DA" w:rsidRPr="00A42FF4">
        <w:rPr>
          <w:rFonts w:eastAsia="Arial" w:cs="Arial"/>
        </w:rPr>
        <w:t>, a</w:t>
      </w:r>
      <w:r w:rsidR="001D2506" w:rsidRPr="00A42FF4">
        <w:rPr>
          <w:rFonts w:eastAsia="Arial" w:cs="Arial"/>
        </w:rPr>
        <w:t xml:space="preserve"> </w:t>
      </w:r>
      <w:r w:rsidR="001E72BA" w:rsidRPr="00A42FF4">
        <w:rPr>
          <w:rFonts w:eastAsia="Arial" w:cs="Arial"/>
        </w:rPr>
        <w:t>3</w:t>
      </w:r>
      <w:r w:rsidR="00897090" w:rsidRPr="00A42FF4">
        <w:rPr>
          <w:rFonts w:eastAsia="Arial" w:cs="Arial"/>
        </w:rPr>
        <w:t>%</w:t>
      </w:r>
      <w:r w:rsidR="00BF20DA" w:rsidRPr="00A42FF4">
        <w:rPr>
          <w:rFonts w:eastAsia="Arial" w:cs="Arial"/>
        </w:rPr>
        <w:t xml:space="preserve"> </w:t>
      </w:r>
      <w:r w:rsidR="001D2506" w:rsidRPr="00A42FF4">
        <w:rPr>
          <w:rFonts w:eastAsia="Arial" w:cs="Arial"/>
        </w:rPr>
        <w:t>in</w:t>
      </w:r>
      <w:r w:rsidR="00BF20DA" w:rsidRPr="00A42FF4">
        <w:rPr>
          <w:rFonts w:eastAsia="Arial" w:cs="Arial"/>
        </w:rPr>
        <w:t xml:space="preserve">crease </w:t>
      </w:r>
      <w:r w:rsidR="007F0F18" w:rsidRPr="00A42FF4">
        <w:rPr>
          <w:rFonts w:eastAsia="Arial" w:cs="Arial"/>
        </w:rPr>
        <w:t>to the</w:t>
      </w:r>
      <w:r w:rsidR="00174918" w:rsidRPr="00A42FF4">
        <w:rPr>
          <w:rFonts w:eastAsia="Arial" w:cs="Arial"/>
        </w:rPr>
        <w:t xml:space="preserve"> </w:t>
      </w:r>
      <w:r w:rsidR="00A85636" w:rsidRPr="00A42FF4">
        <w:rPr>
          <w:rFonts w:cs="Arial"/>
        </w:rPr>
        <w:t>2021-22</w:t>
      </w:r>
      <w:r w:rsidR="007F0F18" w:rsidRPr="00A42FF4">
        <w:rPr>
          <w:rFonts w:eastAsia="Arial" w:cs="Arial"/>
        </w:rPr>
        <w:t xml:space="preserve"> </w:t>
      </w:r>
      <w:r w:rsidR="00174918" w:rsidRPr="00A42FF4">
        <w:rPr>
          <w:rFonts w:eastAsia="Arial" w:cs="Arial"/>
        </w:rPr>
        <w:t xml:space="preserve">national average </w:t>
      </w:r>
      <w:r w:rsidR="00BF20DA" w:rsidRPr="00A42FF4">
        <w:rPr>
          <w:rFonts w:eastAsia="Arial" w:cs="Arial"/>
        </w:rPr>
        <w:t xml:space="preserve">of </w:t>
      </w:r>
      <w:r w:rsidR="001D2506" w:rsidRPr="00A42FF4">
        <w:rPr>
          <w:rFonts w:eastAsia="Arial" w:cs="Arial"/>
        </w:rPr>
        <w:t>$7,258.</w:t>
      </w:r>
    </w:p>
    <w:p w14:paraId="752C6603" w14:textId="1318C326" w:rsidR="003425B0" w:rsidRDefault="003425B0" w:rsidP="00AF182D">
      <w:pPr>
        <w:pStyle w:val="TableFigureheading"/>
        <w:spacing w:before="160"/>
        <w:rPr>
          <w:rFonts w:cstheme="majorBidi"/>
          <w:szCs w:val="22"/>
          <w:lang w:val="en-PH"/>
        </w:rPr>
      </w:pPr>
      <w:bookmarkStart w:id="140" w:name="_Ref185835148"/>
      <w:bookmarkStart w:id="141" w:name="_Toc177467511"/>
      <w:bookmarkStart w:id="142" w:name="_Toc185852217"/>
      <w:bookmarkStart w:id="143" w:name="_Toc187312136"/>
      <w:r w:rsidRPr="0093558C">
        <w:rPr>
          <w:rFonts w:cstheme="majorBidi"/>
          <w:szCs w:val="22"/>
          <w:lang w:val="en-PH"/>
        </w:rPr>
        <w:t xml:space="preserve">Table </w:t>
      </w:r>
      <w:r w:rsidRPr="0093558C">
        <w:rPr>
          <w:rFonts w:cstheme="majorBidi"/>
          <w:szCs w:val="22"/>
          <w:lang w:val="en-PH"/>
        </w:rPr>
        <w:fldChar w:fldCharType="begin"/>
      </w:r>
      <w:r w:rsidRPr="0093558C">
        <w:rPr>
          <w:rFonts w:cstheme="majorBidi"/>
          <w:szCs w:val="22"/>
          <w:lang w:val="en-PH"/>
        </w:rPr>
        <w:instrText xml:space="preserve"> SEQ Table \* ARABIC </w:instrText>
      </w:r>
      <w:r w:rsidRPr="0093558C">
        <w:rPr>
          <w:rFonts w:cstheme="majorBidi"/>
          <w:szCs w:val="22"/>
          <w:lang w:val="en-PH"/>
        </w:rPr>
        <w:fldChar w:fldCharType="separate"/>
      </w:r>
      <w:r w:rsidR="003523AB">
        <w:rPr>
          <w:rFonts w:cstheme="majorBidi"/>
          <w:noProof/>
          <w:szCs w:val="22"/>
          <w:lang w:val="en-PH"/>
        </w:rPr>
        <w:t>10</w:t>
      </w:r>
      <w:r w:rsidRPr="0093558C">
        <w:rPr>
          <w:rFonts w:cstheme="majorBidi"/>
          <w:szCs w:val="22"/>
          <w:lang w:val="en-PH"/>
        </w:rPr>
        <w:fldChar w:fldCharType="end"/>
      </w:r>
      <w:bookmarkEnd w:id="140"/>
      <w:r w:rsidRPr="0093558C">
        <w:rPr>
          <w:rFonts w:cstheme="majorBidi"/>
          <w:szCs w:val="22"/>
          <w:lang w:val="en-PH"/>
        </w:rPr>
        <w:t xml:space="preserve">: </w:t>
      </w:r>
      <w:r w:rsidR="00BA79DC">
        <w:rPr>
          <w:rFonts w:cstheme="majorBidi"/>
          <w:szCs w:val="22"/>
          <w:lang w:val="en-PH"/>
        </w:rPr>
        <w:t>AN-SNAP</w:t>
      </w:r>
      <w:r w:rsidR="00F65212">
        <w:rPr>
          <w:rFonts w:cstheme="majorBidi"/>
          <w:szCs w:val="22"/>
          <w:lang w:val="en-PH"/>
        </w:rPr>
        <w:t xml:space="preserve"> </w:t>
      </w:r>
      <w:r w:rsidR="00BA79DC">
        <w:rPr>
          <w:rFonts w:cstheme="majorBidi"/>
          <w:szCs w:val="22"/>
          <w:lang w:val="en-PH"/>
        </w:rPr>
        <w:t>phases</w:t>
      </w:r>
      <w:r>
        <w:rPr>
          <w:rFonts w:cstheme="majorBidi"/>
          <w:szCs w:val="22"/>
          <w:lang w:val="en-PH"/>
        </w:rPr>
        <w:t xml:space="preserve"> </w:t>
      </w:r>
      <w:r w:rsidR="00ED6783">
        <w:rPr>
          <w:rFonts w:cstheme="majorBidi"/>
          <w:szCs w:val="22"/>
          <w:lang w:val="en-PH"/>
        </w:rPr>
        <w:t xml:space="preserve">national </w:t>
      </w:r>
      <w:r>
        <w:rPr>
          <w:rFonts w:cstheme="majorBidi"/>
          <w:szCs w:val="22"/>
          <w:lang w:val="en-PH"/>
        </w:rPr>
        <w:t>summary</w:t>
      </w:r>
      <w:r w:rsidRPr="0093558C">
        <w:rPr>
          <w:rFonts w:cstheme="majorBidi"/>
          <w:szCs w:val="22"/>
          <w:lang w:val="en-PH"/>
        </w:rPr>
        <w:t xml:space="preserve">, </w:t>
      </w:r>
      <w:r w:rsidRPr="00D73FCC">
        <w:rPr>
          <w:rFonts w:cstheme="majorBidi"/>
          <w:szCs w:val="22"/>
          <w:lang w:val="en-PH"/>
        </w:rPr>
        <w:t>2020-21</w:t>
      </w:r>
      <w:r w:rsidRPr="0093558C">
        <w:rPr>
          <w:rFonts w:cstheme="majorBidi"/>
          <w:szCs w:val="22"/>
          <w:lang w:val="en-PH"/>
        </w:rPr>
        <w:t xml:space="preserve"> to </w:t>
      </w:r>
      <w:r w:rsidRPr="008B2CD8">
        <w:rPr>
          <w:rFonts w:cstheme="majorBidi"/>
          <w:szCs w:val="22"/>
          <w:lang w:val="en-PH"/>
        </w:rPr>
        <w:t>202</w:t>
      </w:r>
      <w:r>
        <w:rPr>
          <w:rFonts w:cstheme="majorBidi"/>
          <w:szCs w:val="22"/>
          <w:lang w:val="en-PH"/>
        </w:rPr>
        <w:t>2</w:t>
      </w:r>
      <w:r w:rsidRPr="008B2CD8">
        <w:rPr>
          <w:rFonts w:cstheme="majorBidi"/>
          <w:szCs w:val="22"/>
          <w:lang w:val="en-PH"/>
        </w:rPr>
        <w:t>-2</w:t>
      </w:r>
      <w:r>
        <w:rPr>
          <w:rFonts w:cstheme="majorBidi"/>
          <w:szCs w:val="22"/>
          <w:lang w:val="en-PH"/>
        </w:rPr>
        <w:t>3</w:t>
      </w:r>
      <w:bookmarkEnd w:id="141"/>
      <w:bookmarkEnd w:id="142"/>
      <w:bookmarkEnd w:id="143"/>
    </w:p>
    <w:tbl>
      <w:tblPr>
        <w:tblW w:w="9723" w:type="dxa"/>
        <w:tblLook w:val="04A0" w:firstRow="1" w:lastRow="0" w:firstColumn="1" w:lastColumn="0" w:noHBand="0" w:noVBand="1"/>
      </w:tblPr>
      <w:tblGrid>
        <w:gridCol w:w="3303"/>
        <w:gridCol w:w="2140"/>
        <w:gridCol w:w="2140"/>
        <w:gridCol w:w="2140"/>
      </w:tblGrid>
      <w:tr w:rsidR="003425B0" w:rsidRPr="00492588" w14:paraId="1B408B65" w14:textId="77777777">
        <w:trPr>
          <w:trHeight w:val="298"/>
        </w:trPr>
        <w:tc>
          <w:tcPr>
            <w:tcW w:w="3303" w:type="dxa"/>
            <w:tcBorders>
              <w:top w:val="nil"/>
              <w:left w:val="single" w:sz="8" w:space="0" w:color="FFFFFF"/>
              <w:bottom w:val="nil"/>
              <w:right w:val="nil"/>
            </w:tcBorders>
            <w:shd w:val="clear" w:color="000000" w:fill="15272F"/>
            <w:vAlign w:val="center"/>
            <w:hideMark/>
          </w:tcPr>
          <w:p w14:paraId="389C4651" w14:textId="77777777" w:rsidR="003425B0" w:rsidRPr="00144CE8" w:rsidRDefault="003425B0" w:rsidP="0007638E">
            <w:pPr>
              <w:spacing w:before="40" w:after="40" w:line="240" w:lineRule="auto"/>
              <w:rPr>
                <w:rFonts w:eastAsia="Times New Roman" w:cs="Arial"/>
                <w:b/>
                <w:bCs/>
                <w:color w:val="FFFFFF"/>
                <w:sz w:val="16"/>
                <w:szCs w:val="16"/>
                <w:lang w:eastAsia="en-AU"/>
              </w:rPr>
            </w:pPr>
            <w:r w:rsidRPr="00144CE8">
              <w:rPr>
                <w:rFonts w:eastAsia="Times New Roman" w:cs="Arial"/>
                <w:b/>
                <w:bCs/>
                <w:color w:val="FFFFFF"/>
                <w:sz w:val="16"/>
                <w:szCs w:val="16"/>
                <w:lang w:eastAsia="en-AU"/>
              </w:rPr>
              <w:t> </w:t>
            </w:r>
          </w:p>
        </w:tc>
        <w:tc>
          <w:tcPr>
            <w:tcW w:w="2140" w:type="dxa"/>
            <w:tcBorders>
              <w:top w:val="nil"/>
              <w:left w:val="single" w:sz="8" w:space="0" w:color="FFFFFF"/>
              <w:bottom w:val="nil"/>
              <w:right w:val="nil"/>
            </w:tcBorders>
            <w:shd w:val="clear" w:color="000000" w:fill="15272F"/>
            <w:vAlign w:val="center"/>
            <w:hideMark/>
          </w:tcPr>
          <w:p w14:paraId="5E426232" w14:textId="77777777" w:rsidR="003425B0" w:rsidRPr="00144CE8" w:rsidRDefault="003425B0" w:rsidP="0007638E">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sz w:val="16"/>
                <w:szCs w:val="16"/>
                <w:lang w:eastAsia="en-AU"/>
              </w:rPr>
              <w:t>2020-21</w:t>
            </w:r>
          </w:p>
        </w:tc>
        <w:tc>
          <w:tcPr>
            <w:tcW w:w="2140" w:type="dxa"/>
            <w:tcBorders>
              <w:top w:val="nil"/>
              <w:left w:val="single" w:sz="8" w:space="0" w:color="FFFFFF"/>
              <w:bottom w:val="nil"/>
              <w:right w:val="nil"/>
            </w:tcBorders>
            <w:shd w:val="clear" w:color="000000" w:fill="15272F"/>
            <w:vAlign w:val="center"/>
            <w:hideMark/>
          </w:tcPr>
          <w:p w14:paraId="33BE1106" w14:textId="77777777" w:rsidR="003425B0" w:rsidRPr="00144CE8" w:rsidRDefault="003425B0" w:rsidP="0007638E">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sz w:val="16"/>
                <w:szCs w:val="16"/>
                <w:lang w:eastAsia="en-AU"/>
              </w:rPr>
              <w:t>2021-22</w:t>
            </w:r>
          </w:p>
        </w:tc>
        <w:tc>
          <w:tcPr>
            <w:tcW w:w="2140" w:type="dxa"/>
            <w:tcBorders>
              <w:top w:val="nil"/>
              <w:left w:val="single" w:sz="8" w:space="0" w:color="FFFFFF"/>
              <w:bottom w:val="nil"/>
              <w:right w:val="nil"/>
            </w:tcBorders>
            <w:shd w:val="clear" w:color="000000" w:fill="15272F"/>
            <w:vAlign w:val="center"/>
            <w:hideMark/>
          </w:tcPr>
          <w:p w14:paraId="1D9FEC7F" w14:textId="77777777" w:rsidR="003425B0" w:rsidRPr="00144CE8" w:rsidRDefault="003425B0" w:rsidP="0007638E">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sz w:val="16"/>
                <w:szCs w:val="16"/>
                <w:lang w:eastAsia="en-AU"/>
              </w:rPr>
              <w:t>2022-23</w:t>
            </w:r>
          </w:p>
        </w:tc>
      </w:tr>
      <w:tr w:rsidR="003425B0" w:rsidRPr="00492588" w14:paraId="68CA2ADA" w14:textId="77777777" w:rsidTr="0007638E">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tcPr>
          <w:p w14:paraId="64456F5A" w14:textId="77777777" w:rsidR="003425B0" w:rsidRPr="00144CE8" w:rsidRDefault="003425B0" w:rsidP="0007638E">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Number of establishments (phases)</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56CDC3FC" w14:textId="6CA21A08" w:rsidR="003425B0" w:rsidRPr="00144CE8" w:rsidRDefault="003425B0" w:rsidP="0007638E">
            <w:pPr>
              <w:spacing w:before="40" w:after="40" w:line="240" w:lineRule="auto"/>
              <w:jc w:val="right"/>
              <w:rPr>
                <w:rFonts w:cs="Arial"/>
                <w:sz w:val="16"/>
                <w:szCs w:val="16"/>
              </w:rPr>
            </w:pPr>
            <w:r w:rsidRPr="00144CE8">
              <w:rPr>
                <w:rFonts w:cs="Arial"/>
                <w:sz w:val="16"/>
                <w:szCs w:val="16"/>
              </w:rPr>
              <w:t xml:space="preserve">                     214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2EE470CA" w14:textId="21CDA064" w:rsidR="003425B0" w:rsidRPr="00144CE8" w:rsidRDefault="003425B0" w:rsidP="0007638E">
            <w:pPr>
              <w:spacing w:before="40" w:after="40" w:line="240" w:lineRule="auto"/>
              <w:jc w:val="right"/>
              <w:rPr>
                <w:rFonts w:cs="Arial"/>
                <w:sz w:val="16"/>
                <w:szCs w:val="16"/>
              </w:rPr>
            </w:pPr>
            <w:r w:rsidRPr="00144CE8">
              <w:rPr>
                <w:rFonts w:cs="Arial"/>
                <w:sz w:val="16"/>
                <w:szCs w:val="16"/>
              </w:rPr>
              <w:t xml:space="preserve">                     214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0CC7D1D9" w14:textId="4E2A1F92" w:rsidR="003425B0" w:rsidRPr="00144CE8" w:rsidRDefault="00AB397E" w:rsidP="0007638E">
            <w:pPr>
              <w:spacing w:before="40" w:after="40" w:line="240" w:lineRule="auto"/>
              <w:jc w:val="right"/>
              <w:rPr>
                <w:rFonts w:cs="Arial"/>
                <w:sz w:val="16"/>
                <w:szCs w:val="16"/>
              </w:rPr>
            </w:pPr>
            <w:r w:rsidRPr="00144CE8">
              <w:rPr>
                <w:rFonts w:cs="Arial"/>
                <w:sz w:val="16"/>
                <w:szCs w:val="16"/>
              </w:rPr>
              <w:t>248</w:t>
            </w:r>
          </w:p>
        </w:tc>
      </w:tr>
      <w:tr w:rsidR="003425B0" w:rsidRPr="00492588" w14:paraId="2DB64FB2" w14:textId="77777777" w:rsidTr="0007638E">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hideMark/>
          </w:tcPr>
          <w:p w14:paraId="0FEB6865" w14:textId="77777777" w:rsidR="003425B0" w:rsidRPr="00144CE8" w:rsidRDefault="003425B0" w:rsidP="0007638E">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Phases</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55109A32" w14:textId="29BA5FD8" w:rsidR="003425B0" w:rsidRPr="00CA7829" w:rsidRDefault="003425B0" w:rsidP="0007638E">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57,445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78F85025" w14:textId="6DFBB4DD" w:rsidR="003425B0" w:rsidRPr="00CA7829" w:rsidRDefault="003425B0" w:rsidP="0007638E">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64,477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69278F6E" w14:textId="36C23965" w:rsidR="003425B0" w:rsidRPr="00CA7829" w:rsidRDefault="001E72BA" w:rsidP="0007638E">
            <w:pPr>
              <w:spacing w:before="40" w:after="40" w:line="240" w:lineRule="auto"/>
              <w:jc w:val="right"/>
              <w:rPr>
                <w:rFonts w:eastAsia="Times New Roman" w:cs="Arial"/>
                <w:color w:val="1C1C1C"/>
                <w:sz w:val="16"/>
                <w:szCs w:val="16"/>
                <w:lang w:eastAsia="en-AU"/>
              </w:rPr>
            </w:pPr>
            <w:r w:rsidRPr="00144CE8">
              <w:rPr>
                <w:rFonts w:cs="Arial"/>
                <w:sz w:val="16"/>
                <w:szCs w:val="16"/>
              </w:rPr>
              <w:t>72,889</w:t>
            </w:r>
            <w:r w:rsidR="003425B0" w:rsidRPr="00144CE8">
              <w:rPr>
                <w:rFonts w:cs="Arial"/>
                <w:sz w:val="16"/>
                <w:szCs w:val="16"/>
              </w:rPr>
              <w:t xml:space="preserve"> </w:t>
            </w:r>
          </w:p>
        </w:tc>
      </w:tr>
      <w:tr w:rsidR="003425B0" w:rsidRPr="00492588" w14:paraId="4713FD64" w14:textId="77777777" w:rsidTr="0007638E">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tcPr>
          <w:p w14:paraId="27BFA259" w14:textId="15BFD395" w:rsidR="003425B0" w:rsidRPr="00144CE8" w:rsidRDefault="006B63F7" w:rsidP="0007638E">
            <w:pPr>
              <w:spacing w:before="40" w:after="40" w:line="240" w:lineRule="auto"/>
              <w:rPr>
                <w:rFonts w:eastAsia="Times New Roman" w:cs="Arial"/>
                <w:color w:val="1C1C1C"/>
                <w:sz w:val="16"/>
                <w:szCs w:val="16"/>
                <w:lang w:eastAsia="en-AU"/>
              </w:rPr>
            </w:pPr>
            <w:r>
              <w:rPr>
                <w:rFonts w:eastAsia="Times New Roman" w:cs="Arial"/>
                <w:color w:val="1C1C1C"/>
                <w:sz w:val="16"/>
                <w:szCs w:val="16"/>
                <w:lang w:eastAsia="en-AU"/>
              </w:rPr>
              <w:t>C</w:t>
            </w:r>
            <w:r w:rsidR="003425B0" w:rsidRPr="00144CE8">
              <w:rPr>
                <w:rFonts w:eastAsia="Times New Roman" w:cs="Arial"/>
                <w:color w:val="1C1C1C"/>
                <w:sz w:val="16"/>
                <w:szCs w:val="16"/>
                <w:lang w:eastAsia="en-AU"/>
              </w:rPr>
              <w:t>ost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7DC3F809" w14:textId="2E32BEA7" w:rsidR="003425B0" w:rsidRPr="00144CE8" w:rsidRDefault="003425B0" w:rsidP="0007638E">
            <w:pPr>
              <w:spacing w:before="40" w:after="40" w:line="240" w:lineRule="auto"/>
              <w:jc w:val="right"/>
              <w:rPr>
                <w:rFonts w:cs="Arial"/>
                <w:sz w:val="16"/>
                <w:szCs w:val="16"/>
              </w:rPr>
            </w:pPr>
            <w:r w:rsidRPr="00144CE8">
              <w:rPr>
                <w:rFonts w:cs="Arial"/>
                <w:sz w:val="16"/>
                <w:szCs w:val="16"/>
              </w:rPr>
              <w:t xml:space="preserve">       426,194,166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620F6AF4" w14:textId="6BC8CEAD" w:rsidR="003425B0" w:rsidRPr="00144CE8" w:rsidRDefault="003425B0" w:rsidP="0007638E">
            <w:pPr>
              <w:spacing w:before="40" w:after="40" w:line="240" w:lineRule="auto"/>
              <w:jc w:val="right"/>
              <w:rPr>
                <w:rFonts w:cs="Arial"/>
                <w:sz w:val="16"/>
                <w:szCs w:val="16"/>
              </w:rPr>
            </w:pPr>
            <w:r w:rsidRPr="00144CE8">
              <w:rPr>
                <w:rFonts w:cs="Arial"/>
                <w:sz w:val="16"/>
                <w:szCs w:val="16"/>
              </w:rPr>
              <w:t xml:space="preserve">       467,947,476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0486EBE2" w14:textId="04110E0D" w:rsidR="003425B0" w:rsidRPr="00144CE8" w:rsidRDefault="001E72BA" w:rsidP="0007638E">
            <w:pPr>
              <w:spacing w:before="40" w:after="40" w:line="240" w:lineRule="auto"/>
              <w:jc w:val="right"/>
              <w:rPr>
                <w:rFonts w:cs="Arial"/>
                <w:sz w:val="16"/>
                <w:szCs w:val="16"/>
              </w:rPr>
            </w:pPr>
            <w:r w:rsidRPr="00144CE8">
              <w:rPr>
                <w:rFonts w:cs="Arial"/>
                <w:sz w:val="16"/>
                <w:szCs w:val="16"/>
              </w:rPr>
              <w:t>543,455,301</w:t>
            </w:r>
            <w:r w:rsidR="003425B0" w:rsidRPr="00144CE8">
              <w:rPr>
                <w:rFonts w:cs="Arial"/>
                <w:sz w:val="16"/>
                <w:szCs w:val="16"/>
              </w:rPr>
              <w:t xml:space="preserve"> </w:t>
            </w:r>
          </w:p>
        </w:tc>
      </w:tr>
      <w:tr w:rsidR="003425B0" w:rsidRPr="00492588" w14:paraId="32A3315A" w14:textId="77777777" w:rsidTr="0007638E">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tcPr>
          <w:p w14:paraId="73FE211C" w14:textId="77777777" w:rsidR="003425B0" w:rsidRPr="00144CE8" w:rsidRDefault="003425B0" w:rsidP="0007638E">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Average cost per phase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77491765" w14:textId="0EB15B45" w:rsidR="003425B0" w:rsidRPr="00144CE8" w:rsidRDefault="003425B0" w:rsidP="0007638E">
            <w:pPr>
              <w:spacing w:before="40" w:after="40" w:line="240" w:lineRule="auto"/>
              <w:jc w:val="right"/>
              <w:rPr>
                <w:rFonts w:cs="Arial"/>
                <w:sz w:val="16"/>
                <w:szCs w:val="16"/>
              </w:rPr>
            </w:pPr>
            <w:r w:rsidRPr="00144CE8">
              <w:rPr>
                <w:rFonts w:cs="Arial"/>
                <w:sz w:val="16"/>
                <w:szCs w:val="16"/>
              </w:rPr>
              <w:t xml:space="preserve">                  7,419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4A137101" w14:textId="45071F76" w:rsidR="003425B0" w:rsidRPr="00144CE8" w:rsidRDefault="003425B0" w:rsidP="0007638E">
            <w:pPr>
              <w:spacing w:before="40" w:after="40" w:line="240" w:lineRule="auto"/>
              <w:jc w:val="right"/>
              <w:rPr>
                <w:rFonts w:cs="Arial"/>
                <w:sz w:val="16"/>
                <w:szCs w:val="16"/>
              </w:rPr>
            </w:pPr>
            <w:r w:rsidRPr="00144CE8">
              <w:rPr>
                <w:rFonts w:cs="Arial"/>
                <w:sz w:val="16"/>
                <w:szCs w:val="16"/>
              </w:rPr>
              <w:t xml:space="preserve">                  7,258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66E3222E" w14:textId="54691D5B" w:rsidR="003425B0" w:rsidRPr="00144CE8" w:rsidRDefault="005F35F7" w:rsidP="0007638E">
            <w:pPr>
              <w:spacing w:before="40" w:after="40" w:line="240" w:lineRule="auto"/>
              <w:jc w:val="right"/>
              <w:rPr>
                <w:rFonts w:cs="Arial"/>
                <w:sz w:val="16"/>
                <w:szCs w:val="16"/>
              </w:rPr>
            </w:pPr>
            <w:r w:rsidRPr="00144CE8">
              <w:rPr>
                <w:rFonts w:cs="Arial"/>
                <w:sz w:val="16"/>
                <w:szCs w:val="16"/>
              </w:rPr>
              <w:t>7,456</w:t>
            </w:r>
            <w:r w:rsidR="003425B0" w:rsidRPr="00144CE8">
              <w:rPr>
                <w:rFonts w:cs="Arial"/>
                <w:sz w:val="16"/>
                <w:szCs w:val="16"/>
              </w:rPr>
              <w:t xml:space="preserve"> </w:t>
            </w:r>
          </w:p>
        </w:tc>
      </w:tr>
    </w:tbl>
    <w:p w14:paraId="1E9DEEC6" w14:textId="3803493E" w:rsidR="00E07B55" w:rsidRPr="00CE058E" w:rsidRDefault="00E07B55" w:rsidP="007B41F8">
      <w:pPr>
        <w:pStyle w:val="Heading2"/>
      </w:pPr>
      <w:bookmarkStart w:id="144" w:name="_Toc151129699"/>
      <w:bookmarkStart w:id="145" w:name="_Toc158882550"/>
      <w:bookmarkStart w:id="146" w:name="_Toc158882611"/>
      <w:bookmarkEnd w:id="135"/>
      <w:bookmarkEnd w:id="136"/>
      <w:r w:rsidRPr="00CE058E">
        <w:lastRenderedPageBreak/>
        <w:t xml:space="preserve">Admitted </w:t>
      </w:r>
      <w:bookmarkStart w:id="147" w:name="_Toc144215442"/>
      <w:bookmarkStart w:id="148" w:name="_Toc144967648"/>
      <w:r w:rsidRPr="00CE058E">
        <w:t xml:space="preserve">subacute and non-acute </w:t>
      </w:r>
      <w:bookmarkEnd w:id="144"/>
      <w:bookmarkEnd w:id="145"/>
      <w:bookmarkEnd w:id="146"/>
      <w:r w:rsidR="007F7EEF">
        <w:t>sample</w:t>
      </w:r>
    </w:p>
    <w:p w14:paraId="29AD1ADC" w14:textId="2FA196E5" w:rsidR="002749E8" w:rsidRPr="00A42FF4" w:rsidRDefault="00CC29EE" w:rsidP="00F25099">
      <w:pPr>
        <w:spacing w:line="276" w:lineRule="auto"/>
        <w:rPr>
          <w:rFonts w:cs="Arial"/>
        </w:rPr>
      </w:pPr>
      <w:bookmarkStart w:id="149" w:name="_Hlk184822493"/>
      <w:bookmarkEnd w:id="147"/>
      <w:bookmarkEnd w:id="148"/>
      <w:r w:rsidRPr="00CC29EE">
        <w:rPr>
          <w:rFonts w:cs="Arial"/>
        </w:rPr>
        <w:t xml:space="preserve">In 2022-23, 100% of the </w:t>
      </w:r>
      <w:r w:rsidR="003678E1">
        <w:rPr>
          <w:rFonts w:cs="Arial"/>
        </w:rPr>
        <w:t xml:space="preserve">NHCDC </w:t>
      </w:r>
      <w:r w:rsidR="0091797F">
        <w:rPr>
          <w:rFonts w:cs="Arial"/>
        </w:rPr>
        <w:t>AN-SNAP</w:t>
      </w:r>
      <w:r>
        <w:rPr>
          <w:rFonts w:cs="Arial"/>
        </w:rPr>
        <w:t xml:space="preserve"> episode</w:t>
      </w:r>
      <w:r w:rsidRPr="00CC29EE">
        <w:rPr>
          <w:rFonts w:cs="Arial"/>
        </w:rPr>
        <w:t xml:space="preserve"> records were </w:t>
      </w:r>
      <w:r w:rsidR="003678E1">
        <w:rPr>
          <w:rFonts w:cs="Arial"/>
        </w:rPr>
        <w:t xml:space="preserve">linked to activity and </w:t>
      </w:r>
      <w:r w:rsidRPr="00CC29EE">
        <w:rPr>
          <w:rFonts w:cs="Arial"/>
        </w:rPr>
        <w:t>in</w:t>
      </w:r>
      <w:r w:rsidR="001D0F17">
        <w:rPr>
          <w:rFonts w:cs="Arial"/>
        </w:rPr>
        <w:t xml:space="preserve"> </w:t>
      </w:r>
      <w:r w:rsidRPr="00CC29EE">
        <w:rPr>
          <w:rFonts w:cs="Arial"/>
        </w:rPr>
        <w:t xml:space="preserve">scope for </w:t>
      </w:r>
      <w:r w:rsidR="003678E1">
        <w:rPr>
          <w:rFonts w:cs="Arial"/>
        </w:rPr>
        <w:t xml:space="preserve">NHCDC </w:t>
      </w:r>
      <w:r w:rsidRPr="00CC29EE">
        <w:rPr>
          <w:rFonts w:cs="Arial"/>
        </w:rPr>
        <w:t xml:space="preserve">reporting. </w:t>
      </w:r>
      <w:r w:rsidR="003523AB" w:rsidRPr="003523AB">
        <w:rPr>
          <w:rFonts w:cs="Arial"/>
        </w:rPr>
        <w:fldChar w:fldCharType="begin"/>
      </w:r>
      <w:r w:rsidR="003523AB" w:rsidRPr="003523AB">
        <w:rPr>
          <w:rFonts w:cs="Arial"/>
        </w:rPr>
        <w:instrText xml:space="preserve"> REF _Ref185835171 \h </w:instrText>
      </w:r>
      <w:r w:rsidR="001B6FF3">
        <w:rPr>
          <w:rFonts w:cs="Arial"/>
        </w:rPr>
        <w:instrText xml:space="preserve"> \* MERGEFORMAT </w:instrText>
      </w:r>
      <w:r w:rsidR="003523AB" w:rsidRPr="003523AB">
        <w:rPr>
          <w:rFonts w:cs="Arial"/>
        </w:rPr>
      </w:r>
      <w:r w:rsidR="003523AB" w:rsidRPr="003523AB">
        <w:rPr>
          <w:rFonts w:cs="Arial"/>
        </w:rPr>
        <w:fldChar w:fldCharType="separate"/>
      </w:r>
      <w:r w:rsidR="003523AB" w:rsidRPr="00296833">
        <w:rPr>
          <w:rFonts w:cstheme="majorBidi"/>
          <w:lang w:val="en-PH"/>
        </w:rPr>
        <w:t xml:space="preserve">Table </w:t>
      </w:r>
      <w:r w:rsidR="003523AB" w:rsidRPr="00296833">
        <w:rPr>
          <w:rFonts w:cstheme="majorBidi"/>
          <w:noProof/>
          <w:lang w:val="en-PH"/>
        </w:rPr>
        <w:t>11</w:t>
      </w:r>
      <w:r w:rsidR="003523AB" w:rsidRPr="003523AB">
        <w:rPr>
          <w:rFonts w:cs="Arial"/>
        </w:rPr>
        <w:fldChar w:fldCharType="end"/>
      </w:r>
      <w:r w:rsidR="0072141C" w:rsidRPr="003523AB">
        <w:rPr>
          <w:rFonts w:cs="Arial"/>
        </w:rPr>
        <w:t xml:space="preserve"> </w:t>
      </w:r>
      <w:r w:rsidRPr="00CC29EE">
        <w:rPr>
          <w:rFonts w:cs="Arial"/>
        </w:rPr>
        <w:t xml:space="preserve">shows the number of in-scope </w:t>
      </w:r>
      <w:r w:rsidR="003A549C">
        <w:rPr>
          <w:rFonts w:cs="Arial"/>
        </w:rPr>
        <w:t xml:space="preserve">NHCDC </w:t>
      </w:r>
      <w:r w:rsidRPr="00CC29EE">
        <w:rPr>
          <w:rFonts w:cs="Arial"/>
        </w:rPr>
        <w:t>records</w:t>
      </w:r>
      <w:r w:rsidR="001B5B6A">
        <w:rPr>
          <w:rFonts w:cs="Arial"/>
        </w:rPr>
        <w:t xml:space="preserve"> and</w:t>
      </w:r>
      <w:r w:rsidR="003A549C">
        <w:rPr>
          <w:rFonts w:cs="Arial"/>
        </w:rPr>
        <w:t xml:space="preserve"> ABF</w:t>
      </w:r>
      <w:r w:rsidRPr="00CC29EE">
        <w:rPr>
          <w:rFonts w:cs="Arial"/>
        </w:rPr>
        <w:t xml:space="preserve"> activity, and </w:t>
      </w:r>
      <w:r w:rsidR="001B5B6A">
        <w:rPr>
          <w:rFonts w:cs="Arial"/>
        </w:rPr>
        <w:t xml:space="preserve">the </w:t>
      </w:r>
      <w:r w:rsidRPr="00CC29EE">
        <w:rPr>
          <w:rFonts w:cs="Arial"/>
        </w:rPr>
        <w:t xml:space="preserve">proportion of costed activity by jurisdiction, from 2021-22 to </w:t>
      </w:r>
      <w:r w:rsidRPr="00CC29EE">
        <w:rPr>
          <w:rFonts w:cs="Arial"/>
          <w:lang w:val="en-PH"/>
        </w:rPr>
        <w:t>2022-23</w:t>
      </w:r>
      <w:r w:rsidRPr="00CC29EE">
        <w:rPr>
          <w:rFonts w:cs="Arial"/>
        </w:rPr>
        <w:t>.</w:t>
      </w:r>
      <w:r w:rsidR="00BF4C5C">
        <w:rPr>
          <w:rFonts w:cs="Arial"/>
        </w:rPr>
        <w:t xml:space="preserve"> </w:t>
      </w:r>
      <w:r w:rsidR="003678E1">
        <w:rPr>
          <w:rFonts w:cs="Arial"/>
        </w:rPr>
        <w:t>In 2022-23, n</w:t>
      </w:r>
      <w:r w:rsidR="00BF4C5C" w:rsidRPr="00CC29EE">
        <w:rPr>
          <w:rFonts w:cs="Arial"/>
        </w:rPr>
        <w:t>ationally</w:t>
      </w:r>
      <w:r w:rsidR="003678E1">
        <w:rPr>
          <w:rFonts w:cs="Arial"/>
        </w:rPr>
        <w:t xml:space="preserve"> 75% of in-scope activity was linked to cost (</w:t>
      </w:r>
      <w:r w:rsidR="001B5B6A">
        <w:rPr>
          <w:rFonts w:cs="Arial"/>
        </w:rPr>
        <w:t>c</w:t>
      </w:r>
      <w:r w:rsidR="003678E1">
        <w:rPr>
          <w:rFonts w:cs="Arial"/>
        </w:rPr>
        <w:t xml:space="preserve">osted </w:t>
      </w:r>
      <w:r w:rsidR="00183417">
        <w:rPr>
          <w:rFonts w:cs="Arial"/>
        </w:rPr>
        <w:t>a</w:t>
      </w:r>
      <w:r w:rsidR="003678E1">
        <w:rPr>
          <w:rFonts w:cs="Arial"/>
        </w:rPr>
        <w:t>ctivity %)</w:t>
      </w:r>
      <w:r w:rsidR="003678E1">
        <w:t>, a decrease</w:t>
      </w:r>
      <w:r w:rsidR="00EB41FE">
        <w:t xml:space="preserve"> </w:t>
      </w:r>
      <w:r w:rsidR="00504902">
        <w:t>from</w:t>
      </w:r>
      <w:r w:rsidR="00EB41FE">
        <w:t xml:space="preserve"> </w:t>
      </w:r>
      <w:r w:rsidR="00504902">
        <w:t>76</w:t>
      </w:r>
      <w:r w:rsidR="00EB41FE">
        <w:t xml:space="preserve">% </w:t>
      </w:r>
      <w:r w:rsidR="00156B1A">
        <w:t xml:space="preserve">in </w:t>
      </w:r>
      <w:r w:rsidR="004678CA" w:rsidRPr="009F180B">
        <w:t>202</w:t>
      </w:r>
      <w:r w:rsidR="00BF4C5C">
        <w:t>1</w:t>
      </w:r>
      <w:r w:rsidR="004678CA" w:rsidRPr="009F180B">
        <w:t>-2</w:t>
      </w:r>
      <w:r w:rsidR="00BF4C5C">
        <w:t>2</w:t>
      </w:r>
      <w:r w:rsidR="004678CA" w:rsidRPr="009F180B">
        <w:t>.</w:t>
      </w:r>
    </w:p>
    <w:p w14:paraId="13611A6E" w14:textId="1BBFC351" w:rsidR="00657489" w:rsidRPr="0093558C" w:rsidRDefault="00C53B6A" w:rsidP="00296833">
      <w:pPr>
        <w:pStyle w:val="TableFigureheading"/>
        <w:rPr>
          <w:lang w:val="en-PH"/>
        </w:rPr>
      </w:pPr>
      <w:bookmarkStart w:id="150" w:name="_Ref185835171"/>
      <w:bookmarkStart w:id="151" w:name="_Toc149650908"/>
      <w:bookmarkStart w:id="152" w:name="_Toc177467512"/>
      <w:bookmarkStart w:id="153" w:name="_Toc185852218"/>
      <w:bookmarkStart w:id="154" w:name="_Toc187312137"/>
      <w:bookmarkStart w:id="155" w:name="_Toc144215444"/>
      <w:bookmarkEnd w:id="149"/>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3523AB">
        <w:rPr>
          <w:noProof/>
          <w:lang w:val="en-PH"/>
        </w:rPr>
        <w:t>11</w:t>
      </w:r>
      <w:r w:rsidRPr="0093558C">
        <w:rPr>
          <w:lang w:val="en-PH"/>
        </w:rPr>
        <w:fldChar w:fldCharType="end"/>
      </w:r>
      <w:bookmarkEnd w:id="150"/>
      <w:r w:rsidR="00E07B55" w:rsidRPr="0093558C">
        <w:rPr>
          <w:lang w:val="en-PH"/>
        </w:rPr>
        <w:t xml:space="preserve">: </w:t>
      </w:r>
      <w:r w:rsidR="00AA0720">
        <w:rPr>
          <w:lang w:val="en-PH"/>
        </w:rPr>
        <w:t>AN-SNAP</w:t>
      </w:r>
      <w:r w:rsidR="003F5DC9">
        <w:rPr>
          <w:lang w:val="en-PH"/>
        </w:rPr>
        <w:t xml:space="preserve"> </w:t>
      </w:r>
      <w:r w:rsidR="00880EA2">
        <w:rPr>
          <w:lang w:val="en-PH"/>
        </w:rPr>
        <w:t>episode</w:t>
      </w:r>
      <w:r w:rsidR="00DC2CD1">
        <w:rPr>
          <w:lang w:val="en-PH"/>
        </w:rPr>
        <w:t xml:space="preserve"> sample summary by jurisdiction</w:t>
      </w:r>
      <w:r w:rsidR="00B67CE3" w:rsidRPr="0093558C">
        <w:rPr>
          <w:lang w:val="en-PH"/>
        </w:rPr>
        <w:t xml:space="preserve">, </w:t>
      </w:r>
      <w:r w:rsidR="00741BA0" w:rsidRPr="00D73FCC">
        <w:rPr>
          <w:lang w:val="en-PH"/>
        </w:rPr>
        <w:t>2020-21</w:t>
      </w:r>
      <w:r w:rsidR="00B67CE3" w:rsidRPr="0093558C">
        <w:rPr>
          <w:lang w:val="en-PH"/>
        </w:rPr>
        <w:t xml:space="preserve"> to </w:t>
      </w:r>
      <w:r w:rsidR="00A54617" w:rsidRPr="008B2CD8">
        <w:rPr>
          <w:lang w:val="en-PH"/>
        </w:rPr>
        <w:t>202</w:t>
      </w:r>
      <w:r w:rsidR="00A54617">
        <w:rPr>
          <w:lang w:val="en-PH"/>
        </w:rPr>
        <w:t>2</w:t>
      </w:r>
      <w:r w:rsidR="00A54617" w:rsidRPr="008B2CD8">
        <w:rPr>
          <w:lang w:val="en-PH"/>
        </w:rPr>
        <w:t>-2</w:t>
      </w:r>
      <w:r w:rsidR="00A54617">
        <w:rPr>
          <w:lang w:val="en-PH"/>
        </w:rPr>
        <w:t>3</w:t>
      </w:r>
      <w:bookmarkEnd w:id="151"/>
      <w:bookmarkEnd w:id="152"/>
      <w:bookmarkEnd w:id="153"/>
      <w:bookmarkEnd w:id="154"/>
    </w:p>
    <w:tbl>
      <w:tblPr>
        <w:tblW w:w="9741" w:type="dxa"/>
        <w:tblLook w:val="04A0" w:firstRow="1" w:lastRow="0" w:firstColumn="1" w:lastColumn="0" w:noHBand="0" w:noVBand="1"/>
      </w:tblPr>
      <w:tblGrid>
        <w:gridCol w:w="1297"/>
        <w:gridCol w:w="1153"/>
        <w:gridCol w:w="1009"/>
        <w:gridCol w:w="1011"/>
        <w:gridCol w:w="865"/>
        <w:gridCol w:w="865"/>
        <w:gridCol w:w="900"/>
        <w:gridCol w:w="865"/>
        <w:gridCol w:w="865"/>
        <w:gridCol w:w="899"/>
        <w:gridCol w:w="12"/>
      </w:tblGrid>
      <w:tr w:rsidR="003A549C" w:rsidRPr="00F61D59" w14:paraId="0D7B6111" w14:textId="77777777" w:rsidTr="00F61D59">
        <w:trPr>
          <w:trHeight w:val="305"/>
        </w:trPr>
        <w:tc>
          <w:tcPr>
            <w:tcW w:w="1297" w:type="dxa"/>
            <w:vMerge w:val="restart"/>
            <w:tcBorders>
              <w:top w:val="nil"/>
              <w:left w:val="nil"/>
              <w:bottom w:val="single" w:sz="8" w:space="0" w:color="D9D9D9"/>
              <w:right w:val="single" w:sz="8" w:space="0" w:color="FFFFFF"/>
            </w:tcBorders>
            <w:shd w:val="clear" w:color="000000" w:fill="15272F"/>
            <w:vAlign w:val="center"/>
            <w:hideMark/>
          </w:tcPr>
          <w:p w14:paraId="51F1A788" w14:textId="77777777" w:rsidR="003A549C" w:rsidRPr="00F61D59"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Jurisdiction</w:t>
            </w:r>
          </w:p>
        </w:tc>
        <w:tc>
          <w:tcPr>
            <w:tcW w:w="3173" w:type="dxa"/>
            <w:gridSpan w:val="3"/>
            <w:tcBorders>
              <w:top w:val="single" w:sz="8" w:space="0" w:color="auto"/>
              <w:left w:val="nil"/>
              <w:bottom w:val="single" w:sz="8" w:space="0" w:color="FFFFFF"/>
              <w:right w:val="single" w:sz="8" w:space="0" w:color="FFFFFF"/>
            </w:tcBorders>
            <w:shd w:val="clear" w:color="000000" w:fill="15272F"/>
            <w:vAlign w:val="center"/>
            <w:hideMark/>
          </w:tcPr>
          <w:p w14:paraId="3EB4F754" w14:textId="02825651" w:rsidR="003A549C" w:rsidRPr="00F61D59"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In-scope</w:t>
            </w:r>
            <w:r>
              <w:rPr>
                <w:rFonts w:eastAsia="Times New Roman" w:cs="Arial"/>
                <w:b/>
                <w:bCs/>
                <w:color w:val="FFFFFF" w:themeColor="background2"/>
                <w:sz w:val="16"/>
                <w:szCs w:val="16"/>
                <w:lang w:eastAsia="en-AU"/>
              </w:rPr>
              <w:t xml:space="preserve"> NHCDC</w:t>
            </w:r>
            <w:r w:rsidRPr="00F61D59">
              <w:rPr>
                <w:rFonts w:eastAsia="Times New Roman" w:cs="Arial"/>
                <w:b/>
                <w:bCs/>
                <w:color w:val="FFFFFF" w:themeColor="background2"/>
                <w:sz w:val="16"/>
                <w:szCs w:val="16"/>
                <w:lang w:eastAsia="en-AU"/>
              </w:rPr>
              <w:t xml:space="preserve"> </w:t>
            </w:r>
            <w:r>
              <w:rPr>
                <w:rFonts w:eastAsia="Times New Roman" w:cs="Arial"/>
                <w:b/>
                <w:bCs/>
                <w:color w:val="FFFFFF" w:themeColor="background2"/>
                <w:sz w:val="16"/>
                <w:szCs w:val="16"/>
                <w:lang w:eastAsia="en-AU"/>
              </w:rPr>
              <w:t>r</w:t>
            </w:r>
            <w:r w:rsidRPr="00F61D59">
              <w:rPr>
                <w:rFonts w:eastAsia="Times New Roman" w:cs="Arial"/>
                <w:b/>
                <w:bCs/>
                <w:color w:val="FFFFFF" w:themeColor="background2"/>
                <w:sz w:val="16"/>
                <w:szCs w:val="16"/>
                <w:lang w:eastAsia="en-AU"/>
              </w:rPr>
              <w:t>ecords</w:t>
            </w:r>
          </w:p>
        </w:tc>
        <w:tc>
          <w:tcPr>
            <w:tcW w:w="2630" w:type="dxa"/>
            <w:gridSpan w:val="3"/>
            <w:tcBorders>
              <w:top w:val="single" w:sz="8" w:space="0" w:color="auto"/>
              <w:left w:val="nil"/>
              <w:bottom w:val="single" w:sz="8" w:space="0" w:color="FFFFFF"/>
              <w:right w:val="single" w:sz="4" w:space="0" w:color="FFFFFF" w:themeColor="background2"/>
            </w:tcBorders>
            <w:shd w:val="clear" w:color="000000" w:fill="15272F"/>
            <w:vAlign w:val="center"/>
            <w:hideMark/>
          </w:tcPr>
          <w:p w14:paraId="3F813313" w14:textId="7E65383F" w:rsidR="003A549C" w:rsidRPr="00F61D59"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 xml:space="preserve">In-scope </w:t>
            </w:r>
            <w:r>
              <w:rPr>
                <w:rFonts w:eastAsia="Times New Roman" w:cs="Arial"/>
                <w:b/>
                <w:bCs/>
                <w:color w:val="FFFFFF" w:themeColor="background2"/>
                <w:sz w:val="16"/>
                <w:szCs w:val="16"/>
                <w:lang w:eastAsia="en-AU"/>
              </w:rPr>
              <w:t>ABF activity</w:t>
            </w:r>
          </w:p>
        </w:tc>
        <w:tc>
          <w:tcPr>
            <w:tcW w:w="2641" w:type="dxa"/>
            <w:gridSpan w:val="4"/>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5A912669" w14:textId="439A91DC" w:rsidR="003A549C" w:rsidRPr="00F61D59"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 xml:space="preserve">Costed </w:t>
            </w:r>
            <w:r>
              <w:rPr>
                <w:rFonts w:eastAsia="Times New Roman" w:cs="Arial"/>
                <w:b/>
                <w:bCs/>
                <w:color w:val="FFFFFF" w:themeColor="background2"/>
                <w:sz w:val="16"/>
                <w:szCs w:val="16"/>
                <w:lang w:eastAsia="en-AU"/>
              </w:rPr>
              <w:t>a</w:t>
            </w:r>
            <w:r w:rsidRPr="00F61D59">
              <w:rPr>
                <w:rFonts w:eastAsia="Times New Roman" w:cs="Arial"/>
                <w:b/>
                <w:bCs/>
                <w:color w:val="FFFFFF" w:themeColor="background2"/>
                <w:sz w:val="16"/>
                <w:szCs w:val="16"/>
                <w:lang w:eastAsia="en-AU"/>
              </w:rPr>
              <w:t>ctivity (%)</w:t>
            </w:r>
          </w:p>
        </w:tc>
      </w:tr>
      <w:tr w:rsidR="00593422" w:rsidRPr="00F61D59" w14:paraId="2BF3178D" w14:textId="77777777" w:rsidTr="00F61D59">
        <w:trPr>
          <w:gridAfter w:val="1"/>
          <w:wAfter w:w="12" w:type="dxa"/>
          <w:trHeight w:val="305"/>
        </w:trPr>
        <w:tc>
          <w:tcPr>
            <w:tcW w:w="1297" w:type="dxa"/>
            <w:vMerge/>
            <w:tcBorders>
              <w:top w:val="nil"/>
              <w:left w:val="nil"/>
              <w:bottom w:val="single" w:sz="8" w:space="0" w:color="D9D9D9"/>
              <w:right w:val="single" w:sz="8" w:space="0" w:color="FFFFFF"/>
            </w:tcBorders>
            <w:vAlign w:val="center"/>
            <w:hideMark/>
          </w:tcPr>
          <w:p w14:paraId="51477143" w14:textId="77777777" w:rsidR="00657489" w:rsidRPr="00F61D59" w:rsidRDefault="00657489" w:rsidP="00144CE8">
            <w:pPr>
              <w:spacing w:before="40" w:after="40" w:line="240" w:lineRule="auto"/>
              <w:rPr>
                <w:rFonts w:eastAsia="Times New Roman" w:cs="Arial"/>
                <w:b/>
                <w:bCs/>
                <w:color w:val="FFFFFF"/>
                <w:sz w:val="16"/>
                <w:szCs w:val="16"/>
                <w:lang w:eastAsia="en-AU"/>
              </w:rPr>
            </w:pPr>
          </w:p>
        </w:tc>
        <w:tc>
          <w:tcPr>
            <w:tcW w:w="1153" w:type="dxa"/>
            <w:tcBorders>
              <w:top w:val="nil"/>
              <w:left w:val="nil"/>
              <w:bottom w:val="single" w:sz="8" w:space="0" w:color="D9D9D9"/>
              <w:right w:val="single" w:sz="8" w:space="0" w:color="FFFFFF"/>
            </w:tcBorders>
            <w:shd w:val="clear" w:color="000000" w:fill="15272F"/>
            <w:vAlign w:val="center"/>
            <w:hideMark/>
          </w:tcPr>
          <w:p w14:paraId="3CD0F7FF" w14:textId="77777777" w:rsidR="00657489" w:rsidRPr="00F61D59" w:rsidRDefault="00657489" w:rsidP="00144CE8">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2020-21</w:t>
            </w:r>
          </w:p>
        </w:tc>
        <w:tc>
          <w:tcPr>
            <w:tcW w:w="1009" w:type="dxa"/>
            <w:tcBorders>
              <w:top w:val="nil"/>
              <w:left w:val="nil"/>
              <w:bottom w:val="single" w:sz="8" w:space="0" w:color="D9D9D9"/>
              <w:right w:val="single" w:sz="8" w:space="0" w:color="FFFFFF"/>
            </w:tcBorders>
            <w:shd w:val="clear" w:color="000000" w:fill="15272F"/>
            <w:vAlign w:val="center"/>
            <w:hideMark/>
          </w:tcPr>
          <w:p w14:paraId="37C6D79D" w14:textId="77777777" w:rsidR="00657489" w:rsidRPr="00F61D59" w:rsidRDefault="00657489" w:rsidP="00144CE8">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2021-22</w:t>
            </w:r>
          </w:p>
        </w:tc>
        <w:tc>
          <w:tcPr>
            <w:tcW w:w="1011" w:type="dxa"/>
            <w:tcBorders>
              <w:top w:val="nil"/>
              <w:left w:val="nil"/>
              <w:bottom w:val="single" w:sz="8" w:space="0" w:color="D9D9D9"/>
              <w:right w:val="single" w:sz="8" w:space="0" w:color="FFFFFF"/>
            </w:tcBorders>
            <w:shd w:val="clear" w:color="000000" w:fill="15272F"/>
            <w:vAlign w:val="center"/>
            <w:hideMark/>
          </w:tcPr>
          <w:p w14:paraId="624A840A" w14:textId="77777777" w:rsidR="00657489" w:rsidRPr="00F61D59" w:rsidRDefault="00657489" w:rsidP="00144CE8">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2022-23</w:t>
            </w:r>
          </w:p>
        </w:tc>
        <w:tc>
          <w:tcPr>
            <w:tcW w:w="865" w:type="dxa"/>
            <w:tcBorders>
              <w:top w:val="nil"/>
              <w:left w:val="nil"/>
              <w:bottom w:val="single" w:sz="8" w:space="0" w:color="D9D9D9"/>
              <w:right w:val="single" w:sz="8" w:space="0" w:color="FFFFFF"/>
            </w:tcBorders>
            <w:shd w:val="clear" w:color="000000" w:fill="15272F"/>
            <w:vAlign w:val="center"/>
            <w:hideMark/>
          </w:tcPr>
          <w:p w14:paraId="5FB863F3" w14:textId="77777777" w:rsidR="00657489" w:rsidRPr="00F61D59" w:rsidRDefault="00657489" w:rsidP="00144CE8">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2020-21</w:t>
            </w:r>
          </w:p>
        </w:tc>
        <w:tc>
          <w:tcPr>
            <w:tcW w:w="865" w:type="dxa"/>
            <w:tcBorders>
              <w:top w:val="nil"/>
              <w:left w:val="nil"/>
              <w:bottom w:val="single" w:sz="8" w:space="0" w:color="D9D9D9"/>
              <w:right w:val="single" w:sz="8" w:space="0" w:color="FFFFFF"/>
            </w:tcBorders>
            <w:shd w:val="clear" w:color="000000" w:fill="15272F"/>
            <w:vAlign w:val="center"/>
            <w:hideMark/>
          </w:tcPr>
          <w:p w14:paraId="3FDF45D5" w14:textId="77777777" w:rsidR="00657489" w:rsidRPr="00F61D59" w:rsidRDefault="00657489" w:rsidP="00144CE8">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2021-22</w:t>
            </w:r>
          </w:p>
        </w:tc>
        <w:tc>
          <w:tcPr>
            <w:tcW w:w="900" w:type="dxa"/>
            <w:tcBorders>
              <w:top w:val="nil"/>
              <w:left w:val="nil"/>
              <w:bottom w:val="single" w:sz="8" w:space="0" w:color="D9D9D9"/>
              <w:right w:val="single" w:sz="8" w:space="0" w:color="FFFFFF"/>
            </w:tcBorders>
            <w:shd w:val="clear" w:color="000000" w:fill="15272F"/>
            <w:vAlign w:val="center"/>
            <w:hideMark/>
          </w:tcPr>
          <w:p w14:paraId="7386CD13" w14:textId="77777777" w:rsidR="00657489" w:rsidRPr="00F61D59" w:rsidRDefault="00657489" w:rsidP="00144CE8">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2022-23</w:t>
            </w:r>
          </w:p>
        </w:tc>
        <w:tc>
          <w:tcPr>
            <w:tcW w:w="865" w:type="dxa"/>
            <w:tcBorders>
              <w:top w:val="single" w:sz="8" w:space="0" w:color="D9D9D9"/>
              <w:left w:val="nil"/>
              <w:bottom w:val="single" w:sz="8" w:space="0" w:color="D9D9D9"/>
              <w:right w:val="single" w:sz="4" w:space="0" w:color="FFFFFF" w:themeColor="background2"/>
            </w:tcBorders>
            <w:shd w:val="clear" w:color="000000" w:fill="15272F"/>
            <w:vAlign w:val="center"/>
            <w:hideMark/>
          </w:tcPr>
          <w:p w14:paraId="157643CC" w14:textId="77777777" w:rsidR="00657489" w:rsidRPr="00F61D59" w:rsidRDefault="00657489" w:rsidP="00144CE8">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2020-21</w:t>
            </w:r>
          </w:p>
        </w:tc>
        <w:tc>
          <w:tcPr>
            <w:tcW w:w="8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7513A02E" w14:textId="77777777" w:rsidR="00657489" w:rsidRPr="00F61D59" w:rsidRDefault="00657489" w:rsidP="00144CE8">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2021-22</w:t>
            </w:r>
          </w:p>
        </w:tc>
        <w:tc>
          <w:tcPr>
            <w:tcW w:w="899"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0CF4F1F6" w14:textId="77777777" w:rsidR="00657489" w:rsidRPr="00F61D59" w:rsidRDefault="00657489" w:rsidP="00144CE8">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2022-23</w:t>
            </w:r>
          </w:p>
        </w:tc>
      </w:tr>
      <w:tr w:rsidR="00F61D59" w:rsidRPr="00F61D59" w14:paraId="1114D44B" w14:textId="77777777" w:rsidTr="00CC29EE">
        <w:trPr>
          <w:gridAfter w:val="1"/>
          <w:wAfter w:w="12" w:type="dxa"/>
          <w:trHeight w:val="305"/>
        </w:trPr>
        <w:tc>
          <w:tcPr>
            <w:tcW w:w="1297" w:type="dxa"/>
            <w:tcBorders>
              <w:top w:val="nil"/>
              <w:left w:val="nil"/>
              <w:bottom w:val="single" w:sz="8" w:space="0" w:color="D9D9D9"/>
              <w:right w:val="single" w:sz="8" w:space="0" w:color="FFFFFF"/>
            </w:tcBorders>
            <w:shd w:val="clear" w:color="auto" w:fill="auto"/>
            <w:vAlign w:val="center"/>
            <w:hideMark/>
          </w:tcPr>
          <w:p w14:paraId="27DB4401"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NSW</w:t>
            </w:r>
          </w:p>
        </w:tc>
        <w:tc>
          <w:tcPr>
            <w:tcW w:w="1153" w:type="dxa"/>
            <w:tcBorders>
              <w:top w:val="nil"/>
              <w:left w:val="nil"/>
              <w:bottom w:val="single" w:sz="8" w:space="0" w:color="D9D9D9"/>
              <w:right w:val="single" w:sz="8" w:space="0" w:color="FFFFFF"/>
            </w:tcBorders>
            <w:shd w:val="clear" w:color="000000" w:fill="F2F2F2"/>
            <w:vAlign w:val="center"/>
            <w:hideMark/>
          </w:tcPr>
          <w:p w14:paraId="21CCB4A7" w14:textId="62C668EB"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45,016 </w:t>
            </w:r>
          </w:p>
        </w:tc>
        <w:tc>
          <w:tcPr>
            <w:tcW w:w="1009" w:type="dxa"/>
            <w:tcBorders>
              <w:top w:val="nil"/>
              <w:left w:val="nil"/>
              <w:bottom w:val="single" w:sz="8" w:space="0" w:color="D9D9D9"/>
              <w:right w:val="single" w:sz="8" w:space="0" w:color="FFFFFF"/>
            </w:tcBorders>
            <w:shd w:val="clear" w:color="000000" w:fill="F2F2F2"/>
            <w:vAlign w:val="center"/>
            <w:hideMark/>
          </w:tcPr>
          <w:p w14:paraId="453B3FC9" w14:textId="70B3FCB9"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35,623 </w:t>
            </w:r>
          </w:p>
        </w:tc>
        <w:tc>
          <w:tcPr>
            <w:tcW w:w="1011" w:type="dxa"/>
            <w:tcBorders>
              <w:top w:val="nil"/>
              <w:left w:val="nil"/>
              <w:bottom w:val="single" w:sz="8" w:space="0" w:color="D9D9D9"/>
              <w:right w:val="single" w:sz="8" w:space="0" w:color="FFFFFF"/>
            </w:tcBorders>
            <w:shd w:val="clear" w:color="000000" w:fill="F2F2F2"/>
            <w:vAlign w:val="center"/>
            <w:hideMark/>
          </w:tcPr>
          <w:p w14:paraId="0D0AE90D" w14:textId="43F340FD"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45,876 </w:t>
            </w:r>
          </w:p>
        </w:tc>
        <w:tc>
          <w:tcPr>
            <w:tcW w:w="865" w:type="dxa"/>
            <w:tcBorders>
              <w:top w:val="nil"/>
              <w:left w:val="nil"/>
              <w:bottom w:val="single" w:sz="8" w:space="0" w:color="D9D9D9"/>
              <w:right w:val="single" w:sz="8" w:space="0" w:color="FFFFFF"/>
            </w:tcBorders>
            <w:shd w:val="clear" w:color="000000" w:fill="F2F2F2"/>
            <w:vAlign w:val="center"/>
            <w:hideMark/>
          </w:tcPr>
          <w:p w14:paraId="769B41D4" w14:textId="66110672"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67,343 </w:t>
            </w:r>
          </w:p>
        </w:tc>
        <w:tc>
          <w:tcPr>
            <w:tcW w:w="865" w:type="dxa"/>
            <w:tcBorders>
              <w:top w:val="nil"/>
              <w:left w:val="nil"/>
              <w:bottom w:val="single" w:sz="8" w:space="0" w:color="D9D9D9"/>
              <w:right w:val="single" w:sz="8" w:space="0" w:color="FFFFFF"/>
            </w:tcBorders>
            <w:shd w:val="clear" w:color="000000" w:fill="F2F2F2"/>
            <w:vAlign w:val="center"/>
            <w:hideMark/>
          </w:tcPr>
          <w:p w14:paraId="3D39655E" w14:textId="363129C4"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58,449 </w:t>
            </w:r>
          </w:p>
        </w:tc>
        <w:tc>
          <w:tcPr>
            <w:tcW w:w="900" w:type="dxa"/>
            <w:tcBorders>
              <w:top w:val="nil"/>
              <w:left w:val="nil"/>
              <w:bottom w:val="single" w:sz="8" w:space="0" w:color="D9D9D9"/>
              <w:right w:val="single" w:sz="8" w:space="0" w:color="FFFFFF"/>
            </w:tcBorders>
            <w:shd w:val="clear" w:color="000000" w:fill="F2F2F2"/>
            <w:vAlign w:val="center"/>
            <w:hideMark/>
          </w:tcPr>
          <w:p w14:paraId="5DF28AA8" w14:textId="171C22B1"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68,514 </w:t>
            </w:r>
          </w:p>
        </w:tc>
        <w:tc>
          <w:tcPr>
            <w:tcW w:w="865" w:type="dxa"/>
            <w:tcBorders>
              <w:top w:val="nil"/>
              <w:left w:val="nil"/>
              <w:bottom w:val="single" w:sz="8" w:space="0" w:color="D9D9D9"/>
              <w:right w:val="single" w:sz="8" w:space="0" w:color="FFFFFF"/>
            </w:tcBorders>
            <w:shd w:val="clear" w:color="000000" w:fill="F2F2F2"/>
            <w:vAlign w:val="center"/>
            <w:hideMark/>
          </w:tcPr>
          <w:p w14:paraId="3CBE421F" w14:textId="2D6B95A7"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67 </w:t>
            </w:r>
          </w:p>
        </w:tc>
        <w:tc>
          <w:tcPr>
            <w:tcW w:w="865" w:type="dxa"/>
            <w:tcBorders>
              <w:top w:val="single" w:sz="4" w:space="0" w:color="FFFFFF" w:themeColor="background2"/>
              <w:left w:val="nil"/>
              <w:bottom w:val="single" w:sz="8" w:space="0" w:color="D9D9D9"/>
              <w:right w:val="single" w:sz="8" w:space="0" w:color="FFFFFF"/>
            </w:tcBorders>
            <w:shd w:val="clear" w:color="000000" w:fill="F2F2F2"/>
            <w:vAlign w:val="center"/>
            <w:hideMark/>
          </w:tcPr>
          <w:p w14:paraId="69FB7919" w14:textId="1358E7BC"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61 </w:t>
            </w:r>
          </w:p>
        </w:tc>
        <w:tc>
          <w:tcPr>
            <w:tcW w:w="899" w:type="dxa"/>
            <w:tcBorders>
              <w:top w:val="single" w:sz="4" w:space="0" w:color="FFFFFF" w:themeColor="background2"/>
              <w:left w:val="nil"/>
              <w:bottom w:val="single" w:sz="8" w:space="0" w:color="D9D9D9"/>
              <w:right w:val="single" w:sz="8" w:space="0" w:color="FFFFFF"/>
            </w:tcBorders>
            <w:shd w:val="clear" w:color="000000" w:fill="F2F2F2"/>
            <w:vAlign w:val="center"/>
            <w:hideMark/>
          </w:tcPr>
          <w:p w14:paraId="6F61AC1D" w14:textId="54BED663"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67 </w:t>
            </w:r>
          </w:p>
        </w:tc>
      </w:tr>
      <w:tr w:rsidR="00F61D59" w:rsidRPr="00F61D59" w14:paraId="3DF77E7A" w14:textId="77777777" w:rsidTr="00CC29EE">
        <w:trPr>
          <w:gridAfter w:val="1"/>
          <w:wAfter w:w="12" w:type="dxa"/>
          <w:trHeight w:val="305"/>
        </w:trPr>
        <w:tc>
          <w:tcPr>
            <w:tcW w:w="1297" w:type="dxa"/>
            <w:tcBorders>
              <w:top w:val="nil"/>
              <w:left w:val="nil"/>
              <w:bottom w:val="single" w:sz="8" w:space="0" w:color="D9D9D9"/>
              <w:right w:val="single" w:sz="8" w:space="0" w:color="FFFFFF"/>
            </w:tcBorders>
            <w:shd w:val="clear" w:color="auto" w:fill="auto"/>
            <w:vAlign w:val="center"/>
            <w:hideMark/>
          </w:tcPr>
          <w:p w14:paraId="6720E92E"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Vic</w:t>
            </w:r>
          </w:p>
        </w:tc>
        <w:tc>
          <w:tcPr>
            <w:tcW w:w="1153" w:type="dxa"/>
            <w:tcBorders>
              <w:top w:val="nil"/>
              <w:left w:val="nil"/>
              <w:bottom w:val="single" w:sz="8" w:space="0" w:color="D9D9D9"/>
              <w:right w:val="single" w:sz="8" w:space="0" w:color="FFFFFF"/>
            </w:tcBorders>
            <w:shd w:val="clear" w:color="000000" w:fill="F2F2F2"/>
            <w:vAlign w:val="center"/>
            <w:hideMark/>
          </w:tcPr>
          <w:p w14:paraId="749E82CB" w14:textId="38336B8F"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30,786 </w:t>
            </w:r>
          </w:p>
        </w:tc>
        <w:tc>
          <w:tcPr>
            <w:tcW w:w="1009" w:type="dxa"/>
            <w:tcBorders>
              <w:top w:val="nil"/>
              <w:left w:val="nil"/>
              <w:bottom w:val="single" w:sz="8" w:space="0" w:color="D9D9D9"/>
              <w:right w:val="single" w:sz="8" w:space="0" w:color="FFFFFF"/>
            </w:tcBorders>
            <w:shd w:val="clear" w:color="000000" w:fill="F2F2F2"/>
            <w:vAlign w:val="center"/>
            <w:hideMark/>
          </w:tcPr>
          <w:p w14:paraId="000C93F8" w14:textId="27B20D64"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30,342 </w:t>
            </w:r>
          </w:p>
        </w:tc>
        <w:tc>
          <w:tcPr>
            <w:tcW w:w="1011" w:type="dxa"/>
            <w:tcBorders>
              <w:top w:val="nil"/>
              <w:left w:val="nil"/>
              <w:bottom w:val="single" w:sz="8" w:space="0" w:color="D9D9D9"/>
              <w:right w:val="single" w:sz="8" w:space="0" w:color="FFFFFF"/>
            </w:tcBorders>
            <w:shd w:val="clear" w:color="000000" w:fill="F2F2F2"/>
            <w:vAlign w:val="center"/>
            <w:hideMark/>
          </w:tcPr>
          <w:p w14:paraId="7D954C0F" w14:textId="74B870E5"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32,473 </w:t>
            </w:r>
          </w:p>
        </w:tc>
        <w:tc>
          <w:tcPr>
            <w:tcW w:w="865" w:type="dxa"/>
            <w:tcBorders>
              <w:top w:val="nil"/>
              <w:left w:val="nil"/>
              <w:bottom w:val="single" w:sz="8" w:space="0" w:color="D9D9D9"/>
              <w:right w:val="single" w:sz="8" w:space="0" w:color="FFFFFF"/>
            </w:tcBorders>
            <w:shd w:val="clear" w:color="000000" w:fill="F2F2F2"/>
            <w:vAlign w:val="center"/>
            <w:hideMark/>
          </w:tcPr>
          <w:p w14:paraId="6393D9C7" w14:textId="62CFEA8A"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39,579 </w:t>
            </w:r>
          </w:p>
        </w:tc>
        <w:tc>
          <w:tcPr>
            <w:tcW w:w="865" w:type="dxa"/>
            <w:tcBorders>
              <w:top w:val="nil"/>
              <w:left w:val="nil"/>
              <w:bottom w:val="single" w:sz="8" w:space="0" w:color="D9D9D9"/>
              <w:right w:val="single" w:sz="8" w:space="0" w:color="FFFFFF"/>
            </w:tcBorders>
            <w:shd w:val="clear" w:color="000000" w:fill="F2F2F2"/>
            <w:vAlign w:val="center"/>
            <w:hideMark/>
          </w:tcPr>
          <w:p w14:paraId="3A16985C" w14:textId="5D6598F5"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39,147 </w:t>
            </w:r>
          </w:p>
        </w:tc>
        <w:tc>
          <w:tcPr>
            <w:tcW w:w="900" w:type="dxa"/>
            <w:tcBorders>
              <w:top w:val="nil"/>
              <w:left w:val="nil"/>
              <w:bottom w:val="single" w:sz="8" w:space="0" w:color="D9D9D9"/>
              <w:right w:val="single" w:sz="8" w:space="0" w:color="FFFFFF"/>
            </w:tcBorders>
            <w:shd w:val="clear" w:color="000000" w:fill="F2F2F2"/>
            <w:vAlign w:val="center"/>
            <w:hideMark/>
          </w:tcPr>
          <w:p w14:paraId="0FDFDEF0" w14:textId="1DA9CD44"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41,609 </w:t>
            </w:r>
          </w:p>
        </w:tc>
        <w:tc>
          <w:tcPr>
            <w:tcW w:w="865" w:type="dxa"/>
            <w:tcBorders>
              <w:top w:val="nil"/>
              <w:left w:val="nil"/>
              <w:bottom w:val="single" w:sz="8" w:space="0" w:color="D9D9D9"/>
              <w:right w:val="single" w:sz="8" w:space="0" w:color="FFFFFF"/>
            </w:tcBorders>
            <w:shd w:val="clear" w:color="000000" w:fill="F2F2F2"/>
            <w:vAlign w:val="center"/>
            <w:hideMark/>
          </w:tcPr>
          <w:p w14:paraId="1A7844AD" w14:textId="16347083"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78 </w:t>
            </w:r>
          </w:p>
        </w:tc>
        <w:tc>
          <w:tcPr>
            <w:tcW w:w="865" w:type="dxa"/>
            <w:tcBorders>
              <w:top w:val="nil"/>
              <w:left w:val="nil"/>
              <w:bottom w:val="single" w:sz="8" w:space="0" w:color="D9D9D9"/>
              <w:right w:val="single" w:sz="8" w:space="0" w:color="FFFFFF"/>
            </w:tcBorders>
            <w:shd w:val="clear" w:color="000000" w:fill="F2F2F2"/>
            <w:vAlign w:val="center"/>
            <w:hideMark/>
          </w:tcPr>
          <w:p w14:paraId="12EF7020" w14:textId="74CD1E04"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78 </w:t>
            </w:r>
          </w:p>
        </w:tc>
        <w:tc>
          <w:tcPr>
            <w:tcW w:w="899" w:type="dxa"/>
            <w:tcBorders>
              <w:top w:val="nil"/>
              <w:left w:val="nil"/>
              <w:bottom w:val="single" w:sz="8" w:space="0" w:color="D9D9D9"/>
              <w:right w:val="single" w:sz="8" w:space="0" w:color="FFFFFF"/>
            </w:tcBorders>
            <w:shd w:val="clear" w:color="000000" w:fill="F2F2F2"/>
            <w:vAlign w:val="center"/>
            <w:hideMark/>
          </w:tcPr>
          <w:p w14:paraId="06AD35D9" w14:textId="7C0563C7"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78 </w:t>
            </w:r>
          </w:p>
        </w:tc>
      </w:tr>
      <w:tr w:rsidR="00F61D59" w:rsidRPr="00F61D59" w14:paraId="7B75E0BC" w14:textId="77777777" w:rsidTr="00CC29EE">
        <w:trPr>
          <w:gridAfter w:val="1"/>
          <w:wAfter w:w="12" w:type="dxa"/>
          <w:trHeight w:val="305"/>
        </w:trPr>
        <w:tc>
          <w:tcPr>
            <w:tcW w:w="1297" w:type="dxa"/>
            <w:tcBorders>
              <w:top w:val="nil"/>
              <w:left w:val="nil"/>
              <w:bottom w:val="single" w:sz="8" w:space="0" w:color="D9D9D9"/>
              <w:right w:val="single" w:sz="8" w:space="0" w:color="FFFFFF"/>
            </w:tcBorders>
            <w:shd w:val="clear" w:color="auto" w:fill="auto"/>
            <w:vAlign w:val="center"/>
            <w:hideMark/>
          </w:tcPr>
          <w:p w14:paraId="5ABBF472"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Qld</w:t>
            </w:r>
          </w:p>
        </w:tc>
        <w:tc>
          <w:tcPr>
            <w:tcW w:w="1153" w:type="dxa"/>
            <w:tcBorders>
              <w:top w:val="nil"/>
              <w:left w:val="nil"/>
              <w:bottom w:val="single" w:sz="8" w:space="0" w:color="D9D9D9"/>
              <w:right w:val="single" w:sz="8" w:space="0" w:color="FFFFFF"/>
            </w:tcBorders>
            <w:shd w:val="clear" w:color="000000" w:fill="F2F2F2"/>
            <w:vAlign w:val="center"/>
            <w:hideMark/>
          </w:tcPr>
          <w:p w14:paraId="779DA95B" w14:textId="75D1D1E2"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39,850 </w:t>
            </w:r>
          </w:p>
        </w:tc>
        <w:tc>
          <w:tcPr>
            <w:tcW w:w="1009" w:type="dxa"/>
            <w:tcBorders>
              <w:top w:val="nil"/>
              <w:left w:val="nil"/>
              <w:bottom w:val="single" w:sz="8" w:space="0" w:color="D9D9D9"/>
              <w:right w:val="single" w:sz="8" w:space="0" w:color="FFFFFF"/>
            </w:tcBorders>
            <w:shd w:val="clear" w:color="000000" w:fill="F2F2F2"/>
            <w:vAlign w:val="center"/>
            <w:hideMark/>
          </w:tcPr>
          <w:p w14:paraId="7676F022" w14:textId="0D6DD067"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52,240 </w:t>
            </w:r>
          </w:p>
        </w:tc>
        <w:tc>
          <w:tcPr>
            <w:tcW w:w="1011" w:type="dxa"/>
            <w:tcBorders>
              <w:top w:val="nil"/>
              <w:left w:val="nil"/>
              <w:bottom w:val="single" w:sz="8" w:space="0" w:color="D9D9D9"/>
              <w:right w:val="single" w:sz="8" w:space="0" w:color="FFFFFF"/>
            </w:tcBorders>
            <w:shd w:val="clear" w:color="000000" w:fill="F2F2F2"/>
            <w:vAlign w:val="center"/>
            <w:hideMark/>
          </w:tcPr>
          <w:p w14:paraId="4BE72DBB" w14:textId="48E0B84A"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53,214 </w:t>
            </w:r>
          </w:p>
        </w:tc>
        <w:tc>
          <w:tcPr>
            <w:tcW w:w="865" w:type="dxa"/>
            <w:tcBorders>
              <w:top w:val="nil"/>
              <w:left w:val="nil"/>
              <w:bottom w:val="single" w:sz="8" w:space="0" w:color="D9D9D9"/>
              <w:right w:val="single" w:sz="8" w:space="0" w:color="FFFFFF"/>
            </w:tcBorders>
            <w:shd w:val="clear" w:color="000000" w:fill="F2F2F2"/>
            <w:vAlign w:val="center"/>
            <w:hideMark/>
          </w:tcPr>
          <w:p w14:paraId="7ED22FA1" w14:textId="700AC38D"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51,723 </w:t>
            </w:r>
          </w:p>
        </w:tc>
        <w:tc>
          <w:tcPr>
            <w:tcW w:w="865" w:type="dxa"/>
            <w:tcBorders>
              <w:top w:val="nil"/>
              <w:left w:val="nil"/>
              <w:bottom w:val="single" w:sz="8" w:space="0" w:color="D9D9D9"/>
              <w:right w:val="single" w:sz="8" w:space="0" w:color="FFFFFF"/>
            </w:tcBorders>
            <w:shd w:val="clear" w:color="000000" w:fill="F2F2F2"/>
            <w:vAlign w:val="center"/>
            <w:hideMark/>
          </w:tcPr>
          <w:p w14:paraId="607A2561" w14:textId="67FCDBCD"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64,778 </w:t>
            </w:r>
          </w:p>
        </w:tc>
        <w:tc>
          <w:tcPr>
            <w:tcW w:w="900" w:type="dxa"/>
            <w:tcBorders>
              <w:top w:val="nil"/>
              <w:left w:val="nil"/>
              <w:bottom w:val="single" w:sz="8" w:space="0" w:color="D9D9D9"/>
              <w:right w:val="single" w:sz="8" w:space="0" w:color="FFFFFF"/>
            </w:tcBorders>
            <w:shd w:val="clear" w:color="000000" w:fill="F2F2F2"/>
            <w:vAlign w:val="center"/>
            <w:hideMark/>
          </w:tcPr>
          <w:p w14:paraId="48F8D7AC" w14:textId="6A8930BF"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66,292 </w:t>
            </w:r>
          </w:p>
        </w:tc>
        <w:tc>
          <w:tcPr>
            <w:tcW w:w="865" w:type="dxa"/>
            <w:tcBorders>
              <w:top w:val="nil"/>
              <w:left w:val="nil"/>
              <w:bottom w:val="single" w:sz="8" w:space="0" w:color="D9D9D9"/>
              <w:right w:val="single" w:sz="8" w:space="0" w:color="FFFFFF"/>
            </w:tcBorders>
            <w:shd w:val="clear" w:color="000000" w:fill="F2F2F2"/>
            <w:vAlign w:val="center"/>
            <w:hideMark/>
          </w:tcPr>
          <w:p w14:paraId="0D76CEBC" w14:textId="2C1FF118"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77 </w:t>
            </w:r>
          </w:p>
        </w:tc>
        <w:tc>
          <w:tcPr>
            <w:tcW w:w="865" w:type="dxa"/>
            <w:tcBorders>
              <w:top w:val="nil"/>
              <w:left w:val="nil"/>
              <w:bottom w:val="single" w:sz="8" w:space="0" w:color="D9D9D9"/>
              <w:right w:val="single" w:sz="8" w:space="0" w:color="FFFFFF"/>
            </w:tcBorders>
            <w:shd w:val="clear" w:color="000000" w:fill="F2F2F2"/>
            <w:vAlign w:val="center"/>
            <w:hideMark/>
          </w:tcPr>
          <w:p w14:paraId="21E5AF55" w14:textId="6070FA29"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81 </w:t>
            </w:r>
          </w:p>
        </w:tc>
        <w:tc>
          <w:tcPr>
            <w:tcW w:w="899" w:type="dxa"/>
            <w:tcBorders>
              <w:top w:val="nil"/>
              <w:left w:val="nil"/>
              <w:bottom w:val="single" w:sz="8" w:space="0" w:color="D9D9D9"/>
              <w:right w:val="single" w:sz="8" w:space="0" w:color="FFFFFF"/>
            </w:tcBorders>
            <w:shd w:val="clear" w:color="000000" w:fill="F2F2F2"/>
            <w:vAlign w:val="center"/>
            <w:hideMark/>
          </w:tcPr>
          <w:p w14:paraId="038409BA" w14:textId="6939EBEE"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80 </w:t>
            </w:r>
          </w:p>
        </w:tc>
      </w:tr>
      <w:tr w:rsidR="00F61D59" w:rsidRPr="00F61D59" w14:paraId="240708F3" w14:textId="77777777" w:rsidTr="00CC29EE">
        <w:trPr>
          <w:gridAfter w:val="1"/>
          <w:wAfter w:w="12" w:type="dxa"/>
          <w:trHeight w:val="305"/>
        </w:trPr>
        <w:tc>
          <w:tcPr>
            <w:tcW w:w="1297" w:type="dxa"/>
            <w:tcBorders>
              <w:top w:val="nil"/>
              <w:left w:val="nil"/>
              <w:bottom w:val="single" w:sz="8" w:space="0" w:color="D9D9D9"/>
              <w:right w:val="single" w:sz="8" w:space="0" w:color="FFFFFF"/>
            </w:tcBorders>
            <w:shd w:val="clear" w:color="auto" w:fill="auto"/>
            <w:vAlign w:val="center"/>
            <w:hideMark/>
          </w:tcPr>
          <w:p w14:paraId="743B8707"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SA</w:t>
            </w:r>
          </w:p>
        </w:tc>
        <w:tc>
          <w:tcPr>
            <w:tcW w:w="1153" w:type="dxa"/>
            <w:tcBorders>
              <w:top w:val="nil"/>
              <w:left w:val="nil"/>
              <w:bottom w:val="single" w:sz="8" w:space="0" w:color="D9D9D9"/>
              <w:right w:val="single" w:sz="8" w:space="0" w:color="FFFFFF"/>
            </w:tcBorders>
            <w:shd w:val="clear" w:color="000000" w:fill="F2F2F2"/>
            <w:vAlign w:val="center"/>
            <w:hideMark/>
          </w:tcPr>
          <w:p w14:paraId="2AB805C4" w14:textId="6E1CFF05"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11,840 </w:t>
            </w:r>
          </w:p>
        </w:tc>
        <w:tc>
          <w:tcPr>
            <w:tcW w:w="1009" w:type="dxa"/>
            <w:tcBorders>
              <w:top w:val="nil"/>
              <w:left w:val="nil"/>
              <w:bottom w:val="single" w:sz="8" w:space="0" w:color="D9D9D9"/>
              <w:right w:val="single" w:sz="8" w:space="0" w:color="FFFFFF"/>
            </w:tcBorders>
            <w:shd w:val="clear" w:color="000000" w:fill="F2F2F2"/>
            <w:vAlign w:val="center"/>
            <w:hideMark/>
          </w:tcPr>
          <w:p w14:paraId="70C1EB2B" w14:textId="697062CB"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sz w:val="16"/>
                <w:szCs w:val="16"/>
              </w:rPr>
              <w:t xml:space="preserve"> 13,363 </w:t>
            </w:r>
          </w:p>
        </w:tc>
        <w:tc>
          <w:tcPr>
            <w:tcW w:w="1011" w:type="dxa"/>
            <w:tcBorders>
              <w:top w:val="nil"/>
              <w:left w:val="nil"/>
              <w:bottom w:val="single" w:sz="8" w:space="0" w:color="D9D9D9"/>
              <w:right w:val="single" w:sz="8" w:space="0" w:color="FFFFFF"/>
            </w:tcBorders>
            <w:shd w:val="clear" w:color="000000" w:fill="F2F2F2"/>
            <w:vAlign w:val="center"/>
            <w:hideMark/>
          </w:tcPr>
          <w:p w14:paraId="5A67CEF3" w14:textId="178AE8E1"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sz w:val="16"/>
                <w:szCs w:val="16"/>
              </w:rPr>
              <w:t xml:space="preserve"> 16,261 </w:t>
            </w:r>
          </w:p>
        </w:tc>
        <w:tc>
          <w:tcPr>
            <w:tcW w:w="865" w:type="dxa"/>
            <w:tcBorders>
              <w:top w:val="nil"/>
              <w:left w:val="nil"/>
              <w:bottom w:val="single" w:sz="8" w:space="0" w:color="D9D9D9"/>
              <w:right w:val="single" w:sz="8" w:space="0" w:color="FFFFFF"/>
            </w:tcBorders>
            <w:shd w:val="clear" w:color="000000" w:fill="F2F2F2"/>
            <w:vAlign w:val="center"/>
            <w:hideMark/>
          </w:tcPr>
          <w:p w14:paraId="5B7B23B5" w14:textId="4714BF21"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14,316 </w:t>
            </w:r>
          </w:p>
        </w:tc>
        <w:tc>
          <w:tcPr>
            <w:tcW w:w="865" w:type="dxa"/>
            <w:tcBorders>
              <w:top w:val="nil"/>
              <w:left w:val="nil"/>
              <w:bottom w:val="single" w:sz="8" w:space="0" w:color="D9D9D9"/>
              <w:right w:val="single" w:sz="8" w:space="0" w:color="FFFFFF"/>
            </w:tcBorders>
            <w:shd w:val="clear" w:color="000000" w:fill="F2F2F2"/>
            <w:vAlign w:val="center"/>
            <w:hideMark/>
          </w:tcPr>
          <w:p w14:paraId="1E15B205" w14:textId="01F52218"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sz w:val="16"/>
                <w:szCs w:val="16"/>
              </w:rPr>
              <w:t xml:space="preserve"> 15,396 </w:t>
            </w:r>
          </w:p>
        </w:tc>
        <w:tc>
          <w:tcPr>
            <w:tcW w:w="900" w:type="dxa"/>
            <w:tcBorders>
              <w:top w:val="nil"/>
              <w:left w:val="nil"/>
              <w:bottom w:val="single" w:sz="8" w:space="0" w:color="D9D9D9"/>
              <w:right w:val="single" w:sz="8" w:space="0" w:color="FFFFFF"/>
            </w:tcBorders>
            <w:shd w:val="clear" w:color="000000" w:fill="F2F2F2"/>
            <w:vAlign w:val="center"/>
            <w:hideMark/>
          </w:tcPr>
          <w:p w14:paraId="415B266F" w14:textId="3429A2AD"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sz w:val="16"/>
                <w:szCs w:val="16"/>
              </w:rPr>
              <w:t xml:space="preserve"> 18,416 </w:t>
            </w:r>
          </w:p>
        </w:tc>
        <w:tc>
          <w:tcPr>
            <w:tcW w:w="865" w:type="dxa"/>
            <w:tcBorders>
              <w:top w:val="nil"/>
              <w:left w:val="nil"/>
              <w:bottom w:val="single" w:sz="8" w:space="0" w:color="D9D9D9"/>
              <w:right w:val="single" w:sz="8" w:space="0" w:color="FFFFFF"/>
            </w:tcBorders>
            <w:shd w:val="clear" w:color="000000" w:fill="F2F2F2"/>
            <w:vAlign w:val="center"/>
            <w:hideMark/>
          </w:tcPr>
          <w:p w14:paraId="60DE4823" w14:textId="3C5283EB"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83 </w:t>
            </w:r>
          </w:p>
        </w:tc>
        <w:tc>
          <w:tcPr>
            <w:tcW w:w="865" w:type="dxa"/>
            <w:tcBorders>
              <w:top w:val="nil"/>
              <w:left w:val="nil"/>
              <w:bottom w:val="single" w:sz="8" w:space="0" w:color="D9D9D9"/>
              <w:right w:val="single" w:sz="8" w:space="0" w:color="FFFFFF"/>
            </w:tcBorders>
            <w:shd w:val="clear" w:color="000000" w:fill="F2F2F2"/>
            <w:vAlign w:val="center"/>
            <w:hideMark/>
          </w:tcPr>
          <w:p w14:paraId="4A82626C" w14:textId="449B9A46"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87 </w:t>
            </w:r>
          </w:p>
        </w:tc>
        <w:tc>
          <w:tcPr>
            <w:tcW w:w="899" w:type="dxa"/>
            <w:tcBorders>
              <w:top w:val="nil"/>
              <w:left w:val="nil"/>
              <w:bottom w:val="single" w:sz="8" w:space="0" w:color="D9D9D9"/>
              <w:right w:val="single" w:sz="8" w:space="0" w:color="FFFFFF"/>
            </w:tcBorders>
            <w:shd w:val="clear" w:color="000000" w:fill="F2F2F2"/>
            <w:vAlign w:val="center"/>
            <w:hideMark/>
          </w:tcPr>
          <w:p w14:paraId="07069ECE" w14:textId="207A4959"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88 </w:t>
            </w:r>
          </w:p>
        </w:tc>
      </w:tr>
      <w:tr w:rsidR="00F61D59" w:rsidRPr="00F61D59" w14:paraId="5929AB58" w14:textId="77777777" w:rsidTr="00CC29EE">
        <w:trPr>
          <w:gridAfter w:val="1"/>
          <w:wAfter w:w="12" w:type="dxa"/>
          <w:trHeight w:val="305"/>
        </w:trPr>
        <w:tc>
          <w:tcPr>
            <w:tcW w:w="1297" w:type="dxa"/>
            <w:tcBorders>
              <w:top w:val="nil"/>
              <w:left w:val="nil"/>
              <w:bottom w:val="nil"/>
              <w:right w:val="single" w:sz="8" w:space="0" w:color="FFFFFF"/>
            </w:tcBorders>
            <w:shd w:val="clear" w:color="auto" w:fill="auto"/>
            <w:vAlign w:val="center"/>
            <w:hideMark/>
          </w:tcPr>
          <w:p w14:paraId="3CEF0A06"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WA</w:t>
            </w:r>
          </w:p>
        </w:tc>
        <w:tc>
          <w:tcPr>
            <w:tcW w:w="1153" w:type="dxa"/>
            <w:tcBorders>
              <w:top w:val="nil"/>
              <w:left w:val="nil"/>
              <w:bottom w:val="single" w:sz="8" w:space="0" w:color="D9D9D9"/>
              <w:right w:val="single" w:sz="8" w:space="0" w:color="FFFFFF"/>
            </w:tcBorders>
            <w:shd w:val="clear" w:color="000000" w:fill="F2F2F2"/>
            <w:vAlign w:val="center"/>
            <w:hideMark/>
          </w:tcPr>
          <w:p w14:paraId="3960676A" w14:textId="0E5C8D9D"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sz w:val="16"/>
                <w:szCs w:val="16"/>
              </w:rPr>
              <w:t xml:space="preserve"> 12,396 </w:t>
            </w:r>
          </w:p>
        </w:tc>
        <w:tc>
          <w:tcPr>
            <w:tcW w:w="1009" w:type="dxa"/>
            <w:tcBorders>
              <w:top w:val="nil"/>
              <w:left w:val="nil"/>
              <w:bottom w:val="single" w:sz="8" w:space="0" w:color="D9D9D9"/>
              <w:right w:val="single" w:sz="8" w:space="0" w:color="FFFFFF"/>
            </w:tcBorders>
            <w:shd w:val="clear" w:color="000000" w:fill="F2F2F2"/>
            <w:vAlign w:val="center"/>
            <w:hideMark/>
          </w:tcPr>
          <w:p w14:paraId="426C222D" w14:textId="0FB16EF2"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11,914 </w:t>
            </w:r>
          </w:p>
        </w:tc>
        <w:tc>
          <w:tcPr>
            <w:tcW w:w="1011" w:type="dxa"/>
            <w:tcBorders>
              <w:top w:val="nil"/>
              <w:left w:val="nil"/>
              <w:bottom w:val="single" w:sz="8" w:space="0" w:color="D9D9D9"/>
              <w:right w:val="single" w:sz="8" w:space="0" w:color="FFFFFF"/>
            </w:tcBorders>
            <w:shd w:val="clear" w:color="000000" w:fill="F2F2F2"/>
            <w:vAlign w:val="center"/>
            <w:hideMark/>
          </w:tcPr>
          <w:p w14:paraId="4967FBED" w14:textId="24F9E227"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12,383 </w:t>
            </w:r>
          </w:p>
        </w:tc>
        <w:tc>
          <w:tcPr>
            <w:tcW w:w="865" w:type="dxa"/>
            <w:tcBorders>
              <w:top w:val="nil"/>
              <w:left w:val="nil"/>
              <w:bottom w:val="single" w:sz="8" w:space="0" w:color="D9D9D9"/>
              <w:right w:val="single" w:sz="8" w:space="0" w:color="FFFFFF"/>
            </w:tcBorders>
            <w:shd w:val="clear" w:color="000000" w:fill="F2F2F2"/>
            <w:vAlign w:val="center"/>
            <w:hideMark/>
          </w:tcPr>
          <w:p w14:paraId="35389C4C" w14:textId="2165BA67"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sz w:val="16"/>
                <w:szCs w:val="16"/>
              </w:rPr>
              <w:t xml:space="preserve"> 12,857 </w:t>
            </w:r>
          </w:p>
        </w:tc>
        <w:tc>
          <w:tcPr>
            <w:tcW w:w="865" w:type="dxa"/>
            <w:tcBorders>
              <w:top w:val="nil"/>
              <w:left w:val="nil"/>
              <w:bottom w:val="single" w:sz="8" w:space="0" w:color="D9D9D9"/>
              <w:right w:val="single" w:sz="8" w:space="0" w:color="FFFFFF"/>
            </w:tcBorders>
            <w:shd w:val="clear" w:color="000000" w:fill="F2F2F2"/>
            <w:vAlign w:val="center"/>
            <w:hideMark/>
          </w:tcPr>
          <w:p w14:paraId="57D0EA59" w14:textId="56ACB8CA"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12,365 </w:t>
            </w:r>
          </w:p>
        </w:tc>
        <w:tc>
          <w:tcPr>
            <w:tcW w:w="900" w:type="dxa"/>
            <w:tcBorders>
              <w:top w:val="nil"/>
              <w:left w:val="nil"/>
              <w:bottom w:val="single" w:sz="8" w:space="0" w:color="D9D9D9"/>
              <w:right w:val="single" w:sz="8" w:space="0" w:color="FFFFFF"/>
            </w:tcBorders>
            <w:shd w:val="clear" w:color="000000" w:fill="F2F2F2"/>
            <w:vAlign w:val="center"/>
            <w:hideMark/>
          </w:tcPr>
          <w:p w14:paraId="04BB30E7" w14:textId="3B3A0024"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12,799 </w:t>
            </w:r>
          </w:p>
        </w:tc>
        <w:tc>
          <w:tcPr>
            <w:tcW w:w="865" w:type="dxa"/>
            <w:tcBorders>
              <w:top w:val="nil"/>
              <w:left w:val="nil"/>
              <w:bottom w:val="single" w:sz="8" w:space="0" w:color="D9D9D9"/>
              <w:right w:val="single" w:sz="8" w:space="0" w:color="FFFFFF"/>
            </w:tcBorders>
            <w:shd w:val="clear" w:color="000000" w:fill="F2F2F2"/>
            <w:vAlign w:val="center"/>
            <w:hideMark/>
          </w:tcPr>
          <w:p w14:paraId="1C4FB5DB" w14:textId="3B2427FD"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96 </w:t>
            </w:r>
          </w:p>
        </w:tc>
        <w:tc>
          <w:tcPr>
            <w:tcW w:w="865" w:type="dxa"/>
            <w:tcBorders>
              <w:top w:val="nil"/>
              <w:left w:val="nil"/>
              <w:bottom w:val="single" w:sz="8" w:space="0" w:color="D9D9D9"/>
              <w:right w:val="single" w:sz="8" w:space="0" w:color="FFFFFF"/>
            </w:tcBorders>
            <w:shd w:val="clear" w:color="000000" w:fill="F2F2F2"/>
            <w:vAlign w:val="center"/>
            <w:hideMark/>
          </w:tcPr>
          <w:p w14:paraId="39006548" w14:textId="751EF69D"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96 </w:t>
            </w:r>
          </w:p>
        </w:tc>
        <w:tc>
          <w:tcPr>
            <w:tcW w:w="899" w:type="dxa"/>
            <w:tcBorders>
              <w:top w:val="nil"/>
              <w:left w:val="nil"/>
              <w:bottom w:val="single" w:sz="8" w:space="0" w:color="D9D9D9"/>
              <w:right w:val="single" w:sz="8" w:space="0" w:color="FFFFFF"/>
            </w:tcBorders>
            <w:shd w:val="clear" w:color="000000" w:fill="F2F2F2"/>
            <w:vAlign w:val="center"/>
            <w:hideMark/>
          </w:tcPr>
          <w:p w14:paraId="5F3A4303" w14:textId="3FE7DFD8"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97 </w:t>
            </w:r>
          </w:p>
        </w:tc>
      </w:tr>
      <w:tr w:rsidR="00F61D59" w:rsidRPr="00F61D59" w14:paraId="0EB7389E" w14:textId="77777777" w:rsidTr="00CC29EE">
        <w:trPr>
          <w:gridAfter w:val="1"/>
          <w:wAfter w:w="12" w:type="dxa"/>
          <w:trHeight w:val="305"/>
        </w:trPr>
        <w:tc>
          <w:tcPr>
            <w:tcW w:w="1297" w:type="dxa"/>
            <w:tcBorders>
              <w:top w:val="single" w:sz="8" w:space="0" w:color="D9D9D9"/>
              <w:left w:val="nil"/>
              <w:bottom w:val="single" w:sz="8" w:space="0" w:color="D9D9D9"/>
              <w:right w:val="single" w:sz="8" w:space="0" w:color="FFFFFF"/>
            </w:tcBorders>
            <w:shd w:val="clear" w:color="auto" w:fill="auto"/>
            <w:vAlign w:val="center"/>
            <w:hideMark/>
          </w:tcPr>
          <w:p w14:paraId="2E9F4655"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Tas</w:t>
            </w:r>
          </w:p>
        </w:tc>
        <w:tc>
          <w:tcPr>
            <w:tcW w:w="1153" w:type="dxa"/>
            <w:tcBorders>
              <w:top w:val="nil"/>
              <w:left w:val="nil"/>
              <w:bottom w:val="single" w:sz="8" w:space="0" w:color="D9D9D9"/>
              <w:right w:val="single" w:sz="8" w:space="0" w:color="FFFFFF"/>
            </w:tcBorders>
            <w:shd w:val="clear" w:color="000000" w:fill="F2F2F2"/>
            <w:vAlign w:val="center"/>
            <w:hideMark/>
          </w:tcPr>
          <w:p w14:paraId="2F59EBEB" w14:textId="3D833038"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sz w:val="16"/>
                <w:szCs w:val="16"/>
              </w:rPr>
              <w:t xml:space="preserve"> 2,587 </w:t>
            </w:r>
          </w:p>
        </w:tc>
        <w:tc>
          <w:tcPr>
            <w:tcW w:w="1009" w:type="dxa"/>
            <w:tcBorders>
              <w:top w:val="nil"/>
              <w:left w:val="nil"/>
              <w:bottom w:val="single" w:sz="8" w:space="0" w:color="D9D9D9"/>
              <w:right w:val="single" w:sz="8" w:space="0" w:color="FFFFFF"/>
            </w:tcBorders>
            <w:shd w:val="clear" w:color="000000" w:fill="F2F2F2"/>
            <w:vAlign w:val="center"/>
            <w:hideMark/>
          </w:tcPr>
          <w:p w14:paraId="27BC6353" w14:textId="6CDDAA82"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2,593 </w:t>
            </w:r>
          </w:p>
        </w:tc>
        <w:tc>
          <w:tcPr>
            <w:tcW w:w="1011" w:type="dxa"/>
            <w:tcBorders>
              <w:top w:val="nil"/>
              <w:left w:val="nil"/>
              <w:bottom w:val="single" w:sz="8" w:space="0" w:color="D9D9D9"/>
              <w:right w:val="single" w:sz="8" w:space="0" w:color="FFFFFF"/>
            </w:tcBorders>
            <w:shd w:val="clear" w:color="000000" w:fill="F2F2F2"/>
            <w:vAlign w:val="center"/>
            <w:hideMark/>
          </w:tcPr>
          <w:p w14:paraId="013B2F8A" w14:textId="0EE33916"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3,394 </w:t>
            </w:r>
          </w:p>
        </w:tc>
        <w:tc>
          <w:tcPr>
            <w:tcW w:w="865" w:type="dxa"/>
            <w:tcBorders>
              <w:top w:val="nil"/>
              <w:left w:val="nil"/>
              <w:bottom w:val="single" w:sz="8" w:space="0" w:color="D9D9D9"/>
              <w:right w:val="single" w:sz="8" w:space="0" w:color="FFFFFF"/>
            </w:tcBorders>
            <w:shd w:val="clear" w:color="000000" w:fill="F2F2F2"/>
            <w:vAlign w:val="center"/>
            <w:hideMark/>
          </w:tcPr>
          <w:p w14:paraId="569B6014" w14:textId="3E11BE36"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sz w:val="16"/>
                <w:szCs w:val="16"/>
              </w:rPr>
              <w:t xml:space="preserve"> 3,528 </w:t>
            </w:r>
          </w:p>
        </w:tc>
        <w:tc>
          <w:tcPr>
            <w:tcW w:w="865" w:type="dxa"/>
            <w:tcBorders>
              <w:top w:val="nil"/>
              <w:left w:val="nil"/>
              <w:bottom w:val="single" w:sz="8" w:space="0" w:color="D9D9D9"/>
              <w:right w:val="single" w:sz="8" w:space="0" w:color="FFFFFF"/>
            </w:tcBorders>
            <w:shd w:val="clear" w:color="000000" w:fill="F2F2F2"/>
            <w:vAlign w:val="center"/>
            <w:hideMark/>
          </w:tcPr>
          <w:p w14:paraId="21C1B9C8" w14:textId="49BAE074"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3,605 </w:t>
            </w:r>
          </w:p>
        </w:tc>
        <w:tc>
          <w:tcPr>
            <w:tcW w:w="900" w:type="dxa"/>
            <w:tcBorders>
              <w:top w:val="nil"/>
              <w:left w:val="nil"/>
              <w:bottom w:val="single" w:sz="8" w:space="0" w:color="D9D9D9"/>
              <w:right w:val="single" w:sz="8" w:space="0" w:color="FFFFFF"/>
            </w:tcBorders>
            <w:shd w:val="clear" w:color="000000" w:fill="F2F2F2"/>
            <w:vAlign w:val="center"/>
            <w:hideMark/>
          </w:tcPr>
          <w:p w14:paraId="2000FCC8" w14:textId="21419CE2"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3,761 </w:t>
            </w:r>
          </w:p>
        </w:tc>
        <w:tc>
          <w:tcPr>
            <w:tcW w:w="865" w:type="dxa"/>
            <w:tcBorders>
              <w:top w:val="nil"/>
              <w:left w:val="nil"/>
              <w:bottom w:val="single" w:sz="8" w:space="0" w:color="D9D9D9"/>
              <w:right w:val="single" w:sz="8" w:space="0" w:color="FFFFFF"/>
            </w:tcBorders>
            <w:shd w:val="clear" w:color="000000" w:fill="F2F2F2"/>
            <w:vAlign w:val="center"/>
            <w:hideMark/>
          </w:tcPr>
          <w:p w14:paraId="60EE574D" w14:textId="6D2C3C4D"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73 </w:t>
            </w:r>
          </w:p>
        </w:tc>
        <w:tc>
          <w:tcPr>
            <w:tcW w:w="865" w:type="dxa"/>
            <w:tcBorders>
              <w:top w:val="nil"/>
              <w:left w:val="nil"/>
              <w:bottom w:val="single" w:sz="8" w:space="0" w:color="D9D9D9"/>
              <w:right w:val="single" w:sz="8" w:space="0" w:color="FFFFFF"/>
            </w:tcBorders>
            <w:shd w:val="clear" w:color="000000" w:fill="F2F2F2"/>
            <w:vAlign w:val="center"/>
            <w:hideMark/>
          </w:tcPr>
          <w:p w14:paraId="32980C3A" w14:textId="55124AA3"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72 </w:t>
            </w:r>
          </w:p>
        </w:tc>
        <w:tc>
          <w:tcPr>
            <w:tcW w:w="899" w:type="dxa"/>
            <w:tcBorders>
              <w:top w:val="nil"/>
              <w:left w:val="nil"/>
              <w:bottom w:val="single" w:sz="8" w:space="0" w:color="D9D9D9"/>
              <w:right w:val="single" w:sz="8" w:space="0" w:color="FFFFFF"/>
            </w:tcBorders>
            <w:shd w:val="clear" w:color="000000" w:fill="F2F2F2"/>
            <w:vAlign w:val="center"/>
            <w:hideMark/>
          </w:tcPr>
          <w:p w14:paraId="0E19CC17" w14:textId="39C62203"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90 </w:t>
            </w:r>
          </w:p>
        </w:tc>
      </w:tr>
      <w:tr w:rsidR="00F61D59" w:rsidRPr="00F61D59" w14:paraId="11867131" w14:textId="77777777" w:rsidTr="00CC29EE">
        <w:trPr>
          <w:gridAfter w:val="1"/>
          <w:wAfter w:w="12" w:type="dxa"/>
          <w:trHeight w:val="305"/>
        </w:trPr>
        <w:tc>
          <w:tcPr>
            <w:tcW w:w="1297" w:type="dxa"/>
            <w:tcBorders>
              <w:top w:val="nil"/>
              <w:left w:val="nil"/>
              <w:bottom w:val="nil"/>
              <w:right w:val="single" w:sz="8" w:space="0" w:color="FFFFFF"/>
            </w:tcBorders>
            <w:shd w:val="clear" w:color="auto" w:fill="auto"/>
            <w:vAlign w:val="center"/>
            <w:hideMark/>
          </w:tcPr>
          <w:p w14:paraId="2603C9F6"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NT</w:t>
            </w:r>
          </w:p>
        </w:tc>
        <w:tc>
          <w:tcPr>
            <w:tcW w:w="1153" w:type="dxa"/>
            <w:tcBorders>
              <w:top w:val="nil"/>
              <w:left w:val="nil"/>
              <w:bottom w:val="single" w:sz="8" w:space="0" w:color="D9D9D9"/>
              <w:right w:val="single" w:sz="8" w:space="0" w:color="FFFFFF"/>
            </w:tcBorders>
            <w:shd w:val="clear" w:color="000000" w:fill="F2F2F2"/>
            <w:vAlign w:val="center"/>
            <w:hideMark/>
          </w:tcPr>
          <w:p w14:paraId="7A679D8F" w14:textId="01139BEB"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sz w:val="16"/>
                <w:szCs w:val="16"/>
              </w:rPr>
              <w:t xml:space="preserve"> 765 </w:t>
            </w:r>
          </w:p>
        </w:tc>
        <w:tc>
          <w:tcPr>
            <w:tcW w:w="1009" w:type="dxa"/>
            <w:tcBorders>
              <w:top w:val="nil"/>
              <w:left w:val="nil"/>
              <w:bottom w:val="single" w:sz="8" w:space="0" w:color="D9D9D9"/>
              <w:right w:val="single" w:sz="8" w:space="0" w:color="FFFFFF"/>
            </w:tcBorders>
            <w:shd w:val="clear" w:color="000000" w:fill="F2F2F2"/>
            <w:vAlign w:val="center"/>
            <w:hideMark/>
          </w:tcPr>
          <w:p w14:paraId="741463D1" w14:textId="68513D24"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900 </w:t>
            </w:r>
          </w:p>
        </w:tc>
        <w:tc>
          <w:tcPr>
            <w:tcW w:w="1011" w:type="dxa"/>
            <w:tcBorders>
              <w:top w:val="nil"/>
              <w:left w:val="nil"/>
              <w:bottom w:val="single" w:sz="8" w:space="0" w:color="D9D9D9"/>
              <w:right w:val="single" w:sz="8" w:space="0" w:color="FFFFFF"/>
            </w:tcBorders>
            <w:shd w:val="clear" w:color="000000" w:fill="F2F2F2"/>
            <w:vAlign w:val="center"/>
            <w:hideMark/>
          </w:tcPr>
          <w:p w14:paraId="4D464648" w14:textId="0FA385D1"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sz w:val="16"/>
                <w:szCs w:val="16"/>
              </w:rPr>
              <w:t xml:space="preserve"> 814 </w:t>
            </w:r>
          </w:p>
        </w:tc>
        <w:tc>
          <w:tcPr>
            <w:tcW w:w="865" w:type="dxa"/>
            <w:tcBorders>
              <w:top w:val="nil"/>
              <w:left w:val="nil"/>
              <w:bottom w:val="single" w:sz="8" w:space="0" w:color="D9D9D9"/>
              <w:right w:val="single" w:sz="8" w:space="0" w:color="FFFFFF"/>
            </w:tcBorders>
            <w:shd w:val="clear" w:color="000000" w:fill="F2F2F2"/>
            <w:vAlign w:val="center"/>
            <w:hideMark/>
          </w:tcPr>
          <w:p w14:paraId="1C030DA7" w14:textId="0F516BE9"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1,209 </w:t>
            </w:r>
          </w:p>
        </w:tc>
        <w:tc>
          <w:tcPr>
            <w:tcW w:w="865" w:type="dxa"/>
            <w:tcBorders>
              <w:top w:val="nil"/>
              <w:left w:val="nil"/>
              <w:bottom w:val="single" w:sz="8" w:space="0" w:color="D9D9D9"/>
              <w:right w:val="single" w:sz="8" w:space="0" w:color="FFFFFF"/>
            </w:tcBorders>
            <w:shd w:val="clear" w:color="000000" w:fill="F2F2F2"/>
            <w:vAlign w:val="center"/>
            <w:hideMark/>
          </w:tcPr>
          <w:p w14:paraId="3C2F7CCF" w14:textId="41A579F9"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1,341 </w:t>
            </w:r>
          </w:p>
        </w:tc>
        <w:tc>
          <w:tcPr>
            <w:tcW w:w="900" w:type="dxa"/>
            <w:tcBorders>
              <w:top w:val="nil"/>
              <w:left w:val="nil"/>
              <w:bottom w:val="single" w:sz="8" w:space="0" w:color="D9D9D9"/>
              <w:right w:val="single" w:sz="8" w:space="0" w:color="FFFFFF"/>
            </w:tcBorders>
            <w:shd w:val="clear" w:color="000000" w:fill="F2F2F2"/>
            <w:vAlign w:val="center"/>
            <w:hideMark/>
          </w:tcPr>
          <w:p w14:paraId="04D3F36F" w14:textId="0445255F"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1,268 </w:t>
            </w:r>
          </w:p>
        </w:tc>
        <w:tc>
          <w:tcPr>
            <w:tcW w:w="865" w:type="dxa"/>
            <w:tcBorders>
              <w:top w:val="nil"/>
              <w:left w:val="nil"/>
              <w:bottom w:val="single" w:sz="8" w:space="0" w:color="D9D9D9"/>
              <w:right w:val="single" w:sz="8" w:space="0" w:color="FFFFFF"/>
            </w:tcBorders>
            <w:shd w:val="clear" w:color="000000" w:fill="F2F2F2"/>
            <w:vAlign w:val="center"/>
            <w:hideMark/>
          </w:tcPr>
          <w:p w14:paraId="522EA1D2" w14:textId="6BB74DCE"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63 </w:t>
            </w:r>
          </w:p>
        </w:tc>
        <w:tc>
          <w:tcPr>
            <w:tcW w:w="865" w:type="dxa"/>
            <w:tcBorders>
              <w:top w:val="nil"/>
              <w:left w:val="nil"/>
              <w:bottom w:val="single" w:sz="8" w:space="0" w:color="D9D9D9"/>
              <w:right w:val="single" w:sz="8" w:space="0" w:color="FFFFFF"/>
            </w:tcBorders>
            <w:shd w:val="clear" w:color="000000" w:fill="F2F2F2"/>
            <w:vAlign w:val="center"/>
            <w:hideMark/>
          </w:tcPr>
          <w:p w14:paraId="6202CD7A" w14:textId="7230BCB0"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67 </w:t>
            </w:r>
          </w:p>
        </w:tc>
        <w:tc>
          <w:tcPr>
            <w:tcW w:w="899" w:type="dxa"/>
            <w:tcBorders>
              <w:top w:val="nil"/>
              <w:left w:val="nil"/>
              <w:bottom w:val="single" w:sz="8" w:space="0" w:color="D9D9D9"/>
              <w:right w:val="single" w:sz="8" w:space="0" w:color="FFFFFF"/>
            </w:tcBorders>
            <w:shd w:val="clear" w:color="000000" w:fill="F2F2F2"/>
            <w:vAlign w:val="center"/>
            <w:hideMark/>
          </w:tcPr>
          <w:p w14:paraId="2091B982" w14:textId="52C398A8"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64 </w:t>
            </w:r>
          </w:p>
        </w:tc>
      </w:tr>
      <w:tr w:rsidR="00F61D59" w:rsidRPr="00F61D59" w14:paraId="0A616B47" w14:textId="77777777" w:rsidTr="00CC29EE">
        <w:trPr>
          <w:gridAfter w:val="1"/>
          <w:wAfter w:w="12" w:type="dxa"/>
          <w:trHeight w:val="305"/>
        </w:trPr>
        <w:tc>
          <w:tcPr>
            <w:tcW w:w="1297" w:type="dxa"/>
            <w:tcBorders>
              <w:top w:val="single" w:sz="8" w:space="0" w:color="D9D9D9"/>
              <w:left w:val="nil"/>
              <w:bottom w:val="single" w:sz="8" w:space="0" w:color="D9D9D9"/>
              <w:right w:val="single" w:sz="8" w:space="0" w:color="FFFFFF"/>
            </w:tcBorders>
            <w:shd w:val="clear" w:color="auto" w:fill="auto"/>
            <w:vAlign w:val="center"/>
            <w:hideMark/>
          </w:tcPr>
          <w:p w14:paraId="6DB12AC8"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ACT</w:t>
            </w:r>
          </w:p>
        </w:tc>
        <w:tc>
          <w:tcPr>
            <w:tcW w:w="1153" w:type="dxa"/>
            <w:tcBorders>
              <w:top w:val="nil"/>
              <w:left w:val="nil"/>
              <w:bottom w:val="single" w:sz="8" w:space="0" w:color="D9D9D9"/>
              <w:right w:val="single" w:sz="8" w:space="0" w:color="FFFFFF"/>
            </w:tcBorders>
            <w:shd w:val="clear" w:color="000000" w:fill="F2F2F2"/>
            <w:vAlign w:val="center"/>
            <w:hideMark/>
          </w:tcPr>
          <w:p w14:paraId="40C32D86" w14:textId="34C45473"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sz w:val="16"/>
                <w:szCs w:val="16"/>
              </w:rPr>
              <w:t xml:space="preserve"> 5,247 </w:t>
            </w:r>
          </w:p>
        </w:tc>
        <w:tc>
          <w:tcPr>
            <w:tcW w:w="1009" w:type="dxa"/>
            <w:tcBorders>
              <w:top w:val="nil"/>
              <w:left w:val="nil"/>
              <w:bottom w:val="single" w:sz="8" w:space="0" w:color="D9D9D9"/>
              <w:right w:val="single" w:sz="8" w:space="0" w:color="FFFFFF"/>
            </w:tcBorders>
            <w:shd w:val="clear" w:color="000000" w:fill="F2F2F2"/>
            <w:vAlign w:val="center"/>
            <w:hideMark/>
          </w:tcPr>
          <w:p w14:paraId="1AB632B1" w14:textId="6AE89D6F"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4,731 </w:t>
            </w:r>
          </w:p>
        </w:tc>
        <w:tc>
          <w:tcPr>
            <w:tcW w:w="1011" w:type="dxa"/>
            <w:tcBorders>
              <w:top w:val="nil"/>
              <w:left w:val="nil"/>
              <w:bottom w:val="single" w:sz="8" w:space="0" w:color="D9D9D9"/>
              <w:right w:val="single" w:sz="8" w:space="0" w:color="FFFFFF"/>
            </w:tcBorders>
            <w:shd w:val="clear" w:color="000000" w:fill="F2F2F2"/>
            <w:vAlign w:val="center"/>
            <w:hideMark/>
          </w:tcPr>
          <w:p w14:paraId="5AC36EF1" w14:textId="78ECAD79"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   </w:t>
            </w:r>
          </w:p>
        </w:tc>
        <w:tc>
          <w:tcPr>
            <w:tcW w:w="865" w:type="dxa"/>
            <w:tcBorders>
              <w:top w:val="nil"/>
              <w:left w:val="nil"/>
              <w:bottom w:val="single" w:sz="8" w:space="0" w:color="D9D9D9"/>
              <w:right w:val="single" w:sz="8" w:space="0" w:color="FFFFFF"/>
            </w:tcBorders>
            <w:shd w:val="clear" w:color="000000" w:fill="F2F2F2"/>
            <w:vAlign w:val="center"/>
            <w:hideMark/>
          </w:tcPr>
          <w:p w14:paraId="1683E7B3" w14:textId="2AC7E86E"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sz w:val="16"/>
                <w:szCs w:val="16"/>
              </w:rPr>
              <w:t xml:space="preserve"> 5,248 </w:t>
            </w:r>
          </w:p>
        </w:tc>
        <w:tc>
          <w:tcPr>
            <w:tcW w:w="865" w:type="dxa"/>
            <w:tcBorders>
              <w:top w:val="nil"/>
              <w:left w:val="nil"/>
              <w:bottom w:val="single" w:sz="8" w:space="0" w:color="D9D9D9"/>
              <w:right w:val="single" w:sz="8" w:space="0" w:color="FFFFFF"/>
            </w:tcBorders>
            <w:shd w:val="clear" w:color="000000" w:fill="F2F2F2"/>
            <w:vAlign w:val="center"/>
            <w:hideMark/>
          </w:tcPr>
          <w:p w14:paraId="5D5C70D4" w14:textId="522C85F9"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4,731 </w:t>
            </w:r>
          </w:p>
        </w:tc>
        <w:tc>
          <w:tcPr>
            <w:tcW w:w="900" w:type="dxa"/>
            <w:tcBorders>
              <w:top w:val="nil"/>
              <w:left w:val="nil"/>
              <w:bottom w:val="single" w:sz="8" w:space="0" w:color="D9D9D9"/>
              <w:right w:val="single" w:sz="8" w:space="0" w:color="FFFFFF"/>
            </w:tcBorders>
            <w:shd w:val="clear" w:color="000000" w:fill="F2F2F2"/>
            <w:vAlign w:val="center"/>
            <w:hideMark/>
          </w:tcPr>
          <w:p w14:paraId="3E6154B3" w14:textId="111C7C46"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5,767 </w:t>
            </w:r>
          </w:p>
        </w:tc>
        <w:tc>
          <w:tcPr>
            <w:tcW w:w="865" w:type="dxa"/>
            <w:tcBorders>
              <w:top w:val="nil"/>
              <w:left w:val="nil"/>
              <w:bottom w:val="single" w:sz="8" w:space="0" w:color="D9D9D9"/>
              <w:right w:val="single" w:sz="8" w:space="0" w:color="FFFFFF"/>
            </w:tcBorders>
            <w:shd w:val="clear" w:color="000000" w:fill="F2F2F2"/>
            <w:vAlign w:val="center"/>
            <w:hideMark/>
          </w:tcPr>
          <w:p w14:paraId="36FB2F25" w14:textId="0CD8429A"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100 </w:t>
            </w:r>
          </w:p>
        </w:tc>
        <w:tc>
          <w:tcPr>
            <w:tcW w:w="865" w:type="dxa"/>
            <w:tcBorders>
              <w:top w:val="nil"/>
              <w:left w:val="nil"/>
              <w:bottom w:val="single" w:sz="8" w:space="0" w:color="D9D9D9"/>
              <w:right w:val="single" w:sz="8" w:space="0" w:color="FFFFFF"/>
            </w:tcBorders>
            <w:shd w:val="clear" w:color="000000" w:fill="F2F2F2"/>
            <w:vAlign w:val="center"/>
            <w:hideMark/>
          </w:tcPr>
          <w:p w14:paraId="5D4C694B" w14:textId="5F7FD81F"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sz w:val="16"/>
                <w:szCs w:val="16"/>
              </w:rPr>
              <w:t xml:space="preserve"> 100 </w:t>
            </w:r>
          </w:p>
        </w:tc>
        <w:tc>
          <w:tcPr>
            <w:tcW w:w="899" w:type="dxa"/>
            <w:tcBorders>
              <w:top w:val="nil"/>
              <w:left w:val="nil"/>
              <w:bottom w:val="single" w:sz="8" w:space="0" w:color="D9D9D9"/>
              <w:right w:val="single" w:sz="8" w:space="0" w:color="FFFFFF"/>
            </w:tcBorders>
            <w:shd w:val="clear" w:color="000000" w:fill="F2F2F2"/>
            <w:vAlign w:val="center"/>
            <w:hideMark/>
          </w:tcPr>
          <w:p w14:paraId="57704DB1" w14:textId="469316B8"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sz w:val="16"/>
                <w:szCs w:val="16"/>
              </w:rPr>
              <w:t xml:space="preserve"> -   </w:t>
            </w:r>
          </w:p>
        </w:tc>
      </w:tr>
      <w:tr w:rsidR="00F61D59" w:rsidRPr="00F61D59" w14:paraId="40138055" w14:textId="77777777" w:rsidTr="00CC29EE">
        <w:trPr>
          <w:gridAfter w:val="1"/>
          <w:wAfter w:w="12" w:type="dxa"/>
          <w:trHeight w:val="289"/>
        </w:trPr>
        <w:tc>
          <w:tcPr>
            <w:tcW w:w="1297" w:type="dxa"/>
            <w:tcBorders>
              <w:top w:val="nil"/>
              <w:left w:val="nil"/>
              <w:bottom w:val="nil"/>
              <w:right w:val="single" w:sz="8" w:space="0" w:color="FFFFFF"/>
            </w:tcBorders>
            <w:shd w:val="clear" w:color="000000" w:fill="DFEBF1"/>
            <w:vAlign w:val="center"/>
            <w:hideMark/>
          </w:tcPr>
          <w:p w14:paraId="565D2C74" w14:textId="77777777" w:rsidR="00F61D59" w:rsidRPr="00F61D59" w:rsidRDefault="00F61D59" w:rsidP="00F61D59">
            <w:pPr>
              <w:spacing w:before="40" w:after="40" w:line="240" w:lineRule="auto"/>
              <w:rPr>
                <w:rFonts w:eastAsia="Times New Roman" w:cs="Arial"/>
                <w:b/>
                <w:bCs/>
                <w:color w:val="1C1C1C"/>
                <w:sz w:val="16"/>
                <w:szCs w:val="16"/>
                <w:lang w:eastAsia="en-AU"/>
              </w:rPr>
            </w:pPr>
            <w:r w:rsidRPr="00F61D59">
              <w:rPr>
                <w:rFonts w:eastAsia="Times New Roman" w:cs="Arial"/>
                <w:b/>
                <w:bCs/>
                <w:color w:val="1C1C1C"/>
                <w:sz w:val="16"/>
                <w:szCs w:val="16"/>
                <w:lang w:eastAsia="en-AU"/>
              </w:rPr>
              <w:t>National</w:t>
            </w:r>
          </w:p>
        </w:tc>
        <w:tc>
          <w:tcPr>
            <w:tcW w:w="1153" w:type="dxa"/>
            <w:tcBorders>
              <w:top w:val="nil"/>
              <w:left w:val="nil"/>
              <w:bottom w:val="nil"/>
              <w:right w:val="single" w:sz="8" w:space="0" w:color="FFFFFF"/>
            </w:tcBorders>
            <w:shd w:val="clear" w:color="000000" w:fill="DFEBF1"/>
            <w:vAlign w:val="center"/>
            <w:hideMark/>
          </w:tcPr>
          <w:p w14:paraId="4F7F37AE" w14:textId="13DB7B8B" w:rsidR="00F61D59" w:rsidRPr="003678E1" w:rsidRDefault="00F61D59" w:rsidP="00CC29EE">
            <w:pPr>
              <w:spacing w:before="40" w:after="40" w:line="240" w:lineRule="auto"/>
              <w:jc w:val="right"/>
              <w:rPr>
                <w:rFonts w:eastAsia="Times New Roman" w:cs="Arial"/>
                <w:b/>
                <w:bCs/>
                <w:color w:val="1C1C1C"/>
                <w:sz w:val="16"/>
                <w:szCs w:val="16"/>
                <w:lang w:eastAsia="en-AU"/>
              </w:rPr>
            </w:pPr>
            <w:r w:rsidRPr="00AF182D">
              <w:rPr>
                <w:b/>
                <w:bCs/>
                <w:sz w:val="16"/>
                <w:szCs w:val="16"/>
              </w:rPr>
              <w:t xml:space="preserve"> 148,487 </w:t>
            </w:r>
          </w:p>
        </w:tc>
        <w:tc>
          <w:tcPr>
            <w:tcW w:w="1009" w:type="dxa"/>
            <w:tcBorders>
              <w:top w:val="nil"/>
              <w:left w:val="nil"/>
              <w:bottom w:val="nil"/>
              <w:right w:val="single" w:sz="8" w:space="0" w:color="FFFFFF"/>
            </w:tcBorders>
            <w:shd w:val="clear" w:color="000000" w:fill="DFEBF1"/>
            <w:vAlign w:val="center"/>
            <w:hideMark/>
          </w:tcPr>
          <w:p w14:paraId="5E87EA5F" w14:textId="661F5025" w:rsidR="00F61D59" w:rsidRPr="003678E1" w:rsidRDefault="00F61D59" w:rsidP="00CC29EE">
            <w:pPr>
              <w:spacing w:before="40" w:after="40" w:line="240" w:lineRule="auto"/>
              <w:jc w:val="right"/>
              <w:rPr>
                <w:rFonts w:eastAsia="Times New Roman" w:cs="Arial"/>
                <w:b/>
                <w:bCs/>
                <w:color w:val="1C1C1C"/>
                <w:sz w:val="16"/>
                <w:szCs w:val="16"/>
                <w:lang w:eastAsia="en-AU"/>
              </w:rPr>
            </w:pPr>
            <w:r w:rsidRPr="00AF182D">
              <w:rPr>
                <w:b/>
                <w:bCs/>
                <w:sz w:val="16"/>
                <w:szCs w:val="16"/>
              </w:rPr>
              <w:t xml:space="preserve"> 151,706 </w:t>
            </w:r>
          </w:p>
        </w:tc>
        <w:tc>
          <w:tcPr>
            <w:tcW w:w="1011" w:type="dxa"/>
            <w:tcBorders>
              <w:top w:val="nil"/>
              <w:left w:val="nil"/>
              <w:bottom w:val="nil"/>
              <w:right w:val="single" w:sz="8" w:space="0" w:color="FFFFFF"/>
            </w:tcBorders>
            <w:shd w:val="clear" w:color="000000" w:fill="DFEBF1"/>
            <w:vAlign w:val="center"/>
            <w:hideMark/>
          </w:tcPr>
          <w:p w14:paraId="1F372863" w14:textId="5A5294AD" w:rsidR="00F61D59" w:rsidRPr="003678E1" w:rsidRDefault="00F61D59" w:rsidP="00CC29EE">
            <w:pPr>
              <w:spacing w:before="40" w:after="40" w:line="240" w:lineRule="auto"/>
              <w:jc w:val="right"/>
              <w:rPr>
                <w:rFonts w:eastAsia="Times New Roman" w:cs="Arial"/>
                <w:b/>
                <w:bCs/>
                <w:color w:val="1C1C1C"/>
                <w:sz w:val="16"/>
                <w:szCs w:val="16"/>
                <w:lang w:eastAsia="en-AU"/>
              </w:rPr>
            </w:pPr>
            <w:r w:rsidRPr="00AF182D">
              <w:rPr>
                <w:b/>
                <w:bCs/>
                <w:sz w:val="16"/>
                <w:szCs w:val="16"/>
              </w:rPr>
              <w:t xml:space="preserve"> 164,415 </w:t>
            </w:r>
          </w:p>
        </w:tc>
        <w:tc>
          <w:tcPr>
            <w:tcW w:w="865" w:type="dxa"/>
            <w:tcBorders>
              <w:top w:val="nil"/>
              <w:left w:val="nil"/>
              <w:bottom w:val="nil"/>
              <w:right w:val="single" w:sz="8" w:space="0" w:color="FFFFFF"/>
            </w:tcBorders>
            <w:shd w:val="clear" w:color="000000" w:fill="DFEBF1"/>
            <w:vAlign w:val="center"/>
            <w:hideMark/>
          </w:tcPr>
          <w:p w14:paraId="22152AB2" w14:textId="2D1E86A4" w:rsidR="00F61D59" w:rsidRPr="003678E1" w:rsidRDefault="00F61D59" w:rsidP="00CC29EE">
            <w:pPr>
              <w:spacing w:before="40" w:after="40" w:line="240" w:lineRule="auto"/>
              <w:jc w:val="right"/>
              <w:rPr>
                <w:rFonts w:eastAsia="Times New Roman" w:cs="Arial"/>
                <w:b/>
                <w:bCs/>
                <w:color w:val="1C1C1C"/>
                <w:sz w:val="16"/>
                <w:szCs w:val="16"/>
                <w:lang w:eastAsia="en-AU"/>
              </w:rPr>
            </w:pPr>
            <w:r w:rsidRPr="00AF182D">
              <w:rPr>
                <w:b/>
                <w:bCs/>
                <w:sz w:val="16"/>
                <w:szCs w:val="16"/>
              </w:rPr>
              <w:t xml:space="preserve"> 195,803 </w:t>
            </w:r>
          </w:p>
        </w:tc>
        <w:tc>
          <w:tcPr>
            <w:tcW w:w="865" w:type="dxa"/>
            <w:tcBorders>
              <w:top w:val="nil"/>
              <w:left w:val="nil"/>
              <w:bottom w:val="nil"/>
              <w:right w:val="single" w:sz="8" w:space="0" w:color="FFFFFF"/>
            </w:tcBorders>
            <w:shd w:val="clear" w:color="000000" w:fill="DFEBF1"/>
            <w:vAlign w:val="center"/>
            <w:hideMark/>
          </w:tcPr>
          <w:p w14:paraId="2113A224" w14:textId="07201A99" w:rsidR="00F61D59" w:rsidRPr="003678E1" w:rsidRDefault="00F61D59" w:rsidP="00CC29EE">
            <w:pPr>
              <w:spacing w:before="40" w:after="40" w:line="240" w:lineRule="auto"/>
              <w:jc w:val="right"/>
              <w:rPr>
                <w:rFonts w:eastAsia="Times New Roman" w:cs="Arial"/>
                <w:b/>
                <w:bCs/>
                <w:color w:val="1C1C1C"/>
                <w:sz w:val="16"/>
                <w:szCs w:val="16"/>
                <w:lang w:eastAsia="en-AU"/>
              </w:rPr>
            </w:pPr>
            <w:r w:rsidRPr="00AF182D">
              <w:rPr>
                <w:b/>
                <w:bCs/>
                <w:sz w:val="16"/>
                <w:szCs w:val="16"/>
              </w:rPr>
              <w:t xml:space="preserve"> 199,812 </w:t>
            </w:r>
          </w:p>
        </w:tc>
        <w:tc>
          <w:tcPr>
            <w:tcW w:w="900" w:type="dxa"/>
            <w:tcBorders>
              <w:top w:val="nil"/>
              <w:left w:val="nil"/>
              <w:bottom w:val="nil"/>
              <w:right w:val="single" w:sz="8" w:space="0" w:color="FFFFFF"/>
            </w:tcBorders>
            <w:shd w:val="clear" w:color="000000" w:fill="DFEBF1"/>
            <w:vAlign w:val="center"/>
            <w:hideMark/>
          </w:tcPr>
          <w:p w14:paraId="094010C1" w14:textId="75A90AF6" w:rsidR="00F61D59" w:rsidRPr="003678E1" w:rsidRDefault="00F61D59" w:rsidP="00CC29EE">
            <w:pPr>
              <w:spacing w:before="40" w:after="40" w:line="240" w:lineRule="auto"/>
              <w:jc w:val="right"/>
              <w:rPr>
                <w:rFonts w:eastAsia="Times New Roman" w:cs="Arial"/>
                <w:b/>
                <w:bCs/>
                <w:color w:val="1C1C1C"/>
                <w:sz w:val="16"/>
                <w:szCs w:val="16"/>
                <w:lang w:eastAsia="en-AU"/>
              </w:rPr>
            </w:pPr>
            <w:r w:rsidRPr="00AF182D">
              <w:rPr>
                <w:b/>
                <w:bCs/>
                <w:sz w:val="16"/>
                <w:szCs w:val="16"/>
              </w:rPr>
              <w:t xml:space="preserve"> 218,426 </w:t>
            </w:r>
          </w:p>
        </w:tc>
        <w:tc>
          <w:tcPr>
            <w:tcW w:w="865" w:type="dxa"/>
            <w:tcBorders>
              <w:top w:val="nil"/>
              <w:left w:val="nil"/>
              <w:bottom w:val="nil"/>
              <w:right w:val="single" w:sz="8" w:space="0" w:color="FFFFFF"/>
            </w:tcBorders>
            <w:shd w:val="clear" w:color="000000" w:fill="DFEBF1"/>
            <w:vAlign w:val="center"/>
            <w:hideMark/>
          </w:tcPr>
          <w:p w14:paraId="79CF6F23" w14:textId="71168616" w:rsidR="00F61D59" w:rsidRPr="003678E1" w:rsidRDefault="00F61D59" w:rsidP="00CC29EE">
            <w:pPr>
              <w:spacing w:before="40" w:after="40" w:line="240" w:lineRule="auto"/>
              <w:jc w:val="right"/>
              <w:rPr>
                <w:rFonts w:eastAsia="Times New Roman" w:cs="Arial"/>
                <w:b/>
                <w:bCs/>
                <w:color w:val="1C1C1C"/>
                <w:sz w:val="16"/>
                <w:szCs w:val="16"/>
                <w:lang w:eastAsia="en-AU"/>
              </w:rPr>
            </w:pPr>
            <w:r w:rsidRPr="00AF182D">
              <w:rPr>
                <w:b/>
                <w:bCs/>
                <w:sz w:val="16"/>
                <w:szCs w:val="16"/>
              </w:rPr>
              <w:t xml:space="preserve"> 76 </w:t>
            </w:r>
          </w:p>
        </w:tc>
        <w:tc>
          <w:tcPr>
            <w:tcW w:w="865" w:type="dxa"/>
            <w:tcBorders>
              <w:top w:val="nil"/>
              <w:left w:val="nil"/>
              <w:bottom w:val="nil"/>
              <w:right w:val="single" w:sz="8" w:space="0" w:color="FFFFFF"/>
            </w:tcBorders>
            <w:shd w:val="clear" w:color="000000" w:fill="DFEBF1"/>
            <w:vAlign w:val="center"/>
            <w:hideMark/>
          </w:tcPr>
          <w:p w14:paraId="25E7864E" w14:textId="0822EA9D" w:rsidR="00F61D59" w:rsidRPr="003678E1" w:rsidRDefault="00F61D59" w:rsidP="00CC29EE">
            <w:pPr>
              <w:spacing w:before="40" w:after="40" w:line="240" w:lineRule="auto"/>
              <w:jc w:val="right"/>
              <w:rPr>
                <w:rFonts w:eastAsia="Times New Roman" w:cs="Arial"/>
                <w:b/>
                <w:bCs/>
                <w:color w:val="1C1C1C"/>
                <w:sz w:val="16"/>
                <w:szCs w:val="16"/>
                <w:lang w:eastAsia="en-AU"/>
              </w:rPr>
            </w:pPr>
            <w:r w:rsidRPr="00AF182D">
              <w:rPr>
                <w:b/>
                <w:bCs/>
                <w:sz w:val="16"/>
                <w:szCs w:val="16"/>
              </w:rPr>
              <w:t xml:space="preserve"> 76 </w:t>
            </w:r>
          </w:p>
        </w:tc>
        <w:tc>
          <w:tcPr>
            <w:tcW w:w="899" w:type="dxa"/>
            <w:tcBorders>
              <w:top w:val="nil"/>
              <w:left w:val="nil"/>
              <w:bottom w:val="nil"/>
              <w:right w:val="single" w:sz="8" w:space="0" w:color="FFFFFF"/>
            </w:tcBorders>
            <w:shd w:val="clear" w:color="000000" w:fill="DFEBF1"/>
            <w:vAlign w:val="center"/>
            <w:hideMark/>
          </w:tcPr>
          <w:p w14:paraId="3E182A17" w14:textId="3E8F3CD0" w:rsidR="00F61D59" w:rsidRPr="003678E1" w:rsidRDefault="00F61D59" w:rsidP="00CC29EE">
            <w:pPr>
              <w:spacing w:before="40" w:after="40" w:line="240" w:lineRule="auto"/>
              <w:jc w:val="right"/>
              <w:rPr>
                <w:rFonts w:eastAsia="Times New Roman" w:cs="Arial"/>
                <w:b/>
                <w:bCs/>
                <w:color w:val="1C1C1C"/>
                <w:sz w:val="16"/>
                <w:szCs w:val="16"/>
                <w:lang w:eastAsia="en-AU"/>
              </w:rPr>
            </w:pPr>
            <w:r w:rsidRPr="00AF182D">
              <w:rPr>
                <w:b/>
                <w:bCs/>
                <w:sz w:val="16"/>
                <w:szCs w:val="16"/>
              </w:rPr>
              <w:t xml:space="preserve"> 75 </w:t>
            </w:r>
          </w:p>
        </w:tc>
      </w:tr>
    </w:tbl>
    <w:p w14:paraId="6685B8C0" w14:textId="2F6ED7AE" w:rsidR="00B200A6" w:rsidRDefault="003678E1" w:rsidP="00F25099">
      <w:pPr>
        <w:spacing w:before="240" w:line="276" w:lineRule="auto"/>
        <w:rPr>
          <w:rFonts w:cs="Arial"/>
        </w:rPr>
      </w:pPr>
      <w:r w:rsidRPr="00CC29EE">
        <w:rPr>
          <w:rFonts w:cs="Arial"/>
        </w:rPr>
        <w:t xml:space="preserve">In 2022-23, 100% of the </w:t>
      </w:r>
      <w:r>
        <w:rPr>
          <w:rFonts w:cs="Arial"/>
        </w:rPr>
        <w:t>NHCDC AN-SNAP phase</w:t>
      </w:r>
      <w:r w:rsidRPr="00CC29EE">
        <w:rPr>
          <w:rFonts w:cs="Arial"/>
        </w:rPr>
        <w:t xml:space="preserve"> records were </w:t>
      </w:r>
      <w:r>
        <w:rPr>
          <w:rFonts w:cs="Arial"/>
        </w:rPr>
        <w:t xml:space="preserve">linked to activity and </w:t>
      </w:r>
      <w:r w:rsidRPr="00CC29EE">
        <w:rPr>
          <w:rFonts w:cs="Arial"/>
        </w:rPr>
        <w:t>in</w:t>
      </w:r>
      <w:r w:rsidR="000501B8">
        <w:rPr>
          <w:rFonts w:cs="Arial"/>
        </w:rPr>
        <w:t xml:space="preserve"> </w:t>
      </w:r>
      <w:r w:rsidRPr="00CC29EE">
        <w:rPr>
          <w:rFonts w:cs="Arial"/>
        </w:rPr>
        <w:t xml:space="preserve">scope for </w:t>
      </w:r>
      <w:r>
        <w:rPr>
          <w:rFonts w:cs="Arial"/>
        </w:rPr>
        <w:t xml:space="preserve">NHCDC </w:t>
      </w:r>
      <w:r w:rsidRPr="00CC29EE">
        <w:rPr>
          <w:rFonts w:cs="Arial"/>
        </w:rPr>
        <w:t>reporting</w:t>
      </w:r>
      <w:r w:rsidR="00BF4C5C" w:rsidRPr="00CC29EE">
        <w:rPr>
          <w:rFonts w:cs="Arial"/>
        </w:rPr>
        <w:t xml:space="preserve">. </w:t>
      </w:r>
      <w:r w:rsidR="003523AB" w:rsidRPr="003523AB">
        <w:rPr>
          <w:rFonts w:cs="Arial"/>
        </w:rPr>
        <w:fldChar w:fldCharType="begin"/>
      </w:r>
      <w:r w:rsidR="003523AB" w:rsidRPr="003523AB">
        <w:rPr>
          <w:rFonts w:cs="Arial"/>
        </w:rPr>
        <w:instrText xml:space="preserve"> REF _Ref185835182 \h </w:instrText>
      </w:r>
      <w:r w:rsidR="001B6FF3">
        <w:rPr>
          <w:rFonts w:cs="Arial"/>
        </w:rPr>
        <w:instrText xml:space="preserve"> \* MERGEFORMAT </w:instrText>
      </w:r>
      <w:r w:rsidR="003523AB" w:rsidRPr="003523AB">
        <w:rPr>
          <w:rFonts w:cs="Arial"/>
        </w:rPr>
      </w:r>
      <w:r w:rsidR="003523AB" w:rsidRPr="003523AB">
        <w:rPr>
          <w:rFonts w:cs="Arial"/>
        </w:rPr>
        <w:fldChar w:fldCharType="separate"/>
      </w:r>
      <w:r w:rsidR="003523AB" w:rsidRPr="00296833">
        <w:rPr>
          <w:rFonts w:cstheme="majorBidi"/>
          <w:lang w:val="en-PH"/>
        </w:rPr>
        <w:t xml:space="preserve">Table </w:t>
      </w:r>
      <w:r w:rsidR="003523AB" w:rsidRPr="00296833">
        <w:rPr>
          <w:rFonts w:cstheme="majorBidi"/>
          <w:noProof/>
          <w:lang w:val="en-PH"/>
        </w:rPr>
        <w:t>12</w:t>
      </w:r>
      <w:r w:rsidR="003523AB" w:rsidRPr="003523AB">
        <w:rPr>
          <w:rFonts w:cs="Arial"/>
        </w:rPr>
        <w:fldChar w:fldCharType="end"/>
      </w:r>
      <w:r w:rsidR="0072141C" w:rsidRPr="003523AB">
        <w:rPr>
          <w:rFonts w:cs="Arial"/>
        </w:rPr>
        <w:t xml:space="preserve"> </w:t>
      </w:r>
      <w:r w:rsidR="00BF4C5C" w:rsidRPr="00CC29EE">
        <w:rPr>
          <w:rFonts w:cs="Arial"/>
        </w:rPr>
        <w:t xml:space="preserve">shows the number of in-scope </w:t>
      </w:r>
      <w:r w:rsidR="003A549C">
        <w:rPr>
          <w:rFonts w:cs="Arial"/>
        </w:rPr>
        <w:t xml:space="preserve">NHCDC </w:t>
      </w:r>
      <w:r w:rsidR="00BF4C5C" w:rsidRPr="00CC29EE">
        <w:rPr>
          <w:rFonts w:cs="Arial"/>
        </w:rPr>
        <w:t>records</w:t>
      </w:r>
      <w:r w:rsidR="00DC2CD1">
        <w:rPr>
          <w:rFonts w:cs="Arial"/>
        </w:rPr>
        <w:t xml:space="preserve"> and</w:t>
      </w:r>
      <w:r w:rsidR="00BF4C5C" w:rsidRPr="00CC29EE">
        <w:rPr>
          <w:rFonts w:cs="Arial"/>
        </w:rPr>
        <w:t xml:space="preserve"> </w:t>
      </w:r>
      <w:r w:rsidR="003A549C">
        <w:rPr>
          <w:rFonts w:cs="Arial"/>
        </w:rPr>
        <w:t xml:space="preserve">ABF </w:t>
      </w:r>
      <w:r w:rsidR="00BF4C5C" w:rsidRPr="00CC29EE">
        <w:rPr>
          <w:rFonts w:cs="Arial"/>
        </w:rPr>
        <w:t xml:space="preserve">activity, and </w:t>
      </w:r>
      <w:r w:rsidR="00DC2CD1">
        <w:rPr>
          <w:rFonts w:cs="Arial"/>
        </w:rPr>
        <w:t xml:space="preserve">the </w:t>
      </w:r>
      <w:r w:rsidR="00BF4C5C" w:rsidRPr="00CC29EE">
        <w:rPr>
          <w:rFonts w:cs="Arial"/>
        </w:rPr>
        <w:t xml:space="preserve">proportion of costed activity by jurisdiction, from 2021-22 to </w:t>
      </w:r>
      <w:r w:rsidR="00BF4C5C" w:rsidRPr="00CC29EE">
        <w:rPr>
          <w:rFonts w:cs="Arial"/>
          <w:lang w:val="en-PH"/>
        </w:rPr>
        <w:t>2022-23</w:t>
      </w:r>
      <w:r w:rsidR="00BF4C5C" w:rsidRPr="00CC29EE">
        <w:rPr>
          <w:rFonts w:cs="Arial"/>
        </w:rPr>
        <w:t xml:space="preserve">. </w:t>
      </w:r>
      <w:r>
        <w:rPr>
          <w:rFonts w:cs="Arial"/>
        </w:rPr>
        <w:t>In 2022-23, n</w:t>
      </w:r>
      <w:r w:rsidRPr="00CC29EE">
        <w:rPr>
          <w:rFonts w:cs="Arial"/>
        </w:rPr>
        <w:t>ationally</w:t>
      </w:r>
      <w:r>
        <w:rPr>
          <w:rFonts w:cs="Arial"/>
        </w:rPr>
        <w:t xml:space="preserve"> 84% of in-scope activity was linked to cost (</w:t>
      </w:r>
      <w:r w:rsidR="00112C58">
        <w:rPr>
          <w:rFonts w:cs="Arial"/>
        </w:rPr>
        <w:t>c</w:t>
      </w:r>
      <w:r>
        <w:rPr>
          <w:rFonts w:cs="Arial"/>
        </w:rPr>
        <w:t xml:space="preserve">osted </w:t>
      </w:r>
      <w:r w:rsidR="00183417">
        <w:rPr>
          <w:rFonts w:cs="Arial"/>
        </w:rPr>
        <w:t>a</w:t>
      </w:r>
      <w:r>
        <w:rPr>
          <w:rFonts w:cs="Arial"/>
        </w:rPr>
        <w:t>ctivity %)</w:t>
      </w:r>
      <w:r>
        <w:t xml:space="preserve">, an </w:t>
      </w:r>
      <w:r>
        <w:rPr>
          <w:rFonts w:cs="Arial"/>
        </w:rPr>
        <w:t xml:space="preserve">increase </w:t>
      </w:r>
      <w:r w:rsidR="002C1669" w:rsidRPr="00A42FF4">
        <w:rPr>
          <w:rFonts w:cs="Arial"/>
        </w:rPr>
        <w:t xml:space="preserve">from </w:t>
      </w:r>
      <w:r w:rsidR="001075E4" w:rsidRPr="00A42FF4">
        <w:rPr>
          <w:rFonts w:cs="Arial"/>
        </w:rPr>
        <w:t>82</w:t>
      </w:r>
      <w:r w:rsidR="00897090" w:rsidRPr="00A42FF4">
        <w:rPr>
          <w:rFonts w:cs="Arial"/>
        </w:rPr>
        <w:t>%</w:t>
      </w:r>
      <w:r w:rsidR="002C1669" w:rsidRPr="00A42FF4">
        <w:rPr>
          <w:rFonts w:cs="Arial"/>
        </w:rPr>
        <w:t xml:space="preserve"> </w:t>
      </w:r>
      <w:r>
        <w:rPr>
          <w:rFonts w:cs="Arial"/>
        </w:rPr>
        <w:t xml:space="preserve">in </w:t>
      </w:r>
      <w:r w:rsidR="00741BA0" w:rsidRPr="00A42FF4">
        <w:rPr>
          <w:rFonts w:cs="Arial"/>
        </w:rPr>
        <w:t>2021</w:t>
      </w:r>
      <w:r w:rsidR="00012BF3">
        <w:rPr>
          <w:rFonts w:cs="Arial"/>
        </w:rPr>
        <w:noBreakHyphen/>
      </w:r>
      <w:r w:rsidR="001075E4" w:rsidRPr="00A42FF4">
        <w:rPr>
          <w:rFonts w:cs="Arial"/>
        </w:rPr>
        <w:t>22</w:t>
      </w:r>
      <w:r>
        <w:rPr>
          <w:rFonts w:cs="Arial"/>
        </w:rPr>
        <w:t>.</w:t>
      </w:r>
    </w:p>
    <w:p w14:paraId="7E7C83E1" w14:textId="4CD8C0E7" w:rsidR="00657489" w:rsidRPr="0093558C" w:rsidRDefault="00C53B6A" w:rsidP="00296833">
      <w:pPr>
        <w:pStyle w:val="TableFigureheading"/>
        <w:rPr>
          <w:lang w:val="en-PH"/>
        </w:rPr>
      </w:pPr>
      <w:bookmarkStart w:id="156" w:name="_Ref185835182"/>
      <w:bookmarkStart w:id="157" w:name="_Toc149650909"/>
      <w:bookmarkStart w:id="158" w:name="_Toc177467513"/>
      <w:bookmarkStart w:id="159" w:name="_Toc185852219"/>
      <w:bookmarkStart w:id="160" w:name="_Toc187312138"/>
      <w:r w:rsidRPr="0093558C">
        <w:rPr>
          <w:lang w:val="en-PH"/>
        </w:rPr>
        <w:t xml:space="preserve">Table </w:t>
      </w:r>
      <w:r w:rsidRPr="0093558C">
        <w:rPr>
          <w:iCs w:val="0"/>
          <w:lang w:val="en-PH"/>
        </w:rPr>
        <w:fldChar w:fldCharType="begin"/>
      </w:r>
      <w:r w:rsidRPr="0093558C">
        <w:rPr>
          <w:lang w:val="en-PH"/>
        </w:rPr>
        <w:instrText xml:space="preserve"> SEQ Table \* ARABIC </w:instrText>
      </w:r>
      <w:r w:rsidRPr="0093558C">
        <w:rPr>
          <w:iCs w:val="0"/>
          <w:lang w:val="en-PH"/>
        </w:rPr>
        <w:fldChar w:fldCharType="separate"/>
      </w:r>
      <w:r w:rsidR="003523AB">
        <w:rPr>
          <w:noProof/>
          <w:lang w:val="en-PH"/>
        </w:rPr>
        <w:t>12</w:t>
      </w:r>
      <w:r w:rsidRPr="0093558C">
        <w:rPr>
          <w:iCs w:val="0"/>
          <w:lang w:val="en-PH"/>
        </w:rPr>
        <w:fldChar w:fldCharType="end"/>
      </w:r>
      <w:bookmarkEnd w:id="156"/>
      <w:r w:rsidR="00E07B55" w:rsidRPr="0093558C">
        <w:rPr>
          <w:lang w:val="en-PH"/>
        </w:rPr>
        <w:t xml:space="preserve">: </w:t>
      </w:r>
      <w:r w:rsidR="00AA0720">
        <w:rPr>
          <w:lang w:val="en-PH"/>
        </w:rPr>
        <w:t xml:space="preserve">AN-SNAP </w:t>
      </w:r>
      <w:r w:rsidR="007F7EEF">
        <w:rPr>
          <w:lang w:val="en-PH"/>
        </w:rPr>
        <w:t>phase</w:t>
      </w:r>
      <w:r w:rsidR="00DC2CD1">
        <w:rPr>
          <w:lang w:val="en-PH"/>
        </w:rPr>
        <w:t xml:space="preserve"> sample summary by jurisdiction</w:t>
      </w:r>
      <w:r w:rsidR="00B67CE3" w:rsidRPr="0093558C">
        <w:rPr>
          <w:lang w:val="en-PH"/>
        </w:rPr>
        <w:t xml:space="preserve">, </w:t>
      </w:r>
      <w:r w:rsidR="00741BA0" w:rsidRPr="00D73FCC">
        <w:rPr>
          <w:lang w:val="en-PH"/>
        </w:rPr>
        <w:t>2020-21</w:t>
      </w:r>
      <w:r w:rsidR="00B67CE3" w:rsidRPr="0093558C">
        <w:rPr>
          <w:lang w:val="en-PH"/>
        </w:rPr>
        <w:t xml:space="preserve"> to </w:t>
      </w:r>
      <w:r w:rsidR="00831766" w:rsidRPr="008B2CD8">
        <w:rPr>
          <w:lang w:val="en-PH"/>
        </w:rPr>
        <w:t>202</w:t>
      </w:r>
      <w:r w:rsidR="00831766">
        <w:rPr>
          <w:lang w:val="en-PH"/>
        </w:rPr>
        <w:t>2</w:t>
      </w:r>
      <w:r w:rsidR="00831766" w:rsidRPr="008B2CD8">
        <w:rPr>
          <w:lang w:val="en-PH"/>
        </w:rPr>
        <w:t>-2</w:t>
      </w:r>
      <w:r w:rsidR="00831766">
        <w:rPr>
          <w:lang w:val="en-PH"/>
        </w:rPr>
        <w:t>3</w:t>
      </w:r>
      <w:bookmarkEnd w:id="157"/>
      <w:bookmarkEnd w:id="158"/>
      <w:bookmarkEnd w:id="159"/>
      <w:bookmarkEnd w:id="160"/>
    </w:p>
    <w:tbl>
      <w:tblPr>
        <w:tblW w:w="9812" w:type="dxa"/>
        <w:tblLook w:val="04A0" w:firstRow="1" w:lastRow="0" w:firstColumn="1" w:lastColumn="0" w:noHBand="0" w:noVBand="1"/>
      </w:tblPr>
      <w:tblGrid>
        <w:gridCol w:w="1279"/>
        <w:gridCol w:w="989"/>
        <w:gridCol w:w="993"/>
        <w:gridCol w:w="992"/>
        <w:gridCol w:w="868"/>
        <w:gridCol w:w="925"/>
        <w:gridCol w:w="828"/>
        <w:gridCol w:w="947"/>
        <w:gridCol w:w="994"/>
        <w:gridCol w:w="997"/>
      </w:tblGrid>
      <w:tr w:rsidR="003A549C" w:rsidRPr="00F61D59" w14:paraId="69A4CE17" w14:textId="77777777" w:rsidTr="00FA39AE">
        <w:trPr>
          <w:trHeight w:val="315"/>
        </w:trPr>
        <w:tc>
          <w:tcPr>
            <w:tcW w:w="1279" w:type="dxa"/>
            <w:vMerge w:val="restart"/>
            <w:tcBorders>
              <w:top w:val="nil"/>
              <w:left w:val="nil"/>
              <w:bottom w:val="single" w:sz="8" w:space="0" w:color="D9D9D9"/>
              <w:right w:val="single" w:sz="8" w:space="0" w:color="FFFFFF"/>
            </w:tcBorders>
            <w:shd w:val="clear" w:color="000000" w:fill="15272F"/>
            <w:vAlign w:val="center"/>
            <w:hideMark/>
          </w:tcPr>
          <w:p w14:paraId="0CB6BB6E" w14:textId="77777777" w:rsidR="003A549C" w:rsidRPr="00F61D59"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Jurisdiction</w:t>
            </w:r>
          </w:p>
        </w:tc>
        <w:tc>
          <w:tcPr>
            <w:tcW w:w="2974" w:type="dxa"/>
            <w:gridSpan w:val="3"/>
            <w:tcBorders>
              <w:top w:val="single" w:sz="8" w:space="0" w:color="auto"/>
              <w:left w:val="nil"/>
              <w:bottom w:val="single" w:sz="8" w:space="0" w:color="FFFFFF"/>
              <w:right w:val="single" w:sz="8" w:space="0" w:color="FFFFFF"/>
            </w:tcBorders>
            <w:shd w:val="clear" w:color="000000" w:fill="15272F"/>
            <w:vAlign w:val="center"/>
            <w:hideMark/>
          </w:tcPr>
          <w:p w14:paraId="5941166B" w14:textId="04170371" w:rsidR="003A549C" w:rsidRPr="00F61D59"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In-scope</w:t>
            </w:r>
            <w:r>
              <w:rPr>
                <w:rFonts w:eastAsia="Times New Roman" w:cs="Arial"/>
                <w:b/>
                <w:bCs/>
                <w:color w:val="FFFFFF" w:themeColor="background2"/>
                <w:sz w:val="16"/>
                <w:szCs w:val="16"/>
                <w:lang w:eastAsia="en-AU"/>
              </w:rPr>
              <w:t xml:space="preserve"> NHCDC</w:t>
            </w:r>
            <w:r w:rsidRPr="00F61D59">
              <w:rPr>
                <w:rFonts w:eastAsia="Times New Roman" w:cs="Arial"/>
                <w:b/>
                <w:bCs/>
                <w:color w:val="FFFFFF" w:themeColor="background2"/>
                <w:sz w:val="16"/>
                <w:szCs w:val="16"/>
                <w:lang w:eastAsia="en-AU"/>
              </w:rPr>
              <w:t xml:space="preserve"> </w:t>
            </w:r>
            <w:r>
              <w:rPr>
                <w:rFonts w:eastAsia="Times New Roman" w:cs="Arial"/>
                <w:b/>
                <w:bCs/>
                <w:color w:val="FFFFFF" w:themeColor="background2"/>
                <w:sz w:val="16"/>
                <w:szCs w:val="16"/>
                <w:lang w:eastAsia="en-AU"/>
              </w:rPr>
              <w:t>r</w:t>
            </w:r>
            <w:r w:rsidRPr="00F61D59">
              <w:rPr>
                <w:rFonts w:eastAsia="Times New Roman" w:cs="Arial"/>
                <w:b/>
                <w:bCs/>
                <w:color w:val="FFFFFF" w:themeColor="background2"/>
                <w:sz w:val="16"/>
                <w:szCs w:val="16"/>
                <w:lang w:eastAsia="en-AU"/>
              </w:rPr>
              <w:t>ecords</w:t>
            </w:r>
          </w:p>
        </w:tc>
        <w:tc>
          <w:tcPr>
            <w:tcW w:w="2621" w:type="dxa"/>
            <w:gridSpan w:val="3"/>
            <w:tcBorders>
              <w:top w:val="single" w:sz="8" w:space="0" w:color="auto"/>
              <w:left w:val="nil"/>
              <w:bottom w:val="single" w:sz="8" w:space="0" w:color="FFFFFF"/>
              <w:right w:val="single" w:sz="4" w:space="0" w:color="FFFFFF" w:themeColor="background2"/>
            </w:tcBorders>
            <w:shd w:val="clear" w:color="000000" w:fill="15272F"/>
            <w:vAlign w:val="center"/>
            <w:hideMark/>
          </w:tcPr>
          <w:p w14:paraId="3105EE33" w14:textId="01EBB87B" w:rsidR="003A549C" w:rsidRPr="00F61D59"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 xml:space="preserve">In-scope </w:t>
            </w:r>
            <w:r>
              <w:rPr>
                <w:rFonts w:eastAsia="Times New Roman" w:cs="Arial"/>
                <w:b/>
                <w:bCs/>
                <w:color w:val="FFFFFF" w:themeColor="background2"/>
                <w:sz w:val="16"/>
                <w:szCs w:val="16"/>
                <w:lang w:eastAsia="en-AU"/>
              </w:rPr>
              <w:t>ABF activity</w:t>
            </w:r>
          </w:p>
        </w:tc>
        <w:tc>
          <w:tcPr>
            <w:tcW w:w="2938" w:type="dxa"/>
            <w:gridSpan w:val="3"/>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4B8FE083" w14:textId="58F6432A" w:rsidR="003A549C" w:rsidRPr="00F61D59"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 xml:space="preserve">Costed </w:t>
            </w:r>
            <w:r>
              <w:rPr>
                <w:rFonts w:eastAsia="Times New Roman" w:cs="Arial"/>
                <w:b/>
                <w:bCs/>
                <w:color w:val="FFFFFF" w:themeColor="background2"/>
                <w:sz w:val="16"/>
                <w:szCs w:val="16"/>
                <w:lang w:eastAsia="en-AU"/>
              </w:rPr>
              <w:t>a</w:t>
            </w:r>
            <w:r w:rsidRPr="00F61D59">
              <w:rPr>
                <w:rFonts w:eastAsia="Times New Roman" w:cs="Arial"/>
                <w:b/>
                <w:bCs/>
                <w:color w:val="FFFFFF" w:themeColor="background2"/>
                <w:sz w:val="16"/>
                <w:szCs w:val="16"/>
                <w:lang w:eastAsia="en-AU"/>
              </w:rPr>
              <w:t>ctivity</w:t>
            </w:r>
            <w:r>
              <w:rPr>
                <w:rFonts w:eastAsia="Times New Roman" w:cs="Arial"/>
                <w:b/>
                <w:bCs/>
                <w:color w:val="FFFFFF" w:themeColor="background2"/>
                <w:sz w:val="16"/>
                <w:szCs w:val="16"/>
                <w:lang w:eastAsia="en-AU"/>
              </w:rPr>
              <w:t xml:space="preserve"> (%)</w:t>
            </w:r>
          </w:p>
        </w:tc>
      </w:tr>
      <w:tr w:rsidR="00657489" w:rsidRPr="00F61D59" w14:paraId="1FAD8F72" w14:textId="77777777" w:rsidTr="00F61D59">
        <w:trPr>
          <w:trHeight w:val="315"/>
        </w:trPr>
        <w:tc>
          <w:tcPr>
            <w:tcW w:w="1279" w:type="dxa"/>
            <w:vMerge/>
            <w:tcBorders>
              <w:top w:val="nil"/>
              <w:left w:val="nil"/>
              <w:bottom w:val="single" w:sz="8" w:space="0" w:color="D9D9D9"/>
              <w:right w:val="single" w:sz="8" w:space="0" w:color="FFFFFF"/>
            </w:tcBorders>
            <w:vAlign w:val="center"/>
            <w:hideMark/>
          </w:tcPr>
          <w:p w14:paraId="728333A6" w14:textId="77777777" w:rsidR="00657489" w:rsidRPr="00F61D59" w:rsidRDefault="00657489" w:rsidP="00A32EB6">
            <w:pPr>
              <w:spacing w:before="40" w:after="40" w:line="240" w:lineRule="auto"/>
              <w:rPr>
                <w:rFonts w:eastAsia="Times New Roman" w:cs="Arial"/>
                <w:b/>
                <w:bCs/>
                <w:color w:val="FFFFFF"/>
                <w:sz w:val="16"/>
                <w:szCs w:val="16"/>
                <w:lang w:eastAsia="en-AU"/>
              </w:rPr>
            </w:pPr>
          </w:p>
        </w:tc>
        <w:tc>
          <w:tcPr>
            <w:tcW w:w="989" w:type="dxa"/>
            <w:tcBorders>
              <w:top w:val="nil"/>
              <w:left w:val="nil"/>
              <w:bottom w:val="single" w:sz="8" w:space="0" w:color="D9D9D9"/>
              <w:right w:val="single" w:sz="8" w:space="0" w:color="FFFFFF"/>
            </w:tcBorders>
            <w:shd w:val="clear" w:color="000000" w:fill="15272F"/>
            <w:vAlign w:val="center"/>
            <w:hideMark/>
          </w:tcPr>
          <w:p w14:paraId="2E616BB4" w14:textId="77777777" w:rsidR="00657489" w:rsidRPr="00F61D59" w:rsidRDefault="00657489" w:rsidP="00A32EB6">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2020-21</w:t>
            </w:r>
          </w:p>
        </w:tc>
        <w:tc>
          <w:tcPr>
            <w:tcW w:w="993" w:type="dxa"/>
            <w:tcBorders>
              <w:top w:val="nil"/>
              <w:left w:val="nil"/>
              <w:bottom w:val="single" w:sz="8" w:space="0" w:color="D9D9D9"/>
              <w:right w:val="single" w:sz="8" w:space="0" w:color="FFFFFF"/>
            </w:tcBorders>
            <w:shd w:val="clear" w:color="000000" w:fill="15272F"/>
            <w:vAlign w:val="center"/>
            <w:hideMark/>
          </w:tcPr>
          <w:p w14:paraId="6A6DB0BB" w14:textId="77777777" w:rsidR="00657489" w:rsidRPr="00F61D59" w:rsidRDefault="00657489" w:rsidP="00A32EB6">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2021-22</w:t>
            </w:r>
          </w:p>
        </w:tc>
        <w:tc>
          <w:tcPr>
            <w:tcW w:w="992" w:type="dxa"/>
            <w:tcBorders>
              <w:top w:val="nil"/>
              <w:left w:val="nil"/>
              <w:bottom w:val="single" w:sz="8" w:space="0" w:color="D9D9D9"/>
              <w:right w:val="single" w:sz="8" w:space="0" w:color="FFFFFF"/>
            </w:tcBorders>
            <w:shd w:val="clear" w:color="000000" w:fill="15272F"/>
            <w:vAlign w:val="center"/>
            <w:hideMark/>
          </w:tcPr>
          <w:p w14:paraId="0D21D5B2" w14:textId="77777777" w:rsidR="00657489" w:rsidRPr="00F61D59" w:rsidRDefault="00657489" w:rsidP="00A32EB6">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2022-23</w:t>
            </w:r>
          </w:p>
        </w:tc>
        <w:tc>
          <w:tcPr>
            <w:tcW w:w="868" w:type="dxa"/>
            <w:tcBorders>
              <w:top w:val="nil"/>
              <w:left w:val="nil"/>
              <w:bottom w:val="single" w:sz="8" w:space="0" w:color="D9D9D9"/>
              <w:right w:val="single" w:sz="8" w:space="0" w:color="FFFFFF"/>
            </w:tcBorders>
            <w:shd w:val="clear" w:color="000000" w:fill="15272F"/>
            <w:vAlign w:val="center"/>
            <w:hideMark/>
          </w:tcPr>
          <w:p w14:paraId="660FC662" w14:textId="77777777" w:rsidR="00657489" w:rsidRPr="00F61D59" w:rsidRDefault="00657489" w:rsidP="00A32EB6">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2020-21</w:t>
            </w:r>
          </w:p>
        </w:tc>
        <w:tc>
          <w:tcPr>
            <w:tcW w:w="925" w:type="dxa"/>
            <w:tcBorders>
              <w:top w:val="nil"/>
              <w:left w:val="nil"/>
              <w:bottom w:val="single" w:sz="8" w:space="0" w:color="D9D9D9"/>
              <w:right w:val="single" w:sz="8" w:space="0" w:color="FFFFFF"/>
            </w:tcBorders>
            <w:shd w:val="clear" w:color="000000" w:fill="15272F"/>
            <w:vAlign w:val="center"/>
            <w:hideMark/>
          </w:tcPr>
          <w:p w14:paraId="063A8AB3" w14:textId="77777777" w:rsidR="00657489" w:rsidRPr="00F61D59" w:rsidRDefault="00657489" w:rsidP="00A32EB6">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2021-22</w:t>
            </w:r>
          </w:p>
        </w:tc>
        <w:tc>
          <w:tcPr>
            <w:tcW w:w="828" w:type="dxa"/>
            <w:tcBorders>
              <w:top w:val="nil"/>
              <w:left w:val="nil"/>
              <w:bottom w:val="single" w:sz="8" w:space="0" w:color="D9D9D9"/>
              <w:right w:val="single" w:sz="8" w:space="0" w:color="FFFFFF"/>
            </w:tcBorders>
            <w:shd w:val="clear" w:color="000000" w:fill="15272F"/>
            <w:vAlign w:val="center"/>
            <w:hideMark/>
          </w:tcPr>
          <w:p w14:paraId="0EE7BA7D" w14:textId="77777777" w:rsidR="00657489" w:rsidRPr="00F61D59" w:rsidRDefault="00657489" w:rsidP="00A32EB6">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2022-23</w:t>
            </w:r>
          </w:p>
        </w:tc>
        <w:tc>
          <w:tcPr>
            <w:tcW w:w="947" w:type="dxa"/>
            <w:tcBorders>
              <w:top w:val="single" w:sz="8" w:space="0" w:color="D9D9D9"/>
              <w:left w:val="nil"/>
              <w:bottom w:val="single" w:sz="8" w:space="0" w:color="D9D9D9"/>
              <w:right w:val="single" w:sz="4" w:space="0" w:color="FFFFFF" w:themeColor="background2"/>
            </w:tcBorders>
            <w:shd w:val="clear" w:color="000000" w:fill="15272F"/>
            <w:vAlign w:val="center"/>
            <w:hideMark/>
          </w:tcPr>
          <w:p w14:paraId="6AEA0F7F" w14:textId="77777777" w:rsidR="00657489" w:rsidRPr="00F61D59" w:rsidRDefault="00657489" w:rsidP="00A32EB6">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2020-21</w:t>
            </w:r>
          </w:p>
        </w:tc>
        <w:tc>
          <w:tcPr>
            <w:tcW w:w="994"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30615CEB" w14:textId="77777777" w:rsidR="00657489" w:rsidRPr="00F61D59" w:rsidRDefault="00657489" w:rsidP="00A32EB6">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2021-22</w:t>
            </w:r>
          </w:p>
        </w:tc>
        <w:tc>
          <w:tcPr>
            <w:tcW w:w="99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22367EDC" w14:textId="77777777" w:rsidR="00657489" w:rsidRPr="00F61D59" w:rsidRDefault="00657489" w:rsidP="00A32EB6">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2022-23</w:t>
            </w:r>
          </w:p>
        </w:tc>
      </w:tr>
      <w:tr w:rsidR="00F61D59" w:rsidRPr="00F61D59" w14:paraId="1D1EB80F" w14:textId="77777777" w:rsidTr="00CC29EE">
        <w:trPr>
          <w:trHeight w:val="315"/>
        </w:trPr>
        <w:tc>
          <w:tcPr>
            <w:tcW w:w="1279" w:type="dxa"/>
            <w:tcBorders>
              <w:top w:val="nil"/>
              <w:left w:val="nil"/>
              <w:bottom w:val="single" w:sz="8" w:space="0" w:color="D9D9D9"/>
              <w:right w:val="single" w:sz="8" w:space="0" w:color="FFFFFF"/>
            </w:tcBorders>
            <w:shd w:val="clear" w:color="auto" w:fill="auto"/>
            <w:vAlign w:val="center"/>
            <w:hideMark/>
          </w:tcPr>
          <w:p w14:paraId="6064D3DD"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NSW</w:t>
            </w:r>
          </w:p>
        </w:tc>
        <w:tc>
          <w:tcPr>
            <w:tcW w:w="989" w:type="dxa"/>
            <w:tcBorders>
              <w:top w:val="nil"/>
              <w:left w:val="nil"/>
              <w:bottom w:val="single" w:sz="8" w:space="0" w:color="D9D9D9"/>
              <w:right w:val="single" w:sz="8" w:space="0" w:color="FFFFFF"/>
            </w:tcBorders>
            <w:shd w:val="clear" w:color="000000" w:fill="F2F2F2"/>
            <w:vAlign w:val="center"/>
            <w:hideMark/>
          </w:tcPr>
          <w:p w14:paraId="1720C21E" w14:textId="4E49D797"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30,691 </w:t>
            </w:r>
          </w:p>
        </w:tc>
        <w:tc>
          <w:tcPr>
            <w:tcW w:w="993" w:type="dxa"/>
            <w:tcBorders>
              <w:top w:val="nil"/>
              <w:left w:val="nil"/>
              <w:bottom w:val="single" w:sz="8" w:space="0" w:color="D9D9D9"/>
              <w:right w:val="single" w:sz="8" w:space="0" w:color="FFFFFF"/>
            </w:tcBorders>
            <w:shd w:val="clear" w:color="000000" w:fill="F2F2F2"/>
            <w:vAlign w:val="center"/>
            <w:hideMark/>
          </w:tcPr>
          <w:p w14:paraId="5EC3C3E6" w14:textId="01E092ED"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28,082 </w:t>
            </w:r>
          </w:p>
        </w:tc>
        <w:tc>
          <w:tcPr>
            <w:tcW w:w="992" w:type="dxa"/>
            <w:tcBorders>
              <w:top w:val="nil"/>
              <w:left w:val="nil"/>
              <w:bottom w:val="single" w:sz="8" w:space="0" w:color="D9D9D9"/>
              <w:right w:val="single" w:sz="8" w:space="0" w:color="FFFFFF"/>
            </w:tcBorders>
            <w:shd w:val="clear" w:color="000000" w:fill="F2F2F2"/>
            <w:vAlign w:val="center"/>
            <w:hideMark/>
          </w:tcPr>
          <w:p w14:paraId="173F47F1" w14:textId="1F714420"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35,010 </w:t>
            </w:r>
          </w:p>
        </w:tc>
        <w:tc>
          <w:tcPr>
            <w:tcW w:w="868" w:type="dxa"/>
            <w:tcBorders>
              <w:top w:val="nil"/>
              <w:left w:val="nil"/>
              <w:bottom w:val="single" w:sz="8" w:space="0" w:color="D9D9D9"/>
              <w:right w:val="single" w:sz="8" w:space="0" w:color="FFFFFF"/>
            </w:tcBorders>
            <w:shd w:val="clear" w:color="000000" w:fill="F2F2F2"/>
            <w:vAlign w:val="center"/>
            <w:hideMark/>
          </w:tcPr>
          <w:p w14:paraId="71B7A5EA" w14:textId="574F31AE"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35,884 </w:t>
            </w:r>
          </w:p>
        </w:tc>
        <w:tc>
          <w:tcPr>
            <w:tcW w:w="925" w:type="dxa"/>
            <w:tcBorders>
              <w:top w:val="nil"/>
              <w:left w:val="nil"/>
              <w:bottom w:val="single" w:sz="8" w:space="0" w:color="D9D9D9"/>
              <w:right w:val="single" w:sz="8" w:space="0" w:color="FFFFFF"/>
            </w:tcBorders>
            <w:shd w:val="clear" w:color="000000" w:fill="F2F2F2"/>
            <w:vAlign w:val="center"/>
            <w:hideMark/>
          </w:tcPr>
          <w:p w14:paraId="2D64F925" w14:textId="1431B795"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33,854 </w:t>
            </w:r>
          </w:p>
        </w:tc>
        <w:tc>
          <w:tcPr>
            <w:tcW w:w="828" w:type="dxa"/>
            <w:tcBorders>
              <w:top w:val="nil"/>
              <w:left w:val="nil"/>
              <w:bottom w:val="single" w:sz="8" w:space="0" w:color="D9D9D9"/>
              <w:right w:val="single" w:sz="8" w:space="0" w:color="FFFFFF"/>
            </w:tcBorders>
            <w:shd w:val="clear" w:color="000000" w:fill="F2F2F2"/>
            <w:vAlign w:val="center"/>
            <w:hideMark/>
          </w:tcPr>
          <w:p w14:paraId="15B6D317" w14:textId="525C7AA9"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38,466 </w:t>
            </w:r>
          </w:p>
        </w:tc>
        <w:tc>
          <w:tcPr>
            <w:tcW w:w="947" w:type="dxa"/>
            <w:tcBorders>
              <w:top w:val="nil"/>
              <w:left w:val="nil"/>
              <w:bottom w:val="single" w:sz="8" w:space="0" w:color="D9D9D9"/>
              <w:right w:val="single" w:sz="8" w:space="0" w:color="FFFFFF"/>
            </w:tcBorders>
            <w:shd w:val="clear" w:color="000000" w:fill="F2F2F2"/>
            <w:vAlign w:val="center"/>
            <w:hideMark/>
          </w:tcPr>
          <w:p w14:paraId="21CCDA3F" w14:textId="40DA93B0"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86 </w:t>
            </w:r>
          </w:p>
        </w:tc>
        <w:tc>
          <w:tcPr>
            <w:tcW w:w="994" w:type="dxa"/>
            <w:tcBorders>
              <w:top w:val="single" w:sz="4" w:space="0" w:color="FFFFFF" w:themeColor="background2"/>
              <w:left w:val="nil"/>
              <w:bottom w:val="single" w:sz="8" w:space="0" w:color="D9D9D9"/>
              <w:right w:val="single" w:sz="8" w:space="0" w:color="FFFFFF"/>
            </w:tcBorders>
            <w:shd w:val="clear" w:color="000000" w:fill="F2F2F2"/>
            <w:vAlign w:val="center"/>
            <w:hideMark/>
          </w:tcPr>
          <w:p w14:paraId="4ADD61E7" w14:textId="1C60AF2A"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83 </w:t>
            </w:r>
          </w:p>
        </w:tc>
        <w:tc>
          <w:tcPr>
            <w:tcW w:w="997" w:type="dxa"/>
            <w:tcBorders>
              <w:top w:val="single" w:sz="4" w:space="0" w:color="FFFFFF" w:themeColor="background2"/>
              <w:left w:val="nil"/>
              <w:bottom w:val="single" w:sz="8" w:space="0" w:color="D9D9D9"/>
              <w:right w:val="single" w:sz="8" w:space="0" w:color="FFFFFF"/>
            </w:tcBorders>
            <w:shd w:val="clear" w:color="000000" w:fill="F2F2F2"/>
            <w:vAlign w:val="center"/>
            <w:hideMark/>
          </w:tcPr>
          <w:p w14:paraId="2A01AB8B" w14:textId="442CAB22"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91 </w:t>
            </w:r>
          </w:p>
        </w:tc>
      </w:tr>
      <w:tr w:rsidR="00F61D59" w:rsidRPr="00F61D59" w14:paraId="15555825" w14:textId="77777777" w:rsidTr="00CC29EE">
        <w:trPr>
          <w:trHeight w:val="315"/>
        </w:trPr>
        <w:tc>
          <w:tcPr>
            <w:tcW w:w="1279" w:type="dxa"/>
            <w:tcBorders>
              <w:top w:val="nil"/>
              <w:left w:val="nil"/>
              <w:bottom w:val="single" w:sz="8" w:space="0" w:color="D9D9D9"/>
              <w:right w:val="single" w:sz="8" w:space="0" w:color="FFFFFF"/>
            </w:tcBorders>
            <w:shd w:val="clear" w:color="auto" w:fill="auto"/>
            <w:vAlign w:val="center"/>
            <w:hideMark/>
          </w:tcPr>
          <w:p w14:paraId="3E87D2A5"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Vic</w:t>
            </w:r>
          </w:p>
        </w:tc>
        <w:tc>
          <w:tcPr>
            <w:tcW w:w="989" w:type="dxa"/>
            <w:tcBorders>
              <w:top w:val="nil"/>
              <w:left w:val="nil"/>
              <w:bottom w:val="single" w:sz="8" w:space="0" w:color="D9D9D9"/>
              <w:right w:val="single" w:sz="8" w:space="0" w:color="FFFFFF"/>
            </w:tcBorders>
            <w:shd w:val="clear" w:color="000000" w:fill="F2F2F2"/>
            <w:vAlign w:val="center"/>
            <w:hideMark/>
          </w:tcPr>
          <w:p w14:paraId="7BA8CA72" w14:textId="00AE1F22"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14,969 </w:t>
            </w:r>
          </w:p>
        </w:tc>
        <w:tc>
          <w:tcPr>
            <w:tcW w:w="993" w:type="dxa"/>
            <w:tcBorders>
              <w:top w:val="nil"/>
              <w:left w:val="nil"/>
              <w:bottom w:val="single" w:sz="8" w:space="0" w:color="D9D9D9"/>
              <w:right w:val="single" w:sz="8" w:space="0" w:color="FFFFFF"/>
            </w:tcBorders>
            <w:shd w:val="clear" w:color="000000" w:fill="F2F2F2"/>
            <w:vAlign w:val="center"/>
            <w:hideMark/>
          </w:tcPr>
          <w:p w14:paraId="156B74B2" w14:textId="32ECFE6B"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15,741 </w:t>
            </w:r>
          </w:p>
        </w:tc>
        <w:tc>
          <w:tcPr>
            <w:tcW w:w="992" w:type="dxa"/>
            <w:tcBorders>
              <w:top w:val="nil"/>
              <w:left w:val="nil"/>
              <w:bottom w:val="single" w:sz="8" w:space="0" w:color="D9D9D9"/>
              <w:right w:val="single" w:sz="8" w:space="0" w:color="FFFFFF"/>
            </w:tcBorders>
            <w:shd w:val="clear" w:color="000000" w:fill="F2F2F2"/>
            <w:vAlign w:val="center"/>
            <w:hideMark/>
          </w:tcPr>
          <w:p w14:paraId="56689F1D" w14:textId="48E92903"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15,824 </w:t>
            </w:r>
          </w:p>
        </w:tc>
        <w:tc>
          <w:tcPr>
            <w:tcW w:w="868" w:type="dxa"/>
            <w:tcBorders>
              <w:top w:val="nil"/>
              <w:left w:val="nil"/>
              <w:bottom w:val="single" w:sz="8" w:space="0" w:color="D9D9D9"/>
              <w:right w:val="single" w:sz="8" w:space="0" w:color="FFFFFF"/>
            </w:tcBorders>
            <w:shd w:val="clear" w:color="000000" w:fill="F2F2F2"/>
            <w:vAlign w:val="center"/>
            <w:hideMark/>
          </w:tcPr>
          <w:p w14:paraId="06ACFC32" w14:textId="33D72AC6"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16,470 </w:t>
            </w:r>
          </w:p>
        </w:tc>
        <w:tc>
          <w:tcPr>
            <w:tcW w:w="925" w:type="dxa"/>
            <w:tcBorders>
              <w:top w:val="nil"/>
              <w:left w:val="nil"/>
              <w:bottom w:val="single" w:sz="8" w:space="0" w:color="D9D9D9"/>
              <w:right w:val="single" w:sz="8" w:space="0" w:color="FFFFFF"/>
            </w:tcBorders>
            <w:shd w:val="clear" w:color="000000" w:fill="F2F2F2"/>
            <w:vAlign w:val="center"/>
            <w:hideMark/>
          </w:tcPr>
          <w:p w14:paraId="3553C9C7" w14:textId="6090C572"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16,472 </w:t>
            </w:r>
          </w:p>
        </w:tc>
        <w:tc>
          <w:tcPr>
            <w:tcW w:w="828" w:type="dxa"/>
            <w:tcBorders>
              <w:top w:val="nil"/>
              <w:left w:val="nil"/>
              <w:bottom w:val="single" w:sz="8" w:space="0" w:color="D9D9D9"/>
              <w:right w:val="single" w:sz="8" w:space="0" w:color="FFFFFF"/>
            </w:tcBorders>
            <w:shd w:val="clear" w:color="000000" w:fill="F2F2F2"/>
            <w:vAlign w:val="center"/>
            <w:hideMark/>
          </w:tcPr>
          <w:p w14:paraId="6A70B94C" w14:textId="2CF38640"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16,497 </w:t>
            </w:r>
          </w:p>
        </w:tc>
        <w:tc>
          <w:tcPr>
            <w:tcW w:w="947" w:type="dxa"/>
            <w:tcBorders>
              <w:top w:val="nil"/>
              <w:left w:val="nil"/>
              <w:bottom w:val="single" w:sz="8" w:space="0" w:color="D9D9D9"/>
              <w:right w:val="single" w:sz="8" w:space="0" w:color="FFFFFF"/>
            </w:tcBorders>
            <w:shd w:val="clear" w:color="000000" w:fill="F2F2F2"/>
            <w:vAlign w:val="center"/>
            <w:hideMark/>
          </w:tcPr>
          <w:p w14:paraId="018188EE" w14:textId="157204F1"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91 </w:t>
            </w:r>
          </w:p>
        </w:tc>
        <w:tc>
          <w:tcPr>
            <w:tcW w:w="994" w:type="dxa"/>
            <w:tcBorders>
              <w:top w:val="nil"/>
              <w:left w:val="nil"/>
              <w:bottom w:val="single" w:sz="8" w:space="0" w:color="D9D9D9"/>
              <w:right w:val="single" w:sz="8" w:space="0" w:color="FFFFFF"/>
            </w:tcBorders>
            <w:shd w:val="clear" w:color="000000" w:fill="F2F2F2"/>
            <w:vAlign w:val="center"/>
            <w:hideMark/>
          </w:tcPr>
          <w:p w14:paraId="616ED0A6" w14:textId="52345429"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96 </w:t>
            </w:r>
          </w:p>
        </w:tc>
        <w:tc>
          <w:tcPr>
            <w:tcW w:w="997" w:type="dxa"/>
            <w:tcBorders>
              <w:top w:val="nil"/>
              <w:left w:val="nil"/>
              <w:bottom w:val="single" w:sz="8" w:space="0" w:color="D9D9D9"/>
              <w:right w:val="single" w:sz="8" w:space="0" w:color="FFFFFF"/>
            </w:tcBorders>
            <w:shd w:val="clear" w:color="000000" w:fill="F2F2F2"/>
            <w:vAlign w:val="center"/>
            <w:hideMark/>
          </w:tcPr>
          <w:p w14:paraId="7347675D" w14:textId="3C8D9517"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96 </w:t>
            </w:r>
          </w:p>
        </w:tc>
      </w:tr>
      <w:tr w:rsidR="00F61D59" w:rsidRPr="00F61D59" w14:paraId="01098EEC" w14:textId="77777777" w:rsidTr="00CC29EE">
        <w:trPr>
          <w:trHeight w:val="315"/>
        </w:trPr>
        <w:tc>
          <w:tcPr>
            <w:tcW w:w="1279" w:type="dxa"/>
            <w:tcBorders>
              <w:top w:val="nil"/>
              <w:left w:val="nil"/>
              <w:bottom w:val="single" w:sz="8" w:space="0" w:color="D9D9D9"/>
              <w:right w:val="single" w:sz="8" w:space="0" w:color="FFFFFF"/>
            </w:tcBorders>
            <w:shd w:val="clear" w:color="auto" w:fill="auto"/>
            <w:vAlign w:val="center"/>
            <w:hideMark/>
          </w:tcPr>
          <w:p w14:paraId="06233293"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Qld</w:t>
            </w:r>
          </w:p>
        </w:tc>
        <w:tc>
          <w:tcPr>
            <w:tcW w:w="989" w:type="dxa"/>
            <w:tcBorders>
              <w:top w:val="nil"/>
              <w:left w:val="nil"/>
              <w:bottom w:val="single" w:sz="8" w:space="0" w:color="D9D9D9"/>
              <w:right w:val="single" w:sz="8" w:space="0" w:color="FFFFFF"/>
            </w:tcBorders>
            <w:shd w:val="clear" w:color="000000" w:fill="F2F2F2"/>
            <w:vAlign w:val="center"/>
            <w:hideMark/>
          </w:tcPr>
          <w:p w14:paraId="0F57EE8C" w14:textId="1E9D7849"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9,902 </w:t>
            </w:r>
          </w:p>
        </w:tc>
        <w:tc>
          <w:tcPr>
            <w:tcW w:w="993" w:type="dxa"/>
            <w:tcBorders>
              <w:top w:val="nil"/>
              <w:left w:val="nil"/>
              <w:bottom w:val="single" w:sz="8" w:space="0" w:color="D9D9D9"/>
              <w:right w:val="single" w:sz="8" w:space="0" w:color="FFFFFF"/>
            </w:tcBorders>
            <w:shd w:val="clear" w:color="000000" w:fill="F2F2F2"/>
            <w:vAlign w:val="center"/>
            <w:hideMark/>
          </w:tcPr>
          <w:p w14:paraId="3B672CBA" w14:textId="1A1C55B3"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15,871 </w:t>
            </w:r>
          </w:p>
        </w:tc>
        <w:tc>
          <w:tcPr>
            <w:tcW w:w="992" w:type="dxa"/>
            <w:tcBorders>
              <w:top w:val="nil"/>
              <w:left w:val="nil"/>
              <w:bottom w:val="single" w:sz="8" w:space="0" w:color="D9D9D9"/>
              <w:right w:val="single" w:sz="8" w:space="0" w:color="FFFFFF"/>
            </w:tcBorders>
            <w:shd w:val="clear" w:color="000000" w:fill="F2F2F2"/>
            <w:vAlign w:val="center"/>
            <w:hideMark/>
          </w:tcPr>
          <w:p w14:paraId="002BBA6F" w14:textId="4C106AF3"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16,822 </w:t>
            </w:r>
          </w:p>
        </w:tc>
        <w:tc>
          <w:tcPr>
            <w:tcW w:w="868" w:type="dxa"/>
            <w:tcBorders>
              <w:top w:val="nil"/>
              <w:left w:val="nil"/>
              <w:bottom w:val="single" w:sz="8" w:space="0" w:color="D9D9D9"/>
              <w:right w:val="single" w:sz="8" w:space="0" w:color="FFFFFF"/>
            </w:tcBorders>
            <w:shd w:val="clear" w:color="000000" w:fill="F2F2F2"/>
            <w:vAlign w:val="center"/>
            <w:hideMark/>
          </w:tcPr>
          <w:p w14:paraId="289BE627" w14:textId="2CE3CB96"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15,914 </w:t>
            </w:r>
          </w:p>
        </w:tc>
        <w:tc>
          <w:tcPr>
            <w:tcW w:w="925" w:type="dxa"/>
            <w:tcBorders>
              <w:top w:val="nil"/>
              <w:left w:val="nil"/>
              <w:bottom w:val="single" w:sz="8" w:space="0" w:color="D9D9D9"/>
              <w:right w:val="single" w:sz="8" w:space="0" w:color="FFFFFF"/>
            </w:tcBorders>
            <w:shd w:val="clear" w:color="000000" w:fill="F2F2F2"/>
            <w:vAlign w:val="center"/>
            <w:hideMark/>
          </w:tcPr>
          <w:p w14:paraId="7FD937FD" w14:textId="3A061521"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16,126 </w:t>
            </w:r>
          </w:p>
        </w:tc>
        <w:tc>
          <w:tcPr>
            <w:tcW w:w="828" w:type="dxa"/>
            <w:tcBorders>
              <w:top w:val="nil"/>
              <w:left w:val="nil"/>
              <w:bottom w:val="single" w:sz="8" w:space="0" w:color="D9D9D9"/>
              <w:right w:val="single" w:sz="8" w:space="0" w:color="FFFFFF"/>
            </w:tcBorders>
            <w:shd w:val="clear" w:color="000000" w:fill="F2F2F2"/>
            <w:vAlign w:val="center"/>
            <w:hideMark/>
          </w:tcPr>
          <w:p w14:paraId="4B45DA9F" w14:textId="16657273"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16,929 </w:t>
            </w:r>
          </w:p>
        </w:tc>
        <w:tc>
          <w:tcPr>
            <w:tcW w:w="947" w:type="dxa"/>
            <w:tcBorders>
              <w:top w:val="nil"/>
              <w:left w:val="nil"/>
              <w:bottom w:val="single" w:sz="8" w:space="0" w:color="D9D9D9"/>
              <w:right w:val="single" w:sz="8" w:space="0" w:color="FFFFFF"/>
            </w:tcBorders>
            <w:shd w:val="clear" w:color="000000" w:fill="F2F2F2"/>
            <w:vAlign w:val="center"/>
            <w:hideMark/>
          </w:tcPr>
          <w:p w14:paraId="51E0ED63" w14:textId="4CE468FD"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62 </w:t>
            </w:r>
          </w:p>
        </w:tc>
        <w:tc>
          <w:tcPr>
            <w:tcW w:w="994" w:type="dxa"/>
            <w:tcBorders>
              <w:top w:val="nil"/>
              <w:left w:val="nil"/>
              <w:bottom w:val="single" w:sz="8" w:space="0" w:color="D9D9D9"/>
              <w:right w:val="single" w:sz="8" w:space="0" w:color="FFFFFF"/>
            </w:tcBorders>
            <w:shd w:val="clear" w:color="000000" w:fill="F2F2F2"/>
            <w:vAlign w:val="center"/>
            <w:hideMark/>
          </w:tcPr>
          <w:p w14:paraId="3CFFD0D2" w14:textId="719C8920"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98 </w:t>
            </w:r>
          </w:p>
        </w:tc>
        <w:tc>
          <w:tcPr>
            <w:tcW w:w="997" w:type="dxa"/>
            <w:tcBorders>
              <w:top w:val="nil"/>
              <w:left w:val="nil"/>
              <w:bottom w:val="single" w:sz="8" w:space="0" w:color="D9D9D9"/>
              <w:right w:val="single" w:sz="8" w:space="0" w:color="FFFFFF"/>
            </w:tcBorders>
            <w:shd w:val="clear" w:color="000000" w:fill="F2F2F2"/>
            <w:vAlign w:val="center"/>
            <w:hideMark/>
          </w:tcPr>
          <w:p w14:paraId="3CFAEAAC" w14:textId="1D457AF3"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99 </w:t>
            </w:r>
          </w:p>
        </w:tc>
      </w:tr>
      <w:tr w:rsidR="00F61D59" w:rsidRPr="00F61D59" w14:paraId="6A97C574" w14:textId="77777777" w:rsidTr="00CC29EE">
        <w:trPr>
          <w:trHeight w:val="315"/>
        </w:trPr>
        <w:tc>
          <w:tcPr>
            <w:tcW w:w="1279" w:type="dxa"/>
            <w:tcBorders>
              <w:top w:val="nil"/>
              <w:left w:val="nil"/>
              <w:bottom w:val="single" w:sz="8" w:space="0" w:color="D9D9D9"/>
              <w:right w:val="single" w:sz="8" w:space="0" w:color="FFFFFF"/>
            </w:tcBorders>
            <w:shd w:val="clear" w:color="auto" w:fill="auto"/>
            <w:vAlign w:val="center"/>
            <w:hideMark/>
          </w:tcPr>
          <w:p w14:paraId="66BC9D51"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SA</w:t>
            </w:r>
          </w:p>
        </w:tc>
        <w:tc>
          <w:tcPr>
            <w:tcW w:w="989" w:type="dxa"/>
            <w:tcBorders>
              <w:top w:val="nil"/>
              <w:left w:val="nil"/>
              <w:bottom w:val="single" w:sz="8" w:space="0" w:color="D9D9D9"/>
              <w:right w:val="single" w:sz="8" w:space="0" w:color="FFFFFF"/>
            </w:tcBorders>
            <w:shd w:val="clear" w:color="000000" w:fill="F2F2F2"/>
            <w:vAlign w:val="center"/>
            <w:hideMark/>
          </w:tcPr>
          <w:p w14:paraId="6CEC255C" w14:textId="0D8A8C87"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   </w:t>
            </w:r>
          </w:p>
        </w:tc>
        <w:tc>
          <w:tcPr>
            <w:tcW w:w="993" w:type="dxa"/>
            <w:tcBorders>
              <w:top w:val="nil"/>
              <w:left w:val="nil"/>
              <w:bottom w:val="single" w:sz="8" w:space="0" w:color="D9D9D9"/>
              <w:right w:val="single" w:sz="8" w:space="0" w:color="FFFFFF"/>
            </w:tcBorders>
            <w:shd w:val="clear" w:color="000000" w:fill="F2F2F2"/>
            <w:vAlign w:val="center"/>
            <w:hideMark/>
          </w:tcPr>
          <w:p w14:paraId="3A62262B" w14:textId="173DDF20"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2,918 </w:t>
            </w:r>
          </w:p>
        </w:tc>
        <w:tc>
          <w:tcPr>
            <w:tcW w:w="992" w:type="dxa"/>
            <w:tcBorders>
              <w:top w:val="nil"/>
              <w:left w:val="nil"/>
              <w:bottom w:val="single" w:sz="8" w:space="0" w:color="D9D9D9"/>
              <w:right w:val="single" w:sz="8" w:space="0" w:color="FFFFFF"/>
            </w:tcBorders>
            <w:shd w:val="clear" w:color="000000" w:fill="F2F2F2"/>
            <w:vAlign w:val="center"/>
            <w:hideMark/>
          </w:tcPr>
          <w:p w14:paraId="625F2140" w14:textId="3BA59E6D"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3,397 </w:t>
            </w:r>
          </w:p>
        </w:tc>
        <w:tc>
          <w:tcPr>
            <w:tcW w:w="868" w:type="dxa"/>
            <w:tcBorders>
              <w:top w:val="nil"/>
              <w:left w:val="nil"/>
              <w:bottom w:val="single" w:sz="8" w:space="0" w:color="D9D9D9"/>
              <w:right w:val="single" w:sz="8" w:space="0" w:color="FFFFFF"/>
            </w:tcBorders>
            <w:shd w:val="clear" w:color="000000" w:fill="F2F2F2"/>
            <w:vAlign w:val="center"/>
            <w:hideMark/>
          </w:tcPr>
          <w:p w14:paraId="768B8816" w14:textId="5BBB803B"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3,713 </w:t>
            </w:r>
          </w:p>
        </w:tc>
        <w:tc>
          <w:tcPr>
            <w:tcW w:w="925" w:type="dxa"/>
            <w:tcBorders>
              <w:top w:val="nil"/>
              <w:left w:val="nil"/>
              <w:bottom w:val="single" w:sz="8" w:space="0" w:color="D9D9D9"/>
              <w:right w:val="single" w:sz="8" w:space="0" w:color="FFFFFF"/>
            </w:tcBorders>
            <w:shd w:val="clear" w:color="000000" w:fill="F2F2F2"/>
            <w:vAlign w:val="center"/>
            <w:hideMark/>
          </w:tcPr>
          <w:p w14:paraId="61F0AD26" w14:textId="43333FF5"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3,223 </w:t>
            </w:r>
          </w:p>
        </w:tc>
        <w:tc>
          <w:tcPr>
            <w:tcW w:w="828" w:type="dxa"/>
            <w:tcBorders>
              <w:top w:val="nil"/>
              <w:left w:val="nil"/>
              <w:bottom w:val="single" w:sz="8" w:space="0" w:color="D9D9D9"/>
              <w:right w:val="single" w:sz="8" w:space="0" w:color="FFFFFF"/>
            </w:tcBorders>
            <w:shd w:val="clear" w:color="000000" w:fill="F2F2F2"/>
            <w:vAlign w:val="center"/>
            <w:hideMark/>
          </w:tcPr>
          <w:p w14:paraId="692F8011" w14:textId="202982C2"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3,665 </w:t>
            </w:r>
          </w:p>
        </w:tc>
        <w:tc>
          <w:tcPr>
            <w:tcW w:w="947" w:type="dxa"/>
            <w:tcBorders>
              <w:top w:val="nil"/>
              <w:left w:val="nil"/>
              <w:bottom w:val="single" w:sz="8" w:space="0" w:color="D9D9D9"/>
              <w:right w:val="single" w:sz="8" w:space="0" w:color="FFFFFF"/>
            </w:tcBorders>
            <w:shd w:val="clear" w:color="000000" w:fill="F2F2F2"/>
            <w:vAlign w:val="center"/>
            <w:hideMark/>
          </w:tcPr>
          <w:p w14:paraId="5E50F047" w14:textId="67F03234"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w:t>
            </w:r>
            <w:r w:rsidR="00675119">
              <w:rPr>
                <w:rFonts w:cs="Arial"/>
                <w:sz w:val="16"/>
                <w:szCs w:val="16"/>
              </w:rPr>
              <w:t>0</w:t>
            </w:r>
            <w:r w:rsidRPr="00CC29EE">
              <w:rPr>
                <w:rFonts w:cs="Arial"/>
                <w:sz w:val="16"/>
                <w:szCs w:val="16"/>
              </w:rPr>
              <w:t xml:space="preserve">  </w:t>
            </w:r>
          </w:p>
        </w:tc>
        <w:tc>
          <w:tcPr>
            <w:tcW w:w="994" w:type="dxa"/>
            <w:tcBorders>
              <w:top w:val="nil"/>
              <w:left w:val="nil"/>
              <w:bottom w:val="single" w:sz="8" w:space="0" w:color="D9D9D9"/>
              <w:right w:val="single" w:sz="8" w:space="0" w:color="FFFFFF"/>
            </w:tcBorders>
            <w:shd w:val="clear" w:color="000000" w:fill="F2F2F2"/>
            <w:vAlign w:val="center"/>
            <w:hideMark/>
          </w:tcPr>
          <w:p w14:paraId="621EC768" w14:textId="0FCB49B6"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91 </w:t>
            </w:r>
          </w:p>
        </w:tc>
        <w:tc>
          <w:tcPr>
            <w:tcW w:w="997" w:type="dxa"/>
            <w:tcBorders>
              <w:top w:val="nil"/>
              <w:left w:val="nil"/>
              <w:bottom w:val="single" w:sz="8" w:space="0" w:color="D9D9D9"/>
              <w:right w:val="single" w:sz="8" w:space="0" w:color="FFFFFF"/>
            </w:tcBorders>
            <w:shd w:val="clear" w:color="000000" w:fill="F2F2F2"/>
            <w:vAlign w:val="center"/>
            <w:hideMark/>
          </w:tcPr>
          <w:p w14:paraId="51D4C509" w14:textId="04D7972C"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93 </w:t>
            </w:r>
          </w:p>
        </w:tc>
      </w:tr>
      <w:tr w:rsidR="00F61D59" w:rsidRPr="00F61D59" w14:paraId="40638E7A" w14:textId="77777777" w:rsidTr="00CC29EE">
        <w:trPr>
          <w:trHeight w:val="315"/>
        </w:trPr>
        <w:tc>
          <w:tcPr>
            <w:tcW w:w="1279" w:type="dxa"/>
            <w:tcBorders>
              <w:top w:val="nil"/>
              <w:left w:val="nil"/>
              <w:bottom w:val="nil"/>
              <w:right w:val="single" w:sz="8" w:space="0" w:color="FFFFFF"/>
            </w:tcBorders>
            <w:shd w:val="clear" w:color="auto" w:fill="auto"/>
            <w:vAlign w:val="center"/>
            <w:hideMark/>
          </w:tcPr>
          <w:p w14:paraId="5B7EF584"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WA</w:t>
            </w:r>
          </w:p>
        </w:tc>
        <w:tc>
          <w:tcPr>
            <w:tcW w:w="989" w:type="dxa"/>
            <w:tcBorders>
              <w:top w:val="nil"/>
              <w:left w:val="nil"/>
              <w:bottom w:val="single" w:sz="8" w:space="0" w:color="D9D9D9"/>
              <w:right w:val="single" w:sz="8" w:space="0" w:color="FFFFFF"/>
            </w:tcBorders>
            <w:shd w:val="clear" w:color="000000" w:fill="F2F2F2"/>
            <w:vAlign w:val="center"/>
            <w:hideMark/>
          </w:tcPr>
          <w:p w14:paraId="309DA4E4" w14:textId="5DCF3478"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   </w:t>
            </w:r>
          </w:p>
        </w:tc>
        <w:tc>
          <w:tcPr>
            <w:tcW w:w="993" w:type="dxa"/>
            <w:tcBorders>
              <w:top w:val="nil"/>
              <w:left w:val="nil"/>
              <w:bottom w:val="single" w:sz="8" w:space="0" w:color="D9D9D9"/>
              <w:right w:val="single" w:sz="8" w:space="0" w:color="FFFFFF"/>
            </w:tcBorders>
            <w:shd w:val="clear" w:color="000000" w:fill="F2F2F2"/>
            <w:vAlign w:val="center"/>
            <w:hideMark/>
          </w:tcPr>
          <w:p w14:paraId="2ACB93CC" w14:textId="711CD65A"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   </w:t>
            </w:r>
          </w:p>
        </w:tc>
        <w:tc>
          <w:tcPr>
            <w:tcW w:w="992" w:type="dxa"/>
            <w:tcBorders>
              <w:top w:val="nil"/>
              <w:left w:val="nil"/>
              <w:bottom w:val="single" w:sz="8" w:space="0" w:color="D9D9D9"/>
              <w:right w:val="single" w:sz="8" w:space="0" w:color="FFFFFF"/>
            </w:tcBorders>
            <w:shd w:val="clear" w:color="000000" w:fill="F2F2F2"/>
            <w:vAlign w:val="center"/>
            <w:hideMark/>
          </w:tcPr>
          <w:p w14:paraId="5EF1D233" w14:textId="7A583713"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   </w:t>
            </w:r>
          </w:p>
        </w:tc>
        <w:tc>
          <w:tcPr>
            <w:tcW w:w="868" w:type="dxa"/>
            <w:tcBorders>
              <w:top w:val="nil"/>
              <w:left w:val="nil"/>
              <w:bottom w:val="single" w:sz="8" w:space="0" w:color="D9D9D9"/>
              <w:right w:val="single" w:sz="8" w:space="0" w:color="FFFFFF"/>
            </w:tcBorders>
            <w:shd w:val="clear" w:color="000000" w:fill="F2F2F2"/>
            <w:vAlign w:val="center"/>
            <w:hideMark/>
          </w:tcPr>
          <w:p w14:paraId="7E19C73D" w14:textId="2545C1D3"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5,980 </w:t>
            </w:r>
          </w:p>
        </w:tc>
        <w:tc>
          <w:tcPr>
            <w:tcW w:w="925" w:type="dxa"/>
            <w:tcBorders>
              <w:top w:val="nil"/>
              <w:left w:val="nil"/>
              <w:bottom w:val="single" w:sz="8" w:space="0" w:color="D9D9D9"/>
              <w:right w:val="single" w:sz="8" w:space="0" w:color="FFFFFF"/>
            </w:tcBorders>
            <w:shd w:val="clear" w:color="000000" w:fill="F2F2F2"/>
            <w:vAlign w:val="center"/>
            <w:hideMark/>
          </w:tcPr>
          <w:p w14:paraId="3DFD71C3" w14:textId="0029811D"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5,179 </w:t>
            </w:r>
          </w:p>
        </w:tc>
        <w:tc>
          <w:tcPr>
            <w:tcW w:w="828" w:type="dxa"/>
            <w:tcBorders>
              <w:top w:val="nil"/>
              <w:left w:val="nil"/>
              <w:bottom w:val="single" w:sz="8" w:space="0" w:color="D9D9D9"/>
              <w:right w:val="single" w:sz="8" w:space="0" w:color="FFFFFF"/>
            </w:tcBorders>
            <w:shd w:val="clear" w:color="000000" w:fill="F2F2F2"/>
            <w:vAlign w:val="center"/>
            <w:hideMark/>
          </w:tcPr>
          <w:p w14:paraId="3F021065" w14:textId="534AF79F"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7,108 </w:t>
            </w:r>
          </w:p>
        </w:tc>
        <w:tc>
          <w:tcPr>
            <w:tcW w:w="947" w:type="dxa"/>
            <w:tcBorders>
              <w:top w:val="nil"/>
              <w:left w:val="nil"/>
              <w:bottom w:val="single" w:sz="8" w:space="0" w:color="D9D9D9"/>
              <w:right w:val="single" w:sz="8" w:space="0" w:color="FFFFFF"/>
            </w:tcBorders>
            <w:shd w:val="clear" w:color="000000" w:fill="F2F2F2"/>
            <w:vAlign w:val="center"/>
            <w:hideMark/>
          </w:tcPr>
          <w:p w14:paraId="4D3BC244" w14:textId="04C2F58C"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w:t>
            </w:r>
            <w:r w:rsidR="00675119">
              <w:rPr>
                <w:rFonts w:cs="Arial"/>
                <w:sz w:val="16"/>
                <w:szCs w:val="16"/>
              </w:rPr>
              <w:t>0</w:t>
            </w:r>
            <w:r w:rsidRPr="00CC29EE">
              <w:rPr>
                <w:rFonts w:cs="Arial"/>
                <w:sz w:val="16"/>
                <w:szCs w:val="16"/>
              </w:rPr>
              <w:t xml:space="preserve"> </w:t>
            </w:r>
          </w:p>
        </w:tc>
        <w:tc>
          <w:tcPr>
            <w:tcW w:w="994" w:type="dxa"/>
            <w:tcBorders>
              <w:top w:val="nil"/>
              <w:left w:val="nil"/>
              <w:bottom w:val="single" w:sz="8" w:space="0" w:color="D9D9D9"/>
              <w:right w:val="single" w:sz="8" w:space="0" w:color="FFFFFF"/>
            </w:tcBorders>
            <w:shd w:val="clear" w:color="000000" w:fill="F2F2F2"/>
            <w:vAlign w:val="center"/>
            <w:hideMark/>
          </w:tcPr>
          <w:p w14:paraId="089880CD" w14:textId="4652AA9D"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w:t>
            </w:r>
            <w:r w:rsidR="00675119">
              <w:rPr>
                <w:rFonts w:cs="Arial"/>
                <w:sz w:val="16"/>
                <w:szCs w:val="16"/>
              </w:rPr>
              <w:t>0</w:t>
            </w:r>
            <w:r w:rsidRPr="00CC29EE">
              <w:rPr>
                <w:rFonts w:cs="Arial"/>
                <w:sz w:val="16"/>
                <w:szCs w:val="16"/>
              </w:rPr>
              <w:t xml:space="preserve">   </w:t>
            </w:r>
          </w:p>
        </w:tc>
        <w:tc>
          <w:tcPr>
            <w:tcW w:w="997" w:type="dxa"/>
            <w:tcBorders>
              <w:top w:val="nil"/>
              <w:left w:val="nil"/>
              <w:bottom w:val="single" w:sz="8" w:space="0" w:color="D9D9D9"/>
              <w:right w:val="single" w:sz="8" w:space="0" w:color="FFFFFF"/>
            </w:tcBorders>
            <w:shd w:val="clear" w:color="000000" w:fill="F2F2F2"/>
            <w:vAlign w:val="center"/>
            <w:hideMark/>
          </w:tcPr>
          <w:p w14:paraId="5D91E0A2" w14:textId="6C68300F" w:rsidR="00F61D59" w:rsidRPr="00F61D59" w:rsidRDefault="00C95E8E" w:rsidP="00CC29EE">
            <w:pPr>
              <w:spacing w:before="40" w:after="40" w:line="240" w:lineRule="auto"/>
              <w:jc w:val="right"/>
              <w:rPr>
                <w:rFonts w:eastAsia="Times New Roman" w:cs="Arial"/>
                <w:color w:val="1C1C1C"/>
                <w:sz w:val="16"/>
                <w:szCs w:val="16"/>
                <w:lang w:eastAsia="en-AU"/>
              </w:rPr>
            </w:pPr>
            <w:r>
              <w:rPr>
                <w:rFonts w:cs="Arial"/>
                <w:sz w:val="16"/>
                <w:szCs w:val="16"/>
              </w:rPr>
              <w:t>0</w:t>
            </w:r>
            <w:r w:rsidR="00F61D59" w:rsidRPr="00CC29EE">
              <w:rPr>
                <w:rFonts w:cs="Arial"/>
                <w:sz w:val="16"/>
                <w:szCs w:val="16"/>
              </w:rPr>
              <w:t xml:space="preserve">   </w:t>
            </w:r>
          </w:p>
        </w:tc>
      </w:tr>
      <w:tr w:rsidR="00F61D59" w:rsidRPr="00F61D59" w14:paraId="3F51C9AE" w14:textId="77777777" w:rsidTr="00CC29EE">
        <w:trPr>
          <w:trHeight w:val="315"/>
        </w:trPr>
        <w:tc>
          <w:tcPr>
            <w:tcW w:w="1279" w:type="dxa"/>
            <w:tcBorders>
              <w:top w:val="single" w:sz="8" w:space="0" w:color="D9D9D9"/>
              <w:left w:val="nil"/>
              <w:bottom w:val="single" w:sz="8" w:space="0" w:color="D9D9D9"/>
              <w:right w:val="single" w:sz="8" w:space="0" w:color="FFFFFF"/>
            </w:tcBorders>
            <w:shd w:val="clear" w:color="auto" w:fill="auto"/>
            <w:vAlign w:val="center"/>
            <w:hideMark/>
          </w:tcPr>
          <w:p w14:paraId="465DC02D"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Tas</w:t>
            </w:r>
          </w:p>
        </w:tc>
        <w:tc>
          <w:tcPr>
            <w:tcW w:w="989" w:type="dxa"/>
            <w:tcBorders>
              <w:top w:val="nil"/>
              <w:left w:val="nil"/>
              <w:bottom w:val="single" w:sz="8" w:space="0" w:color="D9D9D9"/>
              <w:right w:val="single" w:sz="8" w:space="0" w:color="FFFFFF"/>
            </w:tcBorders>
            <w:shd w:val="clear" w:color="000000" w:fill="F2F2F2"/>
            <w:vAlign w:val="center"/>
            <w:hideMark/>
          </w:tcPr>
          <w:p w14:paraId="15A260BB" w14:textId="6F70372E"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626 </w:t>
            </w:r>
          </w:p>
        </w:tc>
        <w:tc>
          <w:tcPr>
            <w:tcW w:w="993" w:type="dxa"/>
            <w:tcBorders>
              <w:top w:val="nil"/>
              <w:left w:val="nil"/>
              <w:bottom w:val="single" w:sz="8" w:space="0" w:color="D9D9D9"/>
              <w:right w:val="single" w:sz="8" w:space="0" w:color="FFFFFF"/>
            </w:tcBorders>
            <w:shd w:val="clear" w:color="000000" w:fill="F2F2F2"/>
            <w:vAlign w:val="center"/>
            <w:hideMark/>
          </w:tcPr>
          <w:p w14:paraId="1165AC5F" w14:textId="3F01DE57"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713 </w:t>
            </w:r>
          </w:p>
        </w:tc>
        <w:tc>
          <w:tcPr>
            <w:tcW w:w="992" w:type="dxa"/>
            <w:tcBorders>
              <w:top w:val="nil"/>
              <w:left w:val="nil"/>
              <w:bottom w:val="single" w:sz="8" w:space="0" w:color="D9D9D9"/>
              <w:right w:val="single" w:sz="8" w:space="0" w:color="FFFFFF"/>
            </w:tcBorders>
            <w:shd w:val="clear" w:color="000000" w:fill="F2F2F2"/>
            <w:vAlign w:val="center"/>
            <w:hideMark/>
          </w:tcPr>
          <w:p w14:paraId="0492621A" w14:textId="45BB888C"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716 </w:t>
            </w:r>
          </w:p>
        </w:tc>
        <w:tc>
          <w:tcPr>
            <w:tcW w:w="868" w:type="dxa"/>
            <w:tcBorders>
              <w:top w:val="nil"/>
              <w:left w:val="nil"/>
              <w:bottom w:val="single" w:sz="8" w:space="0" w:color="D9D9D9"/>
              <w:right w:val="single" w:sz="8" w:space="0" w:color="FFFFFF"/>
            </w:tcBorders>
            <w:shd w:val="clear" w:color="000000" w:fill="F2F2F2"/>
            <w:vAlign w:val="center"/>
            <w:hideMark/>
          </w:tcPr>
          <w:p w14:paraId="7ECA2BA6" w14:textId="46722DA3"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649 </w:t>
            </w:r>
          </w:p>
        </w:tc>
        <w:tc>
          <w:tcPr>
            <w:tcW w:w="925" w:type="dxa"/>
            <w:tcBorders>
              <w:top w:val="nil"/>
              <w:left w:val="nil"/>
              <w:bottom w:val="single" w:sz="8" w:space="0" w:color="D9D9D9"/>
              <w:right w:val="single" w:sz="8" w:space="0" w:color="FFFFFF"/>
            </w:tcBorders>
            <w:shd w:val="clear" w:color="000000" w:fill="F2F2F2"/>
            <w:vAlign w:val="center"/>
            <w:hideMark/>
          </w:tcPr>
          <w:p w14:paraId="2CF985F4" w14:textId="254DAAB2"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736 </w:t>
            </w:r>
          </w:p>
        </w:tc>
        <w:tc>
          <w:tcPr>
            <w:tcW w:w="828" w:type="dxa"/>
            <w:tcBorders>
              <w:top w:val="nil"/>
              <w:left w:val="nil"/>
              <w:bottom w:val="single" w:sz="8" w:space="0" w:color="D9D9D9"/>
              <w:right w:val="single" w:sz="8" w:space="0" w:color="FFFFFF"/>
            </w:tcBorders>
            <w:shd w:val="clear" w:color="000000" w:fill="F2F2F2"/>
            <w:vAlign w:val="center"/>
            <w:hideMark/>
          </w:tcPr>
          <w:p w14:paraId="7B94A4D9" w14:textId="2F9A3865"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733 </w:t>
            </w:r>
          </w:p>
        </w:tc>
        <w:tc>
          <w:tcPr>
            <w:tcW w:w="947" w:type="dxa"/>
            <w:tcBorders>
              <w:top w:val="nil"/>
              <w:left w:val="nil"/>
              <w:bottom w:val="single" w:sz="8" w:space="0" w:color="D9D9D9"/>
              <w:right w:val="single" w:sz="8" w:space="0" w:color="FFFFFF"/>
            </w:tcBorders>
            <w:shd w:val="clear" w:color="000000" w:fill="F2F2F2"/>
            <w:vAlign w:val="center"/>
            <w:hideMark/>
          </w:tcPr>
          <w:p w14:paraId="1085166A" w14:textId="4A724A57"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96 </w:t>
            </w:r>
          </w:p>
        </w:tc>
        <w:tc>
          <w:tcPr>
            <w:tcW w:w="994" w:type="dxa"/>
            <w:tcBorders>
              <w:top w:val="nil"/>
              <w:left w:val="nil"/>
              <w:bottom w:val="single" w:sz="8" w:space="0" w:color="D9D9D9"/>
              <w:right w:val="single" w:sz="8" w:space="0" w:color="FFFFFF"/>
            </w:tcBorders>
            <w:shd w:val="clear" w:color="000000" w:fill="F2F2F2"/>
            <w:vAlign w:val="center"/>
            <w:hideMark/>
          </w:tcPr>
          <w:p w14:paraId="5CB9A477" w14:textId="1D9AC8AB"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97 </w:t>
            </w:r>
          </w:p>
        </w:tc>
        <w:tc>
          <w:tcPr>
            <w:tcW w:w="997" w:type="dxa"/>
            <w:tcBorders>
              <w:top w:val="nil"/>
              <w:left w:val="nil"/>
              <w:bottom w:val="single" w:sz="8" w:space="0" w:color="D9D9D9"/>
              <w:right w:val="single" w:sz="8" w:space="0" w:color="FFFFFF"/>
            </w:tcBorders>
            <w:shd w:val="clear" w:color="000000" w:fill="F2F2F2"/>
            <w:vAlign w:val="center"/>
            <w:hideMark/>
          </w:tcPr>
          <w:p w14:paraId="58E75FC4" w14:textId="56111286"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98 </w:t>
            </w:r>
          </w:p>
        </w:tc>
      </w:tr>
      <w:tr w:rsidR="00F61D59" w:rsidRPr="00F61D59" w14:paraId="42AA71AF" w14:textId="77777777" w:rsidTr="00CC29EE">
        <w:trPr>
          <w:trHeight w:val="315"/>
        </w:trPr>
        <w:tc>
          <w:tcPr>
            <w:tcW w:w="1279" w:type="dxa"/>
            <w:tcBorders>
              <w:top w:val="nil"/>
              <w:left w:val="nil"/>
              <w:bottom w:val="nil"/>
              <w:right w:val="single" w:sz="8" w:space="0" w:color="FFFFFF"/>
            </w:tcBorders>
            <w:shd w:val="clear" w:color="auto" w:fill="auto"/>
            <w:vAlign w:val="center"/>
            <w:hideMark/>
          </w:tcPr>
          <w:p w14:paraId="3FB2EC22"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NT</w:t>
            </w:r>
          </w:p>
        </w:tc>
        <w:tc>
          <w:tcPr>
            <w:tcW w:w="989" w:type="dxa"/>
            <w:tcBorders>
              <w:top w:val="nil"/>
              <w:left w:val="nil"/>
              <w:bottom w:val="single" w:sz="8" w:space="0" w:color="D9D9D9"/>
              <w:right w:val="single" w:sz="8" w:space="0" w:color="FFFFFF"/>
            </w:tcBorders>
            <w:shd w:val="clear" w:color="000000" w:fill="F2F2F2"/>
            <w:vAlign w:val="center"/>
            <w:hideMark/>
          </w:tcPr>
          <w:p w14:paraId="4E19989C" w14:textId="680086AE"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1,257 </w:t>
            </w:r>
          </w:p>
        </w:tc>
        <w:tc>
          <w:tcPr>
            <w:tcW w:w="993" w:type="dxa"/>
            <w:tcBorders>
              <w:top w:val="nil"/>
              <w:left w:val="nil"/>
              <w:bottom w:val="single" w:sz="8" w:space="0" w:color="D9D9D9"/>
              <w:right w:val="single" w:sz="8" w:space="0" w:color="FFFFFF"/>
            </w:tcBorders>
            <w:shd w:val="clear" w:color="000000" w:fill="F2F2F2"/>
            <w:vAlign w:val="center"/>
            <w:hideMark/>
          </w:tcPr>
          <w:p w14:paraId="470084B8" w14:textId="773B9F8B"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1,152 </w:t>
            </w:r>
          </w:p>
        </w:tc>
        <w:tc>
          <w:tcPr>
            <w:tcW w:w="992" w:type="dxa"/>
            <w:tcBorders>
              <w:top w:val="nil"/>
              <w:left w:val="nil"/>
              <w:bottom w:val="single" w:sz="8" w:space="0" w:color="D9D9D9"/>
              <w:right w:val="single" w:sz="8" w:space="0" w:color="FFFFFF"/>
            </w:tcBorders>
            <w:shd w:val="clear" w:color="000000" w:fill="F2F2F2"/>
            <w:vAlign w:val="center"/>
            <w:hideMark/>
          </w:tcPr>
          <w:p w14:paraId="79F05DD5" w14:textId="45648BA3"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1,120 </w:t>
            </w:r>
          </w:p>
        </w:tc>
        <w:tc>
          <w:tcPr>
            <w:tcW w:w="868" w:type="dxa"/>
            <w:tcBorders>
              <w:top w:val="nil"/>
              <w:left w:val="nil"/>
              <w:bottom w:val="single" w:sz="8" w:space="0" w:color="D9D9D9"/>
              <w:right w:val="single" w:sz="8" w:space="0" w:color="FFFFFF"/>
            </w:tcBorders>
            <w:shd w:val="clear" w:color="000000" w:fill="F2F2F2"/>
            <w:vAlign w:val="center"/>
            <w:hideMark/>
          </w:tcPr>
          <w:p w14:paraId="154CB02A" w14:textId="3D4DB4AC"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1,257 </w:t>
            </w:r>
          </w:p>
        </w:tc>
        <w:tc>
          <w:tcPr>
            <w:tcW w:w="925" w:type="dxa"/>
            <w:tcBorders>
              <w:top w:val="nil"/>
              <w:left w:val="nil"/>
              <w:bottom w:val="single" w:sz="8" w:space="0" w:color="D9D9D9"/>
              <w:right w:val="single" w:sz="8" w:space="0" w:color="FFFFFF"/>
            </w:tcBorders>
            <w:shd w:val="clear" w:color="000000" w:fill="F2F2F2"/>
            <w:vAlign w:val="center"/>
            <w:hideMark/>
          </w:tcPr>
          <w:p w14:paraId="3A0EF16F" w14:textId="6918F6C2"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1,152 </w:t>
            </w:r>
          </w:p>
        </w:tc>
        <w:tc>
          <w:tcPr>
            <w:tcW w:w="828" w:type="dxa"/>
            <w:tcBorders>
              <w:top w:val="nil"/>
              <w:left w:val="nil"/>
              <w:bottom w:val="single" w:sz="8" w:space="0" w:color="D9D9D9"/>
              <w:right w:val="single" w:sz="8" w:space="0" w:color="FFFFFF"/>
            </w:tcBorders>
            <w:shd w:val="clear" w:color="000000" w:fill="F2F2F2"/>
            <w:vAlign w:val="center"/>
            <w:hideMark/>
          </w:tcPr>
          <w:p w14:paraId="6A50EF50" w14:textId="7DBF6D3B"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1,158 </w:t>
            </w:r>
          </w:p>
        </w:tc>
        <w:tc>
          <w:tcPr>
            <w:tcW w:w="947" w:type="dxa"/>
            <w:tcBorders>
              <w:top w:val="nil"/>
              <w:left w:val="nil"/>
              <w:bottom w:val="single" w:sz="8" w:space="0" w:color="D9D9D9"/>
              <w:right w:val="single" w:sz="8" w:space="0" w:color="FFFFFF"/>
            </w:tcBorders>
            <w:shd w:val="clear" w:color="000000" w:fill="F2F2F2"/>
            <w:vAlign w:val="center"/>
            <w:hideMark/>
          </w:tcPr>
          <w:p w14:paraId="3DF9AE8C" w14:textId="33CE5AD5"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100 </w:t>
            </w:r>
          </w:p>
        </w:tc>
        <w:tc>
          <w:tcPr>
            <w:tcW w:w="994" w:type="dxa"/>
            <w:tcBorders>
              <w:top w:val="nil"/>
              <w:left w:val="nil"/>
              <w:bottom w:val="single" w:sz="8" w:space="0" w:color="D9D9D9"/>
              <w:right w:val="single" w:sz="8" w:space="0" w:color="FFFFFF"/>
            </w:tcBorders>
            <w:shd w:val="clear" w:color="000000" w:fill="F2F2F2"/>
            <w:vAlign w:val="center"/>
            <w:hideMark/>
          </w:tcPr>
          <w:p w14:paraId="2EAA0C93" w14:textId="0E7F7486" w:rsidR="00F61D59" w:rsidRPr="00F61D59"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sz w:val="16"/>
                <w:szCs w:val="16"/>
              </w:rPr>
              <w:t xml:space="preserve"> 100 </w:t>
            </w:r>
          </w:p>
        </w:tc>
        <w:tc>
          <w:tcPr>
            <w:tcW w:w="997" w:type="dxa"/>
            <w:tcBorders>
              <w:top w:val="nil"/>
              <w:left w:val="nil"/>
              <w:bottom w:val="single" w:sz="8" w:space="0" w:color="D9D9D9"/>
              <w:right w:val="single" w:sz="8" w:space="0" w:color="FFFFFF"/>
            </w:tcBorders>
            <w:shd w:val="clear" w:color="000000" w:fill="F2F2F2"/>
            <w:vAlign w:val="center"/>
            <w:hideMark/>
          </w:tcPr>
          <w:p w14:paraId="4CB12377" w14:textId="4AA5F5AC"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97 </w:t>
            </w:r>
          </w:p>
        </w:tc>
      </w:tr>
      <w:tr w:rsidR="00F61D59" w:rsidRPr="00F61D59" w14:paraId="70D56C59" w14:textId="77777777" w:rsidTr="00CC29EE">
        <w:trPr>
          <w:trHeight w:val="315"/>
        </w:trPr>
        <w:tc>
          <w:tcPr>
            <w:tcW w:w="1279" w:type="dxa"/>
            <w:tcBorders>
              <w:top w:val="single" w:sz="8" w:space="0" w:color="D9D9D9"/>
              <w:left w:val="nil"/>
              <w:bottom w:val="single" w:sz="8" w:space="0" w:color="D9D9D9"/>
              <w:right w:val="single" w:sz="8" w:space="0" w:color="FFFFFF"/>
            </w:tcBorders>
            <w:shd w:val="clear" w:color="auto" w:fill="auto"/>
            <w:vAlign w:val="center"/>
            <w:hideMark/>
          </w:tcPr>
          <w:p w14:paraId="1FD81E2B" w14:textId="77777777" w:rsidR="00F61D59" w:rsidRPr="00F61D59" w:rsidRDefault="00F61D59" w:rsidP="00F61D59">
            <w:pPr>
              <w:spacing w:before="40" w:after="40" w:line="240" w:lineRule="auto"/>
              <w:rPr>
                <w:rFonts w:eastAsia="Times New Roman" w:cs="Arial"/>
                <w:color w:val="1C1C1C"/>
                <w:sz w:val="16"/>
                <w:szCs w:val="16"/>
                <w:lang w:eastAsia="en-AU"/>
              </w:rPr>
            </w:pPr>
            <w:r w:rsidRPr="00F61D59">
              <w:rPr>
                <w:rFonts w:eastAsia="Times New Roman" w:cs="Arial"/>
                <w:color w:val="1C1C1C"/>
                <w:sz w:val="16"/>
                <w:szCs w:val="16"/>
                <w:lang w:eastAsia="en-AU"/>
              </w:rPr>
              <w:t>ACT</w:t>
            </w:r>
          </w:p>
        </w:tc>
        <w:tc>
          <w:tcPr>
            <w:tcW w:w="989" w:type="dxa"/>
            <w:tcBorders>
              <w:top w:val="nil"/>
              <w:left w:val="nil"/>
              <w:bottom w:val="single" w:sz="8" w:space="0" w:color="D9D9D9"/>
              <w:right w:val="single" w:sz="8" w:space="0" w:color="FFFFFF"/>
            </w:tcBorders>
            <w:shd w:val="clear" w:color="000000" w:fill="F2F2F2"/>
            <w:vAlign w:val="center"/>
            <w:hideMark/>
          </w:tcPr>
          <w:p w14:paraId="410A180F" w14:textId="5BCE9BC7"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   </w:t>
            </w:r>
          </w:p>
        </w:tc>
        <w:tc>
          <w:tcPr>
            <w:tcW w:w="993" w:type="dxa"/>
            <w:tcBorders>
              <w:top w:val="nil"/>
              <w:left w:val="nil"/>
              <w:bottom w:val="single" w:sz="8" w:space="0" w:color="D9D9D9"/>
              <w:right w:val="single" w:sz="8" w:space="0" w:color="FFFFFF"/>
            </w:tcBorders>
            <w:shd w:val="clear" w:color="000000" w:fill="F2F2F2"/>
            <w:vAlign w:val="center"/>
            <w:hideMark/>
          </w:tcPr>
          <w:p w14:paraId="3B49D962" w14:textId="203B0866"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   </w:t>
            </w:r>
          </w:p>
        </w:tc>
        <w:tc>
          <w:tcPr>
            <w:tcW w:w="992" w:type="dxa"/>
            <w:tcBorders>
              <w:top w:val="nil"/>
              <w:left w:val="nil"/>
              <w:bottom w:val="single" w:sz="8" w:space="0" w:color="D9D9D9"/>
              <w:right w:val="single" w:sz="8" w:space="0" w:color="FFFFFF"/>
            </w:tcBorders>
            <w:shd w:val="clear" w:color="000000" w:fill="F2F2F2"/>
            <w:vAlign w:val="center"/>
            <w:hideMark/>
          </w:tcPr>
          <w:p w14:paraId="1B254797" w14:textId="13BDE223"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   </w:t>
            </w:r>
          </w:p>
        </w:tc>
        <w:tc>
          <w:tcPr>
            <w:tcW w:w="868" w:type="dxa"/>
            <w:tcBorders>
              <w:top w:val="nil"/>
              <w:left w:val="nil"/>
              <w:bottom w:val="single" w:sz="8" w:space="0" w:color="D9D9D9"/>
              <w:right w:val="single" w:sz="8" w:space="0" w:color="FFFFFF"/>
            </w:tcBorders>
            <w:shd w:val="clear" w:color="000000" w:fill="F2F2F2"/>
            <w:vAlign w:val="center"/>
            <w:hideMark/>
          </w:tcPr>
          <w:p w14:paraId="00382E2C" w14:textId="76990B37"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1,301 </w:t>
            </w:r>
          </w:p>
        </w:tc>
        <w:tc>
          <w:tcPr>
            <w:tcW w:w="925" w:type="dxa"/>
            <w:tcBorders>
              <w:top w:val="nil"/>
              <w:left w:val="nil"/>
              <w:bottom w:val="single" w:sz="8" w:space="0" w:color="D9D9D9"/>
              <w:right w:val="single" w:sz="8" w:space="0" w:color="FFFFFF"/>
            </w:tcBorders>
            <w:shd w:val="clear" w:color="000000" w:fill="F2F2F2"/>
            <w:vAlign w:val="center"/>
            <w:hideMark/>
          </w:tcPr>
          <w:p w14:paraId="064FF7F3" w14:textId="68502727"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1,451 </w:t>
            </w:r>
          </w:p>
        </w:tc>
        <w:tc>
          <w:tcPr>
            <w:tcW w:w="828" w:type="dxa"/>
            <w:tcBorders>
              <w:top w:val="nil"/>
              <w:left w:val="nil"/>
              <w:bottom w:val="single" w:sz="8" w:space="0" w:color="D9D9D9"/>
              <w:right w:val="single" w:sz="8" w:space="0" w:color="FFFFFF"/>
            </w:tcBorders>
            <w:shd w:val="clear" w:color="000000" w:fill="F2F2F2"/>
            <w:vAlign w:val="center"/>
            <w:hideMark/>
          </w:tcPr>
          <w:p w14:paraId="44E7CDF7" w14:textId="65FAEBD7" w:rsidR="00F61D59" w:rsidRPr="00F61D59" w:rsidRDefault="00F61D59" w:rsidP="00CC29EE">
            <w:pPr>
              <w:spacing w:before="40" w:after="40" w:line="240" w:lineRule="auto"/>
              <w:jc w:val="right"/>
              <w:rPr>
                <w:rFonts w:eastAsia="Times New Roman" w:cs="Arial"/>
                <w:color w:val="1C1C1C"/>
                <w:sz w:val="16"/>
                <w:szCs w:val="16"/>
                <w:lang w:eastAsia="en-AU"/>
              </w:rPr>
            </w:pPr>
            <w:r w:rsidRPr="00CC29EE">
              <w:rPr>
                <w:rFonts w:cs="Arial"/>
                <w:sz w:val="16"/>
                <w:szCs w:val="16"/>
              </w:rPr>
              <w:t xml:space="preserve"> 2,170 </w:t>
            </w:r>
          </w:p>
        </w:tc>
        <w:tc>
          <w:tcPr>
            <w:tcW w:w="947" w:type="dxa"/>
            <w:tcBorders>
              <w:top w:val="nil"/>
              <w:left w:val="nil"/>
              <w:bottom w:val="single" w:sz="8" w:space="0" w:color="D9D9D9"/>
              <w:right w:val="single" w:sz="8" w:space="0" w:color="FFFFFF"/>
            </w:tcBorders>
            <w:shd w:val="clear" w:color="000000" w:fill="F2F2F2"/>
            <w:vAlign w:val="center"/>
            <w:hideMark/>
          </w:tcPr>
          <w:p w14:paraId="0BD556C9" w14:textId="5291CD7A" w:rsidR="00F61D59" w:rsidRPr="00F61D59" w:rsidRDefault="00675119" w:rsidP="00CC29EE">
            <w:pPr>
              <w:spacing w:before="40" w:after="40" w:line="240" w:lineRule="auto"/>
              <w:jc w:val="right"/>
              <w:rPr>
                <w:rFonts w:eastAsia="Times New Roman" w:cs="Arial"/>
                <w:color w:val="1C1C1C"/>
                <w:sz w:val="16"/>
                <w:szCs w:val="16"/>
                <w:lang w:eastAsia="en-AU"/>
              </w:rPr>
            </w:pPr>
            <w:r>
              <w:rPr>
                <w:rFonts w:cs="Arial"/>
                <w:sz w:val="16"/>
                <w:szCs w:val="16"/>
              </w:rPr>
              <w:t>0</w:t>
            </w:r>
            <w:r w:rsidR="00F61D59" w:rsidRPr="00CC29EE">
              <w:rPr>
                <w:rFonts w:cs="Arial"/>
                <w:sz w:val="16"/>
                <w:szCs w:val="16"/>
              </w:rPr>
              <w:t xml:space="preserve"> </w:t>
            </w:r>
          </w:p>
        </w:tc>
        <w:tc>
          <w:tcPr>
            <w:tcW w:w="994" w:type="dxa"/>
            <w:tcBorders>
              <w:top w:val="nil"/>
              <w:left w:val="nil"/>
              <w:bottom w:val="single" w:sz="8" w:space="0" w:color="D9D9D9"/>
              <w:right w:val="single" w:sz="8" w:space="0" w:color="FFFFFF"/>
            </w:tcBorders>
            <w:shd w:val="clear" w:color="000000" w:fill="F2F2F2"/>
            <w:vAlign w:val="center"/>
            <w:hideMark/>
          </w:tcPr>
          <w:p w14:paraId="126F0662" w14:textId="3E84AC2B" w:rsidR="00F61D59" w:rsidRPr="00F61D59" w:rsidRDefault="00675119" w:rsidP="00CC29EE">
            <w:pPr>
              <w:spacing w:before="40" w:after="40" w:line="240" w:lineRule="auto"/>
              <w:jc w:val="right"/>
              <w:rPr>
                <w:rFonts w:eastAsia="Times New Roman" w:cs="Arial"/>
                <w:color w:val="1C1C1C"/>
                <w:sz w:val="16"/>
                <w:szCs w:val="16"/>
                <w:lang w:eastAsia="en-AU"/>
              </w:rPr>
            </w:pPr>
            <w:r>
              <w:rPr>
                <w:rFonts w:cs="Arial"/>
                <w:sz w:val="16"/>
                <w:szCs w:val="16"/>
              </w:rPr>
              <w:t>0</w:t>
            </w:r>
            <w:r w:rsidR="00F61D59" w:rsidRPr="00CC29EE">
              <w:rPr>
                <w:rFonts w:cs="Arial"/>
                <w:sz w:val="16"/>
                <w:szCs w:val="16"/>
              </w:rPr>
              <w:t xml:space="preserve">    </w:t>
            </w:r>
          </w:p>
        </w:tc>
        <w:tc>
          <w:tcPr>
            <w:tcW w:w="997" w:type="dxa"/>
            <w:tcBorders>
              <w:top w:val="nil"/>
              <w:left w:val="nil"/>
              <w:bottom w:val="single" w:sz="8" w:space="0" w:color="D9D9D9"/>
              <w:right w:val="single" w:sz="8" w:space="0" w:color="FFFFFF"/>
            </w:tcBorders>
            <w:shd w:val="clear" w:color="000000" w:fill="F2F2F2"/>
            <w:vAlign w:val="center"/>
            <w:hideMark/>
          </w:tcPr>
          <w:p w14:paraId="48549B44" w14:textId="02CDC837" w:rsidR="00F61D59" w:rsidRPr="00F61D59" w:rsidRDefault="00675119" w:rsidP="00CC29EE">
            <w:pPr>
              <w:spacing w:before="40" w:after="40" w:line="240" w:lineRule="auto"/>
              <w:jc w:val="right"/>
              <w:rPr>
                <w:rFonts w:eastAsia="Times New Roman" w:cs="Arial"/>
                <w:color w:val="1C1C1C"/>
                <w:sz w:val="16"/>
                <w:szCs w:val="16"/>
                <w:lang w:eastAsia="en-AU"/>
              </w:rPr>
            </w:pPr>
            <w:r>
              <w:rPr>
                <w:rFonts w:cs="Arial"/>
                <w:sz w:val="16"/>
                <w:szCs w:val="16"/>
              </w:rPr>
              <w:t>0</w:t>
            </w:r>
            <w:r w:rsidR="00F61D59" w:rsidRPr="00CC29EE">
              <w:rPr>
                <w:rFonts w:cs="Arial"/>
                <w:sz w:val="16"/>
                <w:szCs w:val="16"/>
              </w:rPr>
              <w:t xml:space="preserve">   </w:t>
            </w:r>
          </w:p>
        </w:tc>
      </w:tr>
      <w:tr w:rsidR="00F61D59" w:rsidRPr="00F61D59" w14:paraId="16FEF2D6" w14:textId="77777777" w:rsidTr="00CC29EE">
        <w:trPr>
          <w:trHeight w:val="299"/>
        </w:trPr>
        <w:tc>
          <w:tcPr>
            <w:tcW w:w="1279" w:type="dxa"/>
            <w:tcBorders>
              <w:top w:val="nil"/>
              <w:left w:val="nil"/>
              <w:bottom w:val="nil"/>
              <w:right w:val="single" w:sz="8" w:space="0" w:color="FFFFFF"/>
            </w:tcBorders>
            <w:shd w:val="clear" w:color="000000" w:fill="DFEBF1"/>
            <w:vAlign w:val="center"/>
            <w:hideMark/>
          </w:tcPr>
          <w:p w14:paraId="46AA7AB5" w14:textId="77777777" w:rsidR="00F61D59" w:rsidRPr="00F61D59" w:rsidRDefault="00F61D59" w:rsidP="00F61D59">
            <w:pPr>
              <w:spacing w:before="40" w:after="40" w:line="240" w:lineRule="auto"/>
              <w:rPr>
                <w:rFonts w:eastAsia="Times New Roman" w:cs="Arial"/>
                <w:b/>
                <w:bCs/>
                <w:color w:val="1C1C1C"/>
                <w:sz w:val="16"/>
                <w:szCs w:val="16"/>
                <w:lang w:eastAsia="en-AU"/>
              </w:rPr>
            </w:pPr>
            <w:r w:rsidRPr="00F61D59">
              <w:rPr>
                <w:rFonts w:eastAsia="Times New Roman" w:cs="Arial"/>
                <w:b/>
                <w:bCs/>
                <w:color w:val="1C1C1C"/>
                <w:sz w:val="16"/>
                <w:szCs w:val="16"/>
                <w:lang w:eastAsia="en-AU"/>
              </w:rPr>
              <w:t>National</w:t>
            </w:r>
          </w:p>
        </w:tc>
        <w:tc>
          <w:tcPr>
            <w:tcW w:w="989" w:type="dxa"/>
            <w:tcBorders>
              <w:top w:val="nil"/>
              <w:left w:val="nil"/>
              <w:bottom w:val="nil"/>
              <w:right w:val="single" w:sz="8" w:space="0" w:color="FFFFFF"/>
            </w:tcBorders>
            <w:shd w:val="clear" w:color="000000" w:fill="DFEBF1"/>
            <w:vAlign w:val="center"/>
            <w:hideMark/>
          </w:tcPr>
          <w:p w14:paraId="15324CA5" w14:textId="42B51E64" w:rsidR="00F61D59" w:rsidRPr="00C3787D" w:rsidRDefault="00F61D59" w:rsidP="00CC29EE">
            <w:pPr>
              <w:spacing w:before="40" w:after="40" w:line="240" w:lineRule="auto"/>
              <w:jc w:val="right"/>
              <w:rPr>
                <w:rFonts w:eastAsia="Times New Roman" w:cs="Arial"/>
                <w:b/>
                <w:bCs/>
                <w:color w:val="1C1C1C"/>
                <w:sz w:val="16"/>
                <w:szCs w:val="16"/>
                <w:lang w:eastAsia="en-AU"/>
              </w:rPr>
            </w:pPr>
            <w:r w:rsidRPr="00CC29EE">
              <w:rPr>
                <w:rFonts w:cs="Arial"/>
                <w:b/>
                <w:bCs/>
                <w:sz w:val="16"/>
                <w:szCs w:val="16"/>
              </w:rPr>
              <w:t xml:space="preserve"> 57,445 </w:t>
            </w:r>
          </w:p>
        </w:tc>
        <w:tc>
          <w:tcPr>
            <w:tcW w:w="993" w:type="dxa"/>
            <w:tcBorders>
              <w:top w:val="nil"/>
              <w:left w:val="nil"/>
              <w:bottom w:val="nil"/>
              <w:right w:val="single" w:sz="8" w:space="0" w:color="FFFFFF"/>
            </w:tcBorders>
            <w:shd w:val="clear" w:color="000000" w:fill="DFEBF1"/>
            <w:vAlign w:val="center"/>
            <w:hideMark/>
          </w:tcPr>
          <w:p w14:paraId="45B31614" w14:textId="395BC755" w:rsidR="00F61D59" w:rsidRPr="00C3787D" w:rsidRDefault="00F61D59" w:rsidP="00CC29EE">
            <w:pPr>
              <w:spacing w:before="40" w:after="40" w:line="240" w:lineRule="auto"/>
              <w:jc w:val="right"/>
              <w:rPr>
                <w:rFonts w:eastAsia="Times New Roman" w:cs="Arial"/>
                <w:b/>
                <w:bCs/>
                <w:color w:val="1C1C1C"/>
                <w:sz w:val="16"/>
                <w:szCs w:val="16"/>
                <w:u w:val="single"/>
                <w:lang w:eastAsia="en-AU"/>
              </w:rPr>
            </w:pPr>
            <w:r w:rsidRPr="00CC29EE">
              <w:rPr>
                <w:rFonts w:cs="Arial"/>
                <w:b/>
                <w:bCs/>
                <w:sz w:val="16"/>
                <w:szCs w:val="16"/>
              </w:rPr>
              <w:t xml:space="preserve"> 64,477 </w:t>
            </w:r>
          </w:p>
        </w:tc>
        <w:tc>
          <w:tcPr>
            <w:tcW w:w="992" w:type="dxa"/>
            <w:tcBorders>
              <w:top w:val="nil"/>
              <w:left w:val="nil"/>
              <w:bottom w:val="nil"/>
              <w:right w:val="single" w:sz="8" w:space="0" w:color="FFFFFF"/>
            </w:tcBorders>
            <w:shd w:val="clear" w:color="000000" w:fill="DFEBF1"/>
            <w:vAlign w:val="center"/>
            <w:hideMark/>
          </w:tcPr>
          <w:p w14:paraId="0262E9B1" w14:textId="10FADC07" w:rsidR="00F61D59" w:rsidRPr="00C3787D" w:rsidRDefault="00F61D59" w:rsidP="00CC29EE">
            <w:pPr>
              <w:spacing w:before="40" w:after="40" w:line="240" w:lineRule="auto"/>
              <w:jc w:val="right"/>
              <w:rPr>
                <w:rFonts w:eastAsia="Times New Roman" w:cs="Arial"/>
                <w:b/>
                <w:bCs/>
                <w:color w:val="1C1C1C"/>
                <w:sz w:val="16"/>
                <w:szCs w:val="16"/>
                <w:lang w:eastAsia="en-AU"/>
              </w:rPr>
            </w:pPr>
            <w:r w:rsidRPr="00CC29EE">
              <w:rPr>
                <w:rFonts w:cs="Arial"/>
                <w:b/>
                <w:bCs/>
                <w:sz w:val="16"/>
                <w:szCs w:val="16"/>
              </w:rPr>
              <w:t xml:space="preserve"> 72,889 </w:t>
            </w:r>
          </w:p>
        </w:tc>
        <w:tc>
          <w:tcPr>
            <w:tcW w:w="868" w:type="dxa"/>
            <w:tcBorders>
              <w:top w:val="nil"/>
              <w:left w:val="nil"/>
              <w:bottom w:val="nil"/>
              <w:right w:val="single" w:sz="8" w:space="0" w:color="FFFFFF"/>
            </w:tcBorders>
            <w:shd w:val="clear" w:color="000000" w:fill="DFEBF1"/>
            <w:vAlign w:val="center"/>
            <w:hideMark/>
          </w:tcPr>
          <w:p w14:paraId="27ABD869" w14:textId="02D7AB59" w:rsidR="00F61D59" w:rsidRPr="00C3787D" w:rsidRDefault="00F61D59" w:rsidP="00CC29EE">
            <w:pPr>
              <w:spacing w:before="40" w:after="40" w:line="240" w:lineRule="auto"/>
              <w:jc w:val="right"/>
              <w:rPr>
                <w:rFonts w:eastAsia="Times New Roman" w:cs="Arial"/>
                <w:b/>
                <w:bCs/>
                <w:color w:val="1C1C1C"/>
                <w:sz w:val="16"/>
                <w:szCs w:val="16"/>
                <w:lang w:eastAsia="en-AU"/>
              </w:rPr>
            </w:pPr>
            <w:r w:rsidRPr="00CC29EE">
              <w:rPr>
                <w:rFonts w:cs="Arial"/>
                <w:b/>
                <w:bCs/>
                <w:sz w:val="16"/>
                <w:szCs w:val="16"/>
              </w:rPr>
              <w:t xml:space="preserve"> 81,168 </w:t>
            </w:r>
          </w:p>
        </w:tc>
        <w:tc>
          <w:tcPr>
            <w:tcW w:w="925" w:type="dxa"/>
            <w:tcBorders>
              <w:top w:val="nil"/>
              <w:left w:val="nil"/>
              <w:bottom w:val="nil"/>
              <w:right w:val="single" w:sz="8" w:space="0" w:color="FFFFFF"/>
            </w:tcBorders>
            <w:shd w:val="clear" w:color="000000" w:fill="DFEBF1"/>
            <w:vAlign w:val="center"/>
            <w:hideMark/>
          </w:tcPr>
          <w:p w14:paraId="0699F4F7" w14:textId="26D52EA7" w:rsidR="00F61D59" w:rsidRPr="00C3787D" w:rsidRDefault="00F61D59" w:rsidP="00CC29EE">
            <w:pPr>
              <w:spacing w:before="40" w:after="40" w:line="240" w:lineRule="auto"/>
              <w:jc w:val="right"/>
              <w:rPr>
                <w:rFonts w:eastAsia="Times New Roman" w:cs="Arial"/>
                <w:b/>
                <w:bCs/>
                <w:color w:val="1C1C1C"/>
                <w:sz w:val="16"/>
                <w:szCs w:val="16"/>
                <w:lang w:eastAsia="en-AU"/>
              </w:rPr>
            </w:pPr>
            <w:r w:rsidRPr="00CC29EE">
              <w:rPr>
                <w:rFonts w:cs="Arial"/>
                <w:b/>
                <w:bCs/>
                <w:sz w:val="16"/>
                <w:szCs w:val="16"/>
              </w:rPr>
              <w:t xml:space="preserve"> 78,193 </w:t>
            </w:r>
          </w:p>
        </w:tc>
        <w:tc>
          <w:tcPr>
            <w:tcW w:w="828" w:type="dxa"/>
            <w:tcBorders>
              <w:top w:val="nil"/>
              <w:left w:val="nil"/>
              <w:bottom w:val="nil"/>
              <w:right w:val="single" w:sz="8" w:space="0" w:color="FFFFFF"/>
            </w:tcBorders>
            <w:shd w:val="clear" w:color="000000" w:fill="DFEBF1"/>
            <w:vAlign w:val="center"/>
            <w:hideMark/>
          </w:tcPr>
          <w:p w14:paraId="5B57506A" w14:textId="5B6B94C9" w:rsidR="00F61D59" w:rsidRPr="00C3787D" w:rsidRDefault="00F61D59" w:rsidP="00CC29EE">
            <w:pPr>
              <w:spacing w:before="40" w:after="40" w:line="240" w:lineRule="auto"/>
              <w:jc w:val="right"/>
              <w:rPr>
                <w:rFonts w:eastAsia="Times New Roman" w:cs="Arial"/>
                <w:b/>
                <w:bCs/>
                <w:color w:val="1C1C1C"/>
                <w:sz w:val="16"/>
                <w:szCs w:val="16"/>
                <w:lang w:eastAsia="en-AU"/>
              </w:rPr>
            </w:pPr>
            <w:r w:rsidRPr="00CC29EE">
              <w:rPr>
                <w:rFonts w:cs="Arial"/>
                <w:b/>
                <w:bCs/>
                <w:sz w:val="16"/>
                <w:szCs w:val="16"/>
              </w:rPr>
              <w:t xml:space="preserve"> 86,726 </w:t>
            </w:r>
          </w:p>
        </w:tc>
        <w:tc>
          <w:tcPr>
            <w:tcW w:w="947" w:type="dxa"/>
            <w:tcBorders>
              <w:top w:val="nil"/>
              <w:left w:val="nil"/>
              <w:bottom w:val="nil"/>
              <w:right w:val="single" w:sz="8" w:space="0" w:color="FFFFFF"/>
            </w:tcBorders>
            <w:shd w:val="clear" w:color="000000" w:fill="DFEBF1"/>
            <w:vAlign w:val="center"/>
            <w:hideMark/>
          </w:tcPr>
          <w:p w14:paraId="3FB4E48D" w14:textId="4937C4E0" w:rsidR="00F61D59" w:rsidRPr="00C3787D" w:rsidRDefault="00F61D59" w:rsidP="00CC29EE">
            <w:pPr>
              <w:spacing w:before="40" w:after="40" w:line="240" w:lineRule="auto"/>
              <w:jc w:val="right"/>
              <w:rPr>
                <w:rFonts w:eastAsia="Times New Roman" w:cs="Arial"/>
                <w:b/>
                <w:bCs/>
                <w:color w:val="1C1C1C"/>
                <w:sz w:val="16"/>
                <w:szCs w:val="16"/>
                <w:lang w:eastAsia="en-AU"/>
              </w:rPr>
            </w:pPr>
            <w:r w:rsidRPr="00CC29EE">
              <w:rPr>
                <w:rFonts w:cs="Arial"/>
                <w:b/>
                <w:bCs/>
                <w:sz w:val="16"/>
                <w:szCs w:val="16"/>
              </w:rPr>
              <w:t xml:space="preserve"> 71 </w:t>
            </w:r>
          </w:p>
        </w:tc>
        <w:tc>
          <w:tcPr>
            <w:tcW w:w="994" w:type="dxa"/>
            <w:tcBorders>
              <w:top w:val="nil"/>
              <w:left w:val="nil"/>
              <w:bottom w:val="nil"/>
              <w:right w:val="single" w:sz="8" w:space="0" w:color="FFFFFF"/>
            </w:tcBorders>
            <w:shd w:val="clear" w:color="000000" w:fill="DFEBF1"/>
            <w:vAlign w:val="center"/>
            <w:hideMark/>
          </w:tcPr>
          <w:p w14:paraId="19B0BA3C" w14:textId="7B88A7C1" w:rsidR="00F61D59" w:rsidRPr="00C3787D" w:rsidRDefault="00F61D59" w:rsidP="00CC29EE">
            <w:pPr>
              <w:spacing w:before="40" w:after="40" w:line="240" w:lineRule="auto"/>
              <w:jc w:val="right"/>
              <w:rPr>
                <w:rFonts w:eastAsia="Times New Roman" w:cs="Arial"/>
                <w:b/>
                <w:bCs/>
                <w:color w:val="1C1C1C"/>
                <w:sz w:val="16"/>
                <w:szCs w:val="16"/>
                <w:lang w:eastAsia="en-AU"/>
              </w:rPr>
            </w:pPr>
            <w:r w:rsidRPr="00CC29EE">
              <w:rPr>
                <w:rFonts w:cs="Arial"/>
                <w:b/>
                <w:bCs/>
                <w:sz w:val="16"/>
                <w:szCs w:val="16"/>
              </w:rPr>
              <w:t xml:space="preserve"> 82 </w:t>
            </w:r>
          </w:p>
        </w:tc>
        <w:tc>
          <w:tcPr>
            <w:tcW w:w="997" w:type="dxa"/>
            <w:tcBorders>
              <w:top w:val="nil"/>
              <w:left w:val="nil"/>
              <w:bottom w:val="nil"/>
              <w:right w:val="single" w:sz="8" w:space="0" w:color="FFFFFF"/>
            </w:tcBorders>
            <w:shd w:val="clear" w:color="000000" w:fill="DFEBF1"/>
            <w:vAlign w:val="center"/>
            <w:hideMark/>
          </w:tcPr>
          <w:p w14:paraId="2BE54E70" w14:textId="449883E9" w:rsidR="00F61D59" w:rsidRPr="00C3787D" w:rsidRDefault="00F61D59" w:rsidP="00CC29EE">
            <w:pPr>
              <w:spacing w:before="40" w:after="40" w:line="240" w:lineRule="auto"/>
              <w:jc w:val="right"/>
              <w:rPr>
                <w:rFonts w:eastAsia="Times New Roman" w:cs="Arial"/>
                <w:b/>
                <w:bCs/>
                <w:color w:val="1C1C1C"/>
                <w:sz w:val="16"/>
                <w:szCs w:val="16"/>
                <w:lang w:eastAsia="en-AU"/>
              </w:rPr>
            </w:pPr>
            <w:r w:rsidRPr="00CC29EE">
              <w:rPr>
                <w:rFonts w:cs="Arial"/>
                <w:b/>
                <w:bCs/>
                <w:sz w:val="16"/>
                <w:szCs w:val="16"/>
              </w:rPr>
              <w:t xml:space="preserve"> 84 </w:t>
            </w:r>
          </w:p>
        </w:tc>
      </w:tr>
    </w:tbl>
    <w:p w14:paraId="09B69D09" w14:textId="63A236A0" w:rsidR="003678E1" w:rsidRDefault="003678E1">
      <w:pPr>
        <w:spacing w:line="259" w:lineRule="auto"/>
        <w:rPr>
          <w:rFonts w:cs="Arial"/>
        </w:rPr>
      </w:pPr>
    </w:p>
    <w:p w14:paraId="3CE564F7" w14:textId="3ABAEA5A" w:rsidR="00E07B55" w:rsidRPr="00CE058E" w:rsidRDefault="00E07B55" w:rsidP="007B41F8">
      <w:pPr>
        <w:pStyle w:val="Heading2"/>
      </w:pPr>
      <w:bookmarkStart w:id="161" w:name="_Toc151129700"/>
      <w:bookmarkStart w:id="162" w:name="_Toc158882551"/>
      <w:bookmarkStart w:id="163" w:name="_Toc158882612"/>
      <w:r w:rsidRPr="00CE058E">
        <w:t xml:space="preserve">Admitted subacute and non-acute </w:t>
      </w:r>
      <w:r w:rsidR="00B200A6" w:rsidRPr="00CE058E">
        <w:t>episodes and phases</w:t>
      </w:r>
      <w:bookmarkEnd w:id="161"/>
      <w:bookmarkEnd w:id="162"/>
      <w:bookmarkEnd w:id="163"/>
    </w:p>
    <w:bookmarkEnd w:id="155"/>
    <w:p w14:paraId="289BEF9F" w14:textId="2AE95EF0" w:rsidR="00E07B55" w:rsidRPr="00A42FF4" w:rsidRDefault="00244800" w:rsidP="00BC4620">
      <w:pPr>
        <w:spacing w:line="276" w:lineRule="auto"/>
        <w:rPr>
          <w:rFonts w:cs="Arial"/>
        </w:rPr>
      </w:pPr>
      <w:r w:rsidRPr="00244800">
        <w:rPr>
          <w:rFonts w:cs="Arial"/>
        </w:rPr>
        <w:fldChar w:fldCharType="begin"/>
      </w:r>
      <w:r w:rsidRPr="00244800">
        <w:rPr>
          <w:rFonts w:cs="Arial"/>
        </w:rPr>
        <w:instrText xml:space="preserve"> REF _Ref185835344 \h </w:instrText>
      </w:r>
      <w:r w:rsidRPr="00244800">
        <w:rPr>
          <w:rFonts w:cs="Arial"/>
        </w:rPr>
      </w:r>
      <w:r w:rsidRPr="00244800">
        <w:rPr>
          <w:rFonts w:cs="Arial"/>
        </w:rPr>
        <w:fldChar w:fldCharType="separate"/>
      </w:r>
      <w:r w:rsidRPr="00296833">
        <w:rPr>
          <w:rFonts w:cstheme="majorBidi"/>
          <w:lang w:val="en-PH"/>
        </w:rPr>
        <w:t xml:space="preserve">Figure </w:t>
      </w:r>
      <w:r w:rsidRPr="00244800">
        <w:rPr>
          <w:rFonts w:cstheme="majorBidi"/>
          <w:noProof/>
          <w:lang w:val="en-PH"/>
        </w:rPr>
        <w:t>9</w:t>
      </w:r>
      <w:r w:rsidRPr="00244800">
        <w:rPr>
          <w:rFonts w:cs="Arial"/>
        </w:rPr>
        <w:fldChar w:fldCharType="end"/>
      </w:r>
      <w:r w:rsidRPr="00244800">
        <w:rPr>
          <w:rFonts w:cs="Arial"/>
        </w:rPr>
        <w:t xml:space="preserve"> </w:t>
      </w:r>
      <w:r w:rsidR="00E07B55" w:rsidRPr="00A42FF4">
        <w:rPr>
          <w:rFonts w:cs="Arial"/>
        </w:rPr>
        <w:t xml:space="preserve">shows the number of </w:t>
      </w:r>
      <w:r w:rsidR="00D35AE0">
        <w:rPr>
          <w:rFonts w:cs="Arial"/>
        </w:rPr>
        <w:t xml:space="preserve">AN-SNAP records </w:t>
      </w:r>
      <w:r w:rsidR="00E07B55" w:rsidRPr="00A42FF4">
        <w:rPr>
          <w:rFonts w:cs="Arial"/>
        </w:rPr>
        <w:t xml:space="preserve">reported </w:t>
      </w:r>
      <w:r w:rsidR="00CE3B82" w:rsidRPr="00A42FF4">
        <w:rPr>
          <w:rFonts w:cs="Arial"/>
        </w:rPr>
        <w:t xml:space="preserve">in the NHCDC </w:t>
      </w:r>
      <w:r w:rsidR="004A35F9">
        <w:rPr>
          <w:rFonts w:cs="Arial"/>
        </w:rPr>
        <w:t>against the</w:t>
      </w:r>
      <w:r w:rsidR="004A35F9" w:rsidRPr="00A42FF4">
        <w:rPr>
          <w:rFonts w:cs="Arial"/>
        </w:rPr>
        <w:t xml:space="preserve"> ABF</w:t>
      </w:r>
      <w:r w:rsidR="004A35F9">
        <w:rPr>
          <w:rFonts w:cs="Arial"/>
        </w:rPr>
        <w:t xml:space="preserve"> activity submitted</w:t>
      </w:r>
      <w:r w:rsidR="00156B1A">
        <w:rPr>
          <w:rFonts w:cs="Arial"/>
        </w:rPr>
        <w:t xml:space="preserve"> from</w:t>
      </w:r>
      <w:r w:rsidR="004A35F9">
        <w:rPr>
          <w:rFonts w:cs="Arial"/>
        </w:rPr>
        <w:t xml:space="preserve"> </w:t>
      </w:r>
      <w:r w:rsidR="00741BA0" w:rsidRPr="00A42FF4">
        <w:rPr>
          <w:rFonts w:cs="Arial"/>
        </w:rPr>
        <w:t>2020-21</w:t>
      </w:r>
      <w:r w:rsidR="00E07B55" w:rsidRPr="00A42FF4">
        <w:rPr>
          <w:rFonts w:cs="Arial"/>
        </w:rPr>
        <w:t xml:space="preserve"> to </w:t>
      </w:r>
      <w:r w:rsidR="00A54617" w:rsidRPr="00A42FF4">
        <w:rPr>
          <w:rFonts w:cstheme="majorBidi"/>
          <w:lang w:val="en-PH"/>
        </w:rPr>
        <w:t>2022-23</w:t>
      </w:r>
      <w:r w:rsidR="00E07B55" w:rsidRPr="00A42FF4">
        <w:rPr>
          <w:rFonts w:cs="Arial"/>
        </w:rPr>
        <w:t xml:space="preserve">. </w:t>
      </w:r>
      <w:r w:rsidR="00EF3875" w:rsidRPr="00A42FF4">
        <w:rPr>
          <w:rFonts w:cs="Arial"/>
        </w:rPr>
        <w:t xml:space="preserve">In </w:t>
      </w:r>
      <w:r w:rsidR="00A54617" w:rsidRPr="00A42FF4">
        <w:rPr>
          <w:rFonts w:cstheme="majorBidi"/>
          <w:lang w:val="en-PH"/>
        </w:rPr>
        <w:t>2022-23</w:t>
      </w:r>
      <w:r w:rsidR="00EF3875" w:rsidRPr="00A42FF4">
        <w:rPr>
          <w:rFonts w:cs="Arial"/>
        </w:rPr>
        <w:t xml:space="preserve">, there </w:t>
      </w:r>
      <w:r w:rsidR="00BF22C6">
        <w:rPr>
          <w:rFonts w:cs="Arial"/>
        </w:rPr>
        <w:t>were</w:t>
      </w:r>
      <w:r w:rsidR="00EA319A">
        <w:rPr>
          <w:rFonts w:cs="Arial"/>
        </w:rPr>
        <w:t xml:space="preserve"> </w:t>
      </w:r>
      <w:r w:rsidR="00D35AE0">
        <w:rPr>
          <w:rFonts w:cs="Arial"/>
        </w:rPr>
        <w:t>237,304 AN-SNAP records</w:t>
      </w:r>
      <w:r w:rsidR="00EF3875" w:rsidRPr="00A42FF4">
        <w:rPr>
          <w:rFonts w:cs="Arial"/>
        </w:rPr>
        <w:t xml:space="preserve"> nationally, a</w:t>
      </w:r>
      <w:r w:rsidR="00D35AE0">
        <w:rPr>
          <w:rFonts w:cs="Arial"/>
        </w:rPr>
        <w:t xml:space="preserve"> 10</w:t>
      </w:r>
      <w:r w:rsidR="00897090" w:rsidRPr="00A42FF4">
        <w:rPr>
          <w:rFonts w:cs="Arial"/>
        </w:rPr>
        <w:t>%</w:t>
      </w:r>
      <w:r w:rsidR="00EF3875" w:rsidRPr="00A42FF4">
        <w:rPr>
          <w:rFonts w:cs="Arial"/>
        </w:rPr>
        <w:t xml:space="preserve"> </w:t>
      </w:r>
      <w:r w:rsidR="00274328" w:rsidRPr="00A42FF4">
        <w:rPr>
          <w:rFonts w:cs="Arial"/>
        </w:rPr>
        <w:t>in</w:t>
      </w:r>
      <w:r w:rsidR="00EF3875" w:rsidRPr="00A42FF4">
        <w:rPr>
          <w:rFonts w:cs="Arial"/>
        </w:rPr>
        <w:t xml:space="preserve">crease to the </w:t>
      </w:r>
      <w:r w:rsidR="00FC08C1" w:rsidRPr="00A42FF4">
        <w:rPr>
          <w:rFonts w:cs="Arial"/>
        </w:rPr>
        <w:t>202</w:t>
      </w:r>
      <w:r w:rsidR="00CE3B82" w:rsidRPr="00A42FF4">
        <w:rPr>
          <w:rFonts w:cs="Arial"/>
        </w:rPr>
        <w:t>1-22</w:t>
      </w:r>
      <w:r w:rsidR="00EF3875" w:rsidRPr="00A42FF4">
        <w:rPr>
          <w:rFonts w:cs="Arial"/>
        </w:rPr>
        <w:t xml:space="preserve"> figure of </w:t>
      </w:r>
      <w:r w:rsidR="00D35AE0">
        <w:rPr>
          <w:rFonts w:cs="Arial"/>
        </w:rPr>
        <w:t>216,183</w:t>
      </w:r>
      <w:r w:rsidR="00EF3875" w:rsidRPr="00A42FF4">
        <w:rPr>
          <w:rFonts w:cs="Arial"/>
        </w:rPr>
        <w:t xml:space="preserve">. </w:t>
      </w:r>
      <w:r w:rsidR="00B200A6" w:rsidRPr="00A42FF4">
        <w:rPr>
          <w:rFonts w:cs="Arial"/>
        </w:rPr>
        <w:t>The national</w:t>
      </w:r>
      <w:r w:rsidR="00435981">
        <w:rPr>
          <w:rFonts w:cs="Arial"/>
        </w:rPr>
        <w:t xml:space="preserve"> increase </w:t>
      </w:r>
      <w:r w:rsidR="00B200A6" w:rsidRPr="00A42FF4">
        <w:rPr>
          <w:rFonts w:cs="Arial"/>
        </w:rPr>
        <w:t xml:space="preserve">in </w:t>
      </w:r>
      <w:r w:rsidR="0033476E">
        <w:rPr>
          <w:rFonts w:cs="Arial"/>
        </w:rPr>
        <w:t xml:space="preserve">AN-SNAP records </w:t>
      </w:r>
      <w:r w:rsidR="00B200A6" w:rsidRPr="00A42FF4">
        <w:rPr>
          <w:rFonts w:cs="Arial"/>
        </w:rPr>
        <w:t xml:space="preserve">was driven by </w:t>
      </w:r>
      <w:r w:rsidR="00183417">
        <w:rPr>
          <w:rFonts w:cs="Arial"/>
        </w:rPr>
        <w:t>NSW</w:t>
      </w:r>
      <w:r w:rsidR="00B200A6" w:rsidRPr="00A42FF4">
        <w:rPr>
          <w:rFonts w:cs="Arial"/>
        </w:rPr>
        <w:t xml:space="preserve">, </w:t>
      </w:r>
      <w:r w:rsidR="00274328" w:rsidRPr="00A42FF4">
        <w:rPr>
          <w:rFonts w:cs="Arial"/>
        </w:rPr>
        <w:t>in</w:t>
      </w:r>
      <w:r w:rsidR="00B200A6" w:rsidRPr="00A42FF4">
        <w:rPr>
          <w:rFonts w:cs="Arial"/>
        </w:rPr>
        <w:t xml:space="preserve">creasing </w:t>
      </w:r>
      <w:r w:rsidR="0033476E">
        <w:rPr>
          <w:rFonts w:cs="Arial"/>
        </w:rPr>
        <w:t xml:space="preserve">by </w:t>
      </w:r>
      <w:r w:rsidR="00E71472">
        <w:rPr>
          <w:rFonts w:cs="Arial"/>
        </w:rPr>
        <w:t>17,181</w:t>
      </w:r>
      <w:r w:rsidR="0005018E" w:rsidRPr="00A42FF4">
        <w:rPr>
          <w:rFonts w:cs="Arial"/>
        </w:rPr>
        <w:t xml:space="preserve"> </w:t>
      </w:r>
      <w:r w:rsidR="00EF3875" w:rsidRPr="00A42FF4">
        <w:rPr>
          <w:rFonts w:cs="Arial"/>
        </w:rPr>
        <w:t>(</w:t>
      </w:r>
      <w:r w:rsidR="00B200A6" w:rsidRPr="00A42FF4">
        <w:rPr>
          <w:rFonts w:cs="Arial"/>
        </w:rPr>
        <w:t xml:space="preserve">or </w:t>
      </w:r>
      <w:r w:rsidR="00274328" w:rsidRPr="00A42FF4">
        <w:rPr>
          <w:rFonts w:cs="Arial"/>
        </w:rPr>
        <w:t>2</w:t>
      </w:r>
      <w:r w:rsidR="00E71472">
        <w:rPr>
          <w:rFonts w:cs="Arial"/>
        </w:rPr>
        <w:t>7</w:t>
      </w:r>
      <w:r w:rsidR="00897090" w:rsidRPr="00A42FF4">
        <w:rPr>
          <w:rFonts w:cs="Arial"/>
        </w:rPr>
        <w:t>%</w:t>
      </w:r>
      <w:r w:rsidR="00EF3875" w:rsidRPr="00A42FF4">
        <w:rPr>
          <w:rFonts w:cs="Arial"/>
        </w:rPr>
        <w:t>)</w:t>
      </w:r>
      <w:r w:rsidR="00B200A6" w:rsidRPr="00A42FF4">
        <w:rPr>
          <w:rFonts w:cs="Arial"/>
        </w:rPr>
        <w:t xml:space="preserve"> from </w:t>
      </w:r>
      <w:r w:rsidR="00FC08C1" w:rsidRPr="00A42FF4">
        <w:rPr>
          <w:rFonts w:cs="Arial"/>
        </w:rPr>
        <w:t>2021-22</w:t>
      </w:r>
      <w:r w:rsidR="004A46B7" w:rsidRPr="00A42FF4">
        <w:rPr>
          <w:rFonts w:cs="Arial"/>
        </w:rPr>
        <w:t xml:space="preserve"> to </w:t>
      </w:r>
      <w:r w:rsidR="00A54617" w:rsidRPr="00A42FF4">
        <w:rPr>
          <w:rFonts w:cstheme="majorBidi"/>
          <w:lang w:val="en-PH"/>
        </w:rPr>
        <w:t>2022-23</w:t>
      </w:r>
      <w:r w:rsidR="004A46B7" w:rsidRPr="00A42FF4">
        <w:rPr>
          <w:rFonts w:cs="Arial"/>
        </w:rPr>
        <w:t xml:space="preserve">. </w:t>
      </w:r>
      <w:r w:rsidR="007B09AA" w:rsidRPr="00A42FF4">
        <w:rPr>
          <w:rFonts w:cs="Arial"/>
        </w:rPr>
        <w:t xml:space="preserve">In </w:t>
      </w:r>
      <w:r w:rsidR="00A54617" w:rsidRPr="00A42FF4">
        <w:rPr>
          <w:rFonts w:cstheme="majorBidi"/>
          <w:lang w:val="en-PH"/>
        </w:rPr>
        <w:t>2022-23</w:t>
      </w:r>
      <w:r w:rsidR="007B09AA" w:rsidRPr="00A42FF4">
        <w:rPr>
          <w:rFonts w:cs="Arial"/>
        </w:rPr>
        <w:t>, t</w:t>
      </w:r>
      <w:r w:rsidR="004A46B7" w:rsidRPr="00A42FF4">
        <w:rPr>
          <w:rFonts w:cs="Arial"/>
        </w:rPr>
        <w:t xml:space="preserve">he number of </w:t>
      </w:r>
      <w:r w:rsidR="00D43354">
        <w:rPr>
          <w:rFonts w:cs="Arial"/>
        </w:rPr>
        <w:lastRenderedPageBreak/>
        <w:t>AN-SNAP records</w:t>
      </w:r>
      <w:r w:rsidR="00D43354" w:rsidRPr="00A42FF4">
        <w:rPr>
          <w:rFonts w:cs="Arial"/>
        </w:rPr>
        <w:t xml:space="preserve"> </w:t>
      </w:r>
      <w:r w:rsidR="004A46B7" w:rsidRPr="00A42FF4">
        <w:rPr>
          <w:rFonts w:cs="Arial"/>
        </w:rPr>
        <w:t>at the jurisdictional level range</w:t>
      </w:r>
      <w:r w:rsidR="007B09AA" w:rsidRPr="00A42FF4">
        <w:rPr>
          <w:rFonts w:cs="Arial"/>
        </w:rPr>
        <w:t>d</w:t>
      </w:r>
      <w:r w:rsidR="004A46B7" w:rsidRPr="00A42FF4">
        <w:rPr>
          <w:rFonts w:cs="Arial"/>
        </w:rPr>
        <w:t xml:space="preserve"> from </w:t>
      </w:r>
      <w:r w:rsidR="00D43354">
        <w:rPr>
          <w:rFonts w:cs="Arial"/>
        </w:rPr>
        <w:t>1,934</w:t>
      </w:r>
      <w:r w:rsidR="0005018E" w:rsidRPr="00A42FF4">
        <w:rPr>
          <w:rFonts w:cs="Arial"/>
        </w:rPr>
        <w:t xml:space="preserve"> </w:t>
      </w:r>
      <w:r w:rsidR="004A46B7" w:rsidRPr="00A42FF4">
        <w:rPr>
          <w:rFonts w:cs="Arial"/>
        </w:rPr>
        <w:t>(</w:t>
      </w:r>
      <w:r w:rsidR="00303546">
        <w:rPr>
          <w:rFonts w:cs="Arial"/>
        </w:rPr>
        <w:t>Australian Capital Territory (</w:t>
      </w:r>
      <w:r w:rsidR="00D43354">
        <w:rPr>
          <w:rFonts w:cs="Arial"/>
        </w:rPr>
        <w:t>AC</w:t>
      </w:r>
      <w:r w:rsidR="004A46B7" w:rsidRPr="00A42FF4">
        <w:rPr>
          <w:rFonts w:cs="Arial"/>
        </w:rPr>
        <w:t>T</w:t>
      </w:r>
      <w:r w:rsidR="00303546">
        <w:rPr>
          <w:rFonts w:cs="Arial"/>
        </w:rPr>
        <w:t>)</w:t>
      </w:r>
      <w:r w:rsidR="004A46B7" w:rsidRPr="00A42FF4">
        <w:rPr>
          <w:rFonts w:cs="Arial"/>
        </w:rPr>
        <w:t xml:space="preserve">) to </w:t>
      </w:r>
      <w:r w:rsidR="00D43354">
        <w:rPr>
          <w:rFonts w:cs="Arial"/>
        </w:rPr>
        <w:t>80,886</w:t>
      </w:r>
      <w:r w:rsidR="004A46B7" w:rsidRPr="00A42FF4">
        <w:rPr>
          <w:rFonts w:cs="Arial"/>
        </w:rPr>
        <w:t xml:space="preserve"> (</w:t>
      </w:r>
      <w:r w:rsidR="00303546">
        <w:rPr>
          <w:rFonts w:cs="Arial"/>
        </w:rPr>
        <w:t>New South Wales (</w:t>
      </w:r>
      <w:r w:rsidR="00D43354">
        <w:rPr>
          <w:rFonts w:cs="Arial"/>
        </w:rPr>
        <w:t>NSW</w:t>
      </w:r>
      <w:r w:rsidR="00303546">
        <w:rPr>
          <w:rFonts w:cs="Arial"/>
        </w:rPr>
        <w:t>)</w:t>
      </w:r>
      <w:r w:rsidR="004A46B7" w:rsidRPr="00A42FF4">
        <w:rPr>
          <w:rFonts w:cs="Arial"/>
        </w:rPr>
        <w:t>).</w:t>
      </w:r>
      <w:r w:rsidR="006262CD" w:rsidRPr="006262CD">
        <w:rPr>
          <w:rFonts w:cs="Arial"/>
        </w:rPr>
        <w:t xml:space="preserve"> </w:t>
      </w:r>
      <w:r w:rsidR="006262CD">
        <w:rPr>
          <w:rFonts w:cs="Arial"/>
        </w:rPr>
        <w:t>It should be noted that</w:t>
      </w:r>
      <w:r w:rsidR="006262CD" w:rsidRPr="00A42FF4">
        <w:rPr>
          <w:rFonts w:cs="Arial"/>
        </w:rPr>
        <w:t xml:space="preserve"> </w:t>
      </w:r>
      <w:r w:rsidR="00303546">
        <w:rPr>
          <w:rFonts w:cs="Arial"/>
        </w:rPr>
        <w:t>Western Australia (</w:t>
      </w:r>
      <w:r w:rsidR="006262CD">
        <w:rPr>
          <w:rFonts w:cs="Arial"/>
        </w:rPr>
        <w:t>WA</w:t>
      </w:r>
      <w:r w:rsidR="00303546">
        <w:rPr>
          <w:rFonts w:cs="Arial"/>
        </w:rPr>
        <w:t>)</w:t>
      </w:r>
      <w:r w:rsidR="006262CD">
        <w:rPr>
          <w:rFonts w:cs="Arial"/>
        </w:rPr>
        <w:t xml:space="preserve"> </w:t>
      </w:r>
      <w:r w:rsidR="006262CD" w:rsidRPr="00A42FF4">
        <w:rPr>
          <w:rFonts w:cs="Arial"/>
        </w:rPr>
        <w:t>does not submit phase level cost data</w:t>
      </w:r>
      <w:r w:rsidR="00BF22C6">
        <w:rPr>
          <w:rFonts w:cs="Arial"/>
        </w:rPr>
        <w:t xml:space="preserve">. </w:t>
      </w:r>
    </w:p>
    <w:p w14:paraId="014461F6" w14:textId="55FDF568" w:rsidR="00E07B55" w:rsidRDefault="006272A2" w:rsidP="00296833">
      <w:pPr>
        <w:pStyle w:val="TableFigureheading"/>
        <w:rPr>
          <w:lang w:val="en-PH"/>
        </w:rPr>
      </w:pPr>
      <w:bookmarkStart w:id="164" w:name="_Ref185835344"/>
      <w:bookmarkStart w:id="165" w:name="_Toc151116343"/>
      <w:bookmarkStart w:id="166" w:name="_Toc187312105"/>
      <w:r w:rsidRPr="0093558C">
        <w:rPr>
          <w:lang w:val="en-PH"/>
        </w:rPr>
        <w:t>Figure</w:t>
      </w:r>
      <w:r w:rsidR="00244800">
        <w:rPr>
          <w:lang w:val="en-PH"/>
        </w:rPr>
        <w:t xml:space="preserve"> </w:t>
      </w:r>
      <w:r w:rsidR="00244800">
        <w:rPr>
          <w:lang w:val="en-PH"/>
        </w:rPr>
        <w:fldChar w:fldCharType="begin"/>
      </w:r>
      <w:r w:rsidR="00244800">
        <w:rPr>
          <w:lang w:val="en-PH"/>
        </w:rPr>
        <w:instrText xml:space="preserve"> SEQ Figure \* ARABIC </w:instrText>
      </w:r>
      <w:r w:rsidR="00244800">
        <w:rPr>
          <w:lang w:val="en-PH"/>
        </w:rPr>
        <w:fldChar w:fldCharType="separate"/>
      </w:r>
      <w:r w:rsidR="00244800">
        <w:rPr>
          <w:noProof/>
          <w:lang w:val="en-PH"/>
        </w:rPr>
        <w:t>9</w:t>
      </w:r>
      <w:r w:rsidR="00244800">
        <w:rPr>
          <w:lang w:val="en-PH"/>
        </w:rPr>
        <w:fldChar w:fldCharType="end"/>
      </w:r>
      <w:bookmarkEnd w:id="164"/>
      <w:r w:rsidR="00E07B55" w:rsidRPr="0093558C">
        <w:rPr>
          <w:lang w:val="en-PH"/>
        </w:rPr>
        <w:t xml:space="preserve">: </w:t>
      </w:r>
      <w:r w:rsidR="00AA0720">
        <w:rPr>
          <w:lang w:val="en-PH"/>
        </w:rPr>
        <w:t xml:space="preserve">AN-SNAP </w:t>
      </w:r>
      <w:r w:rsidR="00F662E8">
        <w:rPr>
          <w:lang w:val="en-PH"/>
        </w:rPr>
        <w:t xml:space="preserve">records </w:t>
      </w:r>
      <w:r w:rsidR="007F189A">
        <w:rPr>
          <w:lang w:val="en-PH"/>
        </w:rPr>
        <w:t xml:space="preserve">in </w:t>
      </w:r>
      <w:r w:rsidR="0080432C">
        <w:rPr>
          <w:lang w:val="en-PH"/>
        </w:rPr>
        <w:t>ABF and NHCDC</w:t>
      </w:r>
      <w:r w:rsidR="000D4E7D" w:rsidRPr="0093558C">
        <w:rPr>
          <w:lang w:val="en-PH"/>
        </w:rPr>
        <w:t xml:space="preserve">, </w:t>
      </w:r>
      <w:r w:rsidR="00741BA0" w:rsidRPr="00D73FCC">
        <w:rPr>
          <w:lang w:val="en-PH"/>
        </w:rPr>
        <w:t>2020-21</w:t>
      </w:r>
      <w:r w:rsidR="000D4E7D" w:rsidRPr="0093558C">
        <w:rPr>
          <w:lang w:val="en-PH"/>
        </w:rPr>
        <w:t xml:space="preserve"> to </w:t>
      </w:r>
      <w:r w:rsidR="00831766" w:rsidRPr="008B2CD8">
        <w:rPr>
          <w:lang w:val="en-PH"/>
        </w:rPr>
        <w:t>202</w:t>
      </w:r>
      <w:r w:rsidR="00831766">
        <w:rPr>
          <w:lang w:val="en-PH"/>
        </w:rPr>
        <w:t>2</w:t>
      </w:r>
      <w:r w:rsidR="00831766" w:rsidRPr="008B2CD8">
        <w:rPr>
          <w:lang w:val="en-PH"/>
        </w:rPr>
        <w:t>-2</w:t>
      </w:r>
      <w:r w:rsidR="00831766">
        <w:rPr>
          <w:lang w:val="en-PH"/>
        </w:rPr>
        <w:t>3</w:t>
      </w:r>
      <w:bookmarkEnd w:id="165"/>
      <w:bookmarkEnd w:id="166"/>
    </w:p>
    <w:p w14:paraId="7B7B1814" w14:textId="0ABC8035" w:rsidR="00134A0F" w:rsidRPr="0093558C" w:rsidRDefault="00134A0F" w:rsidP="00303546">
      <w:pPr>
        <w:rPr>
          <w:lang w:val="en-PH"/>
        </w:rPr>
      </w:pPr>
      <w:r>
        <w:rPr>
          <w:noProof/>
        </w:rPr>
        <w:drawing>
          <wp:inline distT="0" distB="0" distL="0" distR="0" wp14:anchorId="363D0967" wp14:editId="393AE348">
            <wp:extent cx="6188710" cy="2529840"/>
            <wp:effectExtent l="0" t="0" r="2540" b="3810"/>
            <wp:docPr id="1666210072" name="Chart 1">
              <a:extLst xmlns:a="http://schemas.openxmlformats.org/drawingml/2006/main">
                <a:ext uri="{FF2B5EF4-FFF2-40B4-BE49-F238E27FC236}">
                  <a16:creationId xmlns:a16="http://schemas.microsoft.com/office/drawing/2014/main" id="{1AD9A90E-F45A-4C02-91A2-7F47EA1679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F86200" w14:textId="59E09F46" w:rsidR="00E07B55" w:rsidRPr="00CE058E" w:rsidRDefault="00E07B55" w:rsidP="007B41F8">
      <w:pPr>
        <w:pStyle w:val="Heading2"/>
      </w:pPr>
      <w:bookmarkStart w:id="167" w:name="_Toc144215446"/>
      <w:bookmarkStart w:id="168" w:name="_Toc144967652"/>
      <w:bookmarkStart w:id="169" w:name="_Toc151129702"/>
      <w:bookmarkStart w:id="170" w:name="_Toc158882553"/>
      <w:bookmarkStart w:id="171" w:name="_Toc158882614"/>
      <w:r w:rsidRPr="00CE058E">
        <w:t xml:space="preserve">Admitted subacute and non-acute </w:t>
      </w:r>
      <w:r w:rsidR="007F7EEF">
        <w:t>expenditure</w:t>
      </w:r>
      <w:bookmarkEnd w:id="167"/>
      <w:bookmarkEnd w:id="168"/>
      <w:bookmarkEnd w:id="169"/>
      <w:bookmarkEnd w:id="170"/>
      <w:bookmarkEnd w:id="171"/>
    </w:p>
    <w:p w14:paraId="75D184AD" w14:textId="4DC57124" w:rsidR="00845FB8" w:rsidRPr="00A42FF4" w:rsidRDefault="00845FB8" w:rsidP="0037633A">
      <w:pPr>
        <w:spacing w:line="276" w:lineRule="auto"/>
        <w:rPr>
          <w:rFonts w:cs="Arial"/>
        </w:rPr>
      </w:pPr>
      <w:r w:rsidRPr="00A42FF4">
        <w:rPr>
          <w:rFonts w:cs="Arial"/>
        </w:rPr>
        <w:t xml:space="preserve">In </w:t>
      </w:r>
      <w:r w:rsidR="00A54617" w:rsidRPr="00A42FF4">
        <w:rPr>
          <w:rFonts w:cstheme="majorBidi"/>
          <w:lang w:val="en-PH"/>
        </w:rPr>
        <w:t>2022-23</w:t>
      </w:r>
      <w:r w:rsidRPr="00A42FF4">
        <w:rPr>
          <w:rFonts w:cs="Arial"/>
        </w:rPr>
        <w:t xml:space="preserve">, </w:t>
      </w:r>
      <w:r w:rsidR="00AF2519" w:rsidRPr="00A42FF4">
        <w:rPr>
          <w:rFonts w:cs="Arial"/>
        </w:rPr>
        <w:t xml:space="preserve">the </w:t>
      </w:r>
      <w:r w:rsidRPr="00A42FF4">
        <w:rPr>
          <w:rFonts w:cs="Arial"/>
        </w:rPr>
        <w:t xml:space="preserve">admitted subacute and non-acute </w:t>
      </w:r>
      <w:r w:rsidR="00FA05F7" w:rsidRPr="00A42FF4">
        <w:rPr>
          <w:rFonts w:cs="Arial"/>
        </w:rPr>
        <w:t xml:space="preserve">cost </w:t>
      </w:r>
      <w:r w:rsidR="00AF2519" w:rsidRPr="00A42FF4">
        <w:rPr>
          <w:rFonts w:cs="Arial"/>
        </w:rPr>
        <w:t>reported in the NHCDC was</w:t>
      </w:r>
      <w:r w:rsidRPr="00A42FF4">
        <w:rPr>
          <w:rFonts w:cs="Arial"/>
        </w:rPr>
        <w:t xml:space="preserve"> approximately $</w:t>
      </w:r>
      <w:r w:rsidR="007B4592">
        <w:rPr>
          <w:rFonts w:cs="Arial"/>
        </w:rPr>
        <w:t>4</w:t>
      </w:r>
      <w:r w:rsidRPr="00A42FF4">
        <w:rPr>
          <w:rFonts w:cs="Arial"/>
        </w:rPr>
        <w:t>.</w:t>
      </w:r>
      <w:r w:rsidR="007B4592">
        <w:rPr>
          <w:rFonts w:cs="Arial"/>
        </w:rPr>
        <w:t>4</w:t>
      </w:r>
      <w:r w:rsidRPr="00A42FF4">
        <w:rPr>
          <w:rFonts w:cs="Arial"/>
        </w:rPr>
        <w:t xml:space="preserve"> billion</w:t>
      </w:r>
      <w:r w:rsidR="00AF2519" w:rsidRPr="00A42FF4">
        <w:rPr>
          <w:rFonts w:cs="Arial"/>
        </w:rPr>
        <w:t xml:space="preserve"> nationally</w:t>
      </w:r>
      <w:r w:rsidRPr="00A42FF4">
        <w:rPr>
          <w:rFonts w:cs="Arial"/>
        </w:rPr>
        <w:t xml:space="preserve">. </w:t>
      </w:r>
      <w:r w:rsidR="00816BA8">
        <w:rPr>
          <w:rFonts w:cs="Arial"/>
        </w:rPr>
        <w:fldChar w:fldCharType="begin"/>
      </w:r>
      <w:r w:rsidR="00816BA8">
        <w:rPr>
          <w:rFonts w:cs="Arial"/>
        </w:rPr>
        <w:instrText xml:space="preserve"> REF _Ref185837277 \h </w:instrText>
      </w:r>
      <w:r w:rsidR="00816BA8">
        <w:rPr>
          <w:rFonts w:cs="Arial"/>
        </w:rPr>
      </w:r>
      <w:r w:rsidR="00816BA8">
        <w:rPr>
          <w:rFonts w:cs="Arial"/>
        </w:rPr>
        <w:fldChar w:fldCharType="separate"/>
      </w:r>
      <w:r w:rsidR="00C93348">
        <w:rPr>
          <w:lang w:val="en-PH"/>
        </w:rPr>
        <w:t xml:space="preserve">Figure </w:t>
      </w:r>
      <w:r w:rsidR="00C93348">
        <w:rPr>
          <w:noProof/>
          <w:lang w:val="en-PH"/>
        </w:rPr>
        <w:t>10</w:t>
      </w:r>
      <w:r w:rsidR="00816BA8">
        <w:rPr>
          <w:rFonts w:cs="Arial"/>
        </w:rPr>
        <w:fldChar w:fldCharType="end"/>
      </w:r>
      <w:r w:rsidRPr="00A42FF4">
        <w:rPr>
          <w:rFonts w:cs="Arial"/>
        </w:rPr>
        <w:t xml:space="preserve"> shows the cost of admitted subacute and non-acute by jurisdiction from </w:t>
      </w:r>
      <w:r w:rsidR="00E137A0" w:rsidRPr="00A42FF4">
        <w:rPr>
          <w:rFonts w:cs="Arial"/>
        </w:rPr>
        <w:t>2020-21</w:t>
      </w:r>
      <w:r w:rsidRPr="00A42FF4">
        <w:rPr>
          <w:rFonts w:cs="Arial"/>
        </w:rPr>
        <w:t xml:space="preserve"> to </w:t>
      </w:r>
      <w:r w:rsidR="00A54617" w:rsidRPr="00A42FF4">
        <w:rPr>
          <w:rFonts w:cstheme="majorBidi"/>
          <w:lang w:val="en-PH"/>
        </w:rPr>
        <w:t>2022-23</w:t>
      </w:r>
      <w:r w:rsidRPr="00A42FF4">
        <w:rPr>
          <w:rFonts w:cs="Arial"/>
        </w:rPr>
        <w:t xml:space="preserve">. </w:t>
      </w:r>
      <w:r w:rsidR="0037633A" w:rsidRPr="00A42FF4">
        <w:rPr>
          <w:rFonts w:cs="Arial"/>
        </w:rPr>
        <w:t xml:space="preserve">From </w:t>
      </w:r>
      <w:r w:rsidR="00FC08C1" w:rsidRPr="00A42FF4">
        <w:rPr>
          <w:rFonts w:cs="Arial"/>
        </w:rPr>
        <w:t>2021-22</w:t>
      </w:r>
      <w:r w:rsidR="0037633A" w:rsidRPr="00A42FF4">
        <w:rPr>
          <w:rFonts w:cs="Arial"/>
        </w:rPr>
        <w:t xml:space="preserve"> to </w:t>
      </w:r>
      <w:r w:rsidR="00A54617" w:rsidRPr="00A42FF4">
        <w:rPr>
          <w:rFonts w:cstheme="majorBidi"/>
          <w:lang w:val="en-PH"/>
        </w:rPr>
        <w:t>2022-23</w:t>
      </w:r>
      <w:r w:rsidR="0037633A" w:rsidRPr="00A42FF4">
        <w:rPr>
          <w:rFonts w:cs="Arial"/>
        </w:rPr>
        <w:t>, the cost of admitted subacute and non-acute episodes increased</w:t>
      </w:r>
      <w:r w:rsidRPr="00A42FF4">
        <w:rPr>
          <w:rFonts w:cs="Arial"/>
        </w:rPr>
        <w:t xml:space="preserve"> $</w:t>
      </w:r>
      <w:r w:rsidR="0011286B">
        <w:rPr>
          <w:rFonts w:cs="Arial"/>
        </w:rPr>
        <w:t>668</w:t>
      </w:r>
      <w:r w:rsidR="00274328" w:rsidRPr="00A42FF4">
        <w:rPr>
          <w:rFonts w:cs="Arial"/>
        </w:rPr>
        <w:t>.</w:t>
      </w:r>
      <w:r w:rsidR="0011286B">
        <w:rPr>
          <w:rFonts w:cs="Arial"/>
        </w:rPr>
        <w:t>7</w:t>
      </w:r>
      <w:r w:rsidRPr="00A42FF4">
        <w:rPr>
          <w:rFonts w:cs="Arial"/>
        </w:rPr>
        <w:t xml:space="preserve"> million nationally, a</w:t>
      </w:r>
      <w:r w:rsidR="00274328" w:rsidRPr="00A42FF4">
        <w:rPr>
          <w:rFonts w:cs="Arial"/>
        </w:rPr>
        <w:t>n</w:t>
      </w:r>
      <w:r w:rsidRPr="00A42FF4">
        <w:rPr>
          <w:rFonts w:cs="Arial"/>
        </w:rPr>
        <w:t xml:space="preserve"> </w:t>
      </w:r>
      <w:r w:rsidR="00274328" w:rsidRPr="00A42FF4">
        <w:rPr>
          <w:rFonts w:cs="Arial"/>
        </w:rPr>
        <w:t>18</w:t>
      </w:r>
      <w:r w:rsidR="00897090" w:rsidRPr="00A42FF4">
        <w:rPr>
          <w:rFonts w:cs="Arial"/>
        </w:rPr>
        <w:t>%</w:t>
      </w:r>
      <w:r w:rsidRPr="00A42FF4">
        <w:rPr>
          <w:rFonts w:cs="Arial"/>
        </w:rPr>
        <w:t xml:space="preserve"> increase to the </w:t>
      </w:r>
      <w:r w:rsidR="00FC08C1" w:rsidRPr="00A42FF4">
        <w:rPr>
          <w:rFonts w:cs="Arial"/>
        </w:rPr>
        <w:t>2021</w:t>
      </w:r>
      <w:r w:rsidR="00012BF3">
        <w:rPr>
          <w:rFonts w:cs="Arial"/>
        </w:rPr>
        <w:noBreakHyphen/>
      </w:r>
      <w:r w:rsidR="00FC08C1" w:rsidRPr="00A42FF4">
        <w:rPr>
          <w:rFonts w:cs="Arial"/>
        </w:rPr>
        <w:t>22</w:t>
      </w:r>
      <w:r w:rsidRPr="00A42FF4">
        <w:rPr>
          <w:rFonts w:cs="Arial"/>
        </w:rPr>
        <w:t xml:space="preserve"> figure of $</w:t>
      </w:r>
      <w:r w:rsidR="002E0ECA" w:rsidRPr="00A42FF4">
        <w:rPr>
          <w:rFonts w:cs="Arial"/>
        </w:rPr>
        <w:t>3.</w:t>
      </w:r>
      <w:r w:rsidR="00C62621">
        <w:rPr>
          <w:rFonts w:cs="Arial"/>
        </w:rPr>
        <w:t>7</w:t>
      </w:r>
      <w:r w:rsidRPr="00A42FF4">
        <w:rPr>
          <w:rFonts w:cs="Arial"/>
        </w:rPr>
        <w:t xml:space="preserve"> billion. The increase</w:t>
      </w:r>
      <w:r w:rsidR="0037633A" w:rsidRPr="00A42FF4">
        <w:rPr>
          <w:rFonts w:cs="Arial"/>
        </w:rPr>
        <w:t xml:space="preserve"> </w:t>
      </w:r>
      <w:r w:rsidRPr="00A42FF4">
        <w:rPr>
          <w:rFonts w:cs="Arial"/>
        </w:rPr>
        <w:t>was driven by Queensland, increasing $</w:t>
      </w:r>
      <w:r w:rsidR="00B764E5">
        <w:rPr>
          <w:rFonts w:cs="Arial"/>
        </w:rPr>
        <w:t>1.2</w:t>
      </w:r>
      <w:r w:rsidRPr="00A42FF4">
        <w:rPr>
          <w:rFonts w:cs="Arial"/>
        </w:rPr>
        <w:t xml:space="preserve"> </w:t>
      </w:r>
      <w:r w:rsidR="00B764E5">
        <w:rPr>
          <w:rFonts w:cs="Arial"/>
        </w:rPr>
        <w:t>b</w:t>
      </w:r>
      <w:r w:rsidRPr="00A42FF4">
        <w:rPr>
          <w:rFonts w:cs="Arial"/>
        </w:rPr>
        <w:t xml:space="preserve">illion (or </w:t>
      </w:r>
      <w:r w:rsidR="00B764E5">
        <w:rPr>
          <w:rFonts w:cs="Arial"/>
        </w:rPr>
        <w:t>28</w:t>
      </w:r>
      <w:r w:rsidR="00897090" w:rsidRPr="00A42FF4">
        <w:rPr>
          <w:rFonts w:cs="Arial"/>
        </w:rPr>
        <w:t>%</w:t>
      </w:r>
      <w:r w:rsidRPr="00A42FF4">
        <w:rPr>
          <w:rFonts w:cs="Arial"/>
        </w:rPr>
        <w:t xml:space="preserve">) from </w:t>
      </w:r>
      <w:r w:rsidR="00FC08C1" w:rsidRPr="00A42FF4">
        <w:rPr>
          <w:rFonts w:cs="Arial"/>
        </w:rPr>
        <w:t>2021-22</w:t>
      </w:r>
      <w:r w:rsidRPr="00A42FF4">
        <w:rPr>
          <w:rFonts w:cs="Arial"/>
        </w:rPr>
        <w:t xml:space="preserve"> to </w:t>
      </w:r>
      <w:r w:rsidR="00A54617" w:rsidRPr="00A42FF4">
        <w:rPr>
          <w:rFonts w:cstheme="majorBidi"/>
          <w:lang w:val="en-PH"/>
        </w:rPr>
        <w:t>2022-23</w:t>
      </w:r>
      <w:r w:rsidRPr="00A42FF4">
        <w:rPr>
          <w:rFonts w:cs="Arial"/>
        </w:rPr>
        <w:t xml:space="preserve">. In </w:t>
      </w:r>
      <w:r w:rsidR="00A54617" w:rsidRPr="00A42FF4">
        <w:rPr>
          <w:rFonts w:cstheme="majorBidi"/>
          <w:lang w:val="en-PH"/>
        </w:rPr>
        <w:t>2022-23</w:t>
      </w:r>
      <w:r w:rsidRPr="00A42FF4">
        <w:rPr>
          <w:rFonts w:cs="Arial"/>
        </w:rPr>
        <w:t xml:space="preserve">, </w:t>
      </w:r>
      <w:r w:rsidR="00C33282" w:rsidRPr="00A42FF4">
        <w:rPr>
          <w:rFonts w:cs="Arial"/>
        </w:rPr>
        <w:t>the</w:t>
      </w:r>
      <w:r w:rsidRPr="00A42FF4">
        <w:rPr>
          <w:rFonts w:cs="Arial"/>
        </w:rPr>
        <w:t xml:space="preserve"> cost </w:t>
      </w:r>
      <w:r w:rsidR="00DF7D90">
        <w:rPr>
          <w:rFonts w:cs="Arial"/>
        </w:rPr>
        <w:t>of</w:t>
      </w:r>
      <w:r w:rsidR="00DF7D90" w:rsidRPr="00A42FF4">
        <w:rPr>
          <w:rFonts w:cs="Arial"/>
        </w:rPr>
        <w:t xml:space="preserve"> </w:t>
      </w:r>
      <w:r w:rsidR="00795C7D">
        <w:rPr>
          <w:rFonts w:cs="Arial"/>
        </w:rPr>
        <w:t>admitted subacute and non-acute</w:t>
      </w:r>
      <w:r w:rsidR="00795C7D" w:rsidRPr="00A42FF4">
        <w:rPr>
          <w:rFonts w:cs="Arial"/>
        </w:rPr>
        <w:t xml:space="preserve"> </w:t>
      </w:r>
      <w:r w:rsidRPr="00A42FF4">
        <w:rPr>
          <w:rFonts w:cs="Arial"/>
        </w:rPr>
        <w:t>at the jurisdictional level ranged from $</w:t>
      </w:r>
      <w:r w:rsidR="00A1560C">
        <w:rPr>
          <w:rFonts w:cs="Arial"/>
        </w:rPr>
        <w:t>60</w:t>
      </w:r>
      <w:r w:rsidR="002E0ECA" w:rsidRPr="00A42FF4">
        <w:rPr>
          <w:rFonts w:cs="Arial"/>
        </w:rPr>
        <w:t>.</w:t>
      </w:r>
      <w:r w:rsidR="00A1560C">
        <w:rPr>
          <w:rFonts w:cs="Arial"/>
        </w:rPr>
        <w:t>1</w:t>
      </w:r>
      <w:r w:rsidRPr="00A42FF4">
        <w:rPr>
          <w:rFonts w:cs="Arial"/>
        </w:rPr>
        <w:t xml:space="preserve"> million (</w:t>
      </w:r>
      <w:r w:rsidR="00303546">
        <w:rPr>
          <w:rFonts w:cs="Arial"/>
        </w:rPr>
        <w:t>Northern Territory (</w:t>
      </w:r>
      <w:r w:rsidRPr="00A42FF4">
        <w:rPr>
          <w:rFonts w:cs="Arial"/>
        </w:rPr>
        <w:t>NT</w:t>
      </w:r>
      <w:r w:rsidR="00303546">
        <w:rPr>
          <w:rFonts w:cs="Arial"/>
        </w:rPr>
        <w:t>)</w:t>
      </w:r>
      <w:r w:rsidRPr="00A42FF4">
        <w:rPr>
          <w:rFonts w:cs="Arial"/>
        </w:rPr>
        <w:t>) to $</w:t>
      </w:r>
      <w:r w:rsidR="002E0ECA" w:rsidRPr="00A42FF4">
        <w:rPr>
          <w:rFonts w:cs="Arial"/>
        </w:rPr>
        <w:t>1.</w:t>
      </w:r>
      <w:r w:rsidR="00A1560C">
        <w:rPr>
          <w:rFonts w:cs="Arial"/>
        </w:rPr>
        <w:t>2</w:t>
      </w:r>
      <w:r w:rsidRPr="00A42FF4">
        <w:rPr>
          <w:rFonts w:cs="Arial"/>
        </w:rPr>
        <w:t xml:space="preserve"> </w:t>
      </w:r>
      <w:r w:rsidR="002E0ECA" w:rsidRPr="00A42FF4">
        <w:rPr>
          <w:rFonts w:cs="Arial"/>
        </w:rPr>
        <w:t>b</w:t>
      </w:r>
      <w:r w:rsidRPr="00A42FF4">
        <w:rPr>
          <w:rFonts w:cs="Arial"/>
        </w:rPr>
        <w:t>illion (Queensland).</w:t>
      </w:r>
      <w:r w:rsidR="00267D26">
        <w:rPr>
          <w:rFonts w:cs="Arial"/>
        </w:rPr>
        <w:t xml:space="preserve"> Tasmania’s total cost increased 4</w:t>
      </w:r>
      <w:r w:rsidR="00D36EA3">
        <w:rPr>
          <w:rFonts w:cs="Arial"/>
        </w:rPr>
        <w:t>0</w:t>
      </w:r>
      <w:r w:rsidR="00267D26">
        <w:rPr>
          <w:rFonts w:cs="Arial"/>
        </w:rPr>
        <w:t>%, due to an increase in the non-clinical cost bucket.</w:t>
      </w:r>
      <w:r w:rsidR="00B30DF8">
        <w:rPr>
          <w:rFonts w:cs="Arial"/>
        </w:rPr>
        <w:t xml:space="preserve"> </w:t>
      </w:r>
      <w:r w:rsidR="00B30DF8" w:rsidRPr="00A42FF4">
        <w:t xml:space="preserve">It should be noted that </w:t>
      </w:r>
      <w:r w:rsidR="00B30DF8">
        <w:t>WA</w:t>
      </w:r>
      <w:r w:rsidR="00B30DF8" w:rsidRPr="00A42FF4">
        <w:t xml:space="preserve"> </w:t>
      </w:r>
      <w:r w:rsidR="00B30DF8">
        <w:t>and ACT have</w:t>
      </w:r>
      <w:r w:rsidR="00B30DF8" w:rsidRPr="00A42FF4">
        <w:t xml:space="preserve"> not reported phase level cost data for the last 3 years.</w:t>
      </w:r>
    </w:p>
    <w:p w14:paraId="1E8BC178" w14:textId="4F7AC958" w:rsidR="00E07B55" w:rsidRDefault="00816BA8" w:rsidP="00296833">
      <w:pPr>
        <w:pStyle w:val="TableFigureheading"/>
        <w:rPr>
          <w:lang w:val="en-PH"/>
        </w:rPr>
      </w:pPr>
      <w:bookmarkStart w:id="172" w:name="_Ref185837277"/>
      <w:bookmarkStart w:id="173" w:name="_Toc151116345"/>
      <w:bookmarkStart w:id="174" w:name="_Toc187312106"/>
      <w:r>
        <w:rPr>
          <w:lang w:val="en-PH"/>
        </w:rPr>
        <w:t xml:space="preserve">Figure </w:t>
      </w:r>
      <w:r>
        <w:rPr>
          <w:lang w:val="en-PH"/>
        </w:rPr>
        <w:fldChar w:fldCharType="begin"/>
      </w:r>
      <w:r>
        <w:rPr>
          <w:lang w:val="en-PH"/>
        </w:rPr>
        <w:instrText xml:space="preserve"> SEQ Figure \* ARABIC </w:instrText>
      </w:r>
      <w:r>
        <w:rPr>
          <w:lang w:val="en-PH"/>
        </w:rPr>
        <w:fldChar w:fldCharType="separate"/>
      </w:r>
      <w:r w:rsidR="00C93348">
        <w:rPr>
          <w:noProof/>
          <w:lang w:val="en-PH"/>
        </w:rPr>
        <w:t>10</w:t>
      </w:r>
      <w:r>
        <w:rPr>
          <w:lang w:val="en-PH"/>
        </w:rPr>
        <w:fldChar w:fldCharType="end"/>
      </w:r>
      <w:bookmarkEnd w:id="172"/>
      <w:r w:rsidR="00E07B55" w:rsidRPr="0093558C">
        <w:rPr>
          <w:lang w:val="en-PH"/>
        </w:rPr>
        <w:t xml:space="preserve">: </w:t>
      </w:r>
      <w:r w:rsidR="00BB4C7D">
        <w:rPr>
          <w:lang w:val="en-PH"/>
        </w:rPr>
        <w:t>Cost</w:t>
      </w:r>
      <w:r w:rsidR="005D09FC">
        <w:rPr>
          <w:lang w:val="en-PH"/>
        </w:rPr>
        <w:t xml:space="preserve"> of</w:t>
      </w:r>
      <w:r w:rsidR="00C840FE">
        <w:rPr>
          <w:lang w:val="en-PH"/>
        </w:rPr>
        <w:t xml:space="preserve"> </w:t>
      </w:r>
      <w:r w:rsidR="00AA0720">
        <w:rPr>
          <w:lang w:val="en-PH"/>
        </w:rPr>
        <w:t>AN-SNAP</w:t>
      </w:r>
      <w:r w:rsidR="00E07B55" w:rsidRPr="0093558C">
        <w:rPr>
          <w:lang w:val="en-PH"/>
        </w:rPr>
        <w:t xml:space="preserve"> </w:t>
      </w:r>
      <w:r w:rsidR="003E7471">
        <w:rPr>
          <w:lang w:val="en-PH"/>
        </w:rPr>
        <w:t>r</w:t>
      </w:r>
      <w:r w:rsidR="007F5BBF" w:rsidRPr="0093558C">
        <w:rPr>
          <w:rFonts w:cstheme="majorBidi"/>
          <w:szCs w:val="22"/>
          <w:lang w:val="en-PH"/>
        </w:rPr>
        <w:t>e</w:t>
      </w:r>
      <w:r w:rsidR="003E7471">
        <w:rPr>
          <w:rFonts w:cstheme="majorBidi"/>
          <w:szCs w:val="22"/>
          <w:lang w:val="en-PH"/>
        </w:rPr>
        <w:t>c</w:t>
      </w:r>
      <w:r w:rsidR="007F5BBF" w:rsidRPr="0093558C">
        <w:rPr>
          <w:rFonts w:cstheme="majorBidi"/>
          <w:szCs w:val="22"/>
          <w:lang w:val="en-PH"/>
        </w:rPr>
        <w:t>o</w:t>
      </w:r>
      <w:r w:rsidR="003E7471">
        <w:rPr>
          <w:rFonts w:cstheme="majorBidi"/>
          <w:szCs w:val="22"/>
          <w:lang w:val="en-PH"/>
        </w:rPr>
        <w:t>r</w:t>
      </w:r>
      <w:r w:rsidR="007F5BBF" w:rsidRPr="0093558C">
        <w:rPr>
          <w:rFonts w:cstheme="majorBidi"/>
          <w:szCs w:val="22"/>
          <w:lang w:val="en-PH"/>
        </w:rPr>
        <w:t>ds</w:t>
      </w:r>
      <w:r w:rsidR="00A61BBA">
        <w:rPr>
          <w:lang w:val="en-PH"/>
        </w:rPr>
        <w:t xml:space="preserve"> </w:t>
      </w:r>
      <w:r w:rsidR="008E2EFF">
        <w:rPr>
          <w:lang w:val="en-PH"/>
        </w:rPr>
        <w:t>by jurisdiction</w:t>
      </w:r>
      <w:r w:rsidR="00E07B55" w:rsidRPr="0093558C">
        <w:rPr>
          <w:lang w:val="en-PH"/>
        </w:rPr>
        <w:t xml:space="preserve">, </w:t>
      </w:r>
      <w:r w:rsidR="00E137A0" w:rsidRPr="00D73FCC">
        <w:rPr>
          <w:lang w:val="en-PH"/>
        </w:rPr>
        <w:t>2020-21</w:t>
      </w:r>
      <w:r w:rsidR="00E07B55" w:rsidRPr="0093558C">
        <w:rPr>
          <w:lang w:val="en-PH"/>
        </w:rPr>
        <w:t xml:space="preserve"> to </w:t>
      </w:r>
      <w:r w:rsidR="00A54617" w:rsidRPr="008B2CD8">
        <w:rPr>
          <w:lang w:val="en-PH"/>
        </w:rPr>
        <w:t>202</w:t>
      </w:r>
      <w:r w:rsidR="00A54617">
        <w:rPr>
          <w:lang w:val="en-PH"/>
        </w:rPr>
        <w:t>2</w:t>
      </w:r>
      <w:r w:rsidR="00A54617" w:rsidRPr="008B2CD8">
        <w:rPr>
          <w:lang w:val="en-PH"/>
        </w:rPr>
        <w:t>-2</w:t>
      </w:r>
      <w:r w:rsidR="00A54617">
        <w:rPr>
          <w:lang w:val="en-PH"/>
        </w:rPr>
        <w:t>3</w:t>
      </w:r>
      <w:bookmarkEnd w:id="173"/>
      <w:bookmarkEnd w:id="174"/>
    </w:p>
    <w:p w14:paraId="65B250C6" w14:textId="33F75E81" w:rsidR="00F15F15" w:rsidRPr="00303546" w:rsidRDefault="00F15F15" w:rsidP="00303546">
      <w:r>
        <w:rPr>
          <w:noProof/>
        </w:rPr>
        <w:drawing>
          <wp:inline distT="0" distB="0" distL="0" distR="0" wp14:anchorId="33F15168" wp14:editId="14C62C74">
            <wp:extent cx="6188710" cy="2518410"/>
            <wp:effectExtent l="0" t="0" r="2540" b="0"/>
            <wp:docPr id="1067839601" name="Chart 1">
              <a:extLst xmlns:a="http://schemas.openxmlformats.org/drawingml/2006/main">
                <a:ext uri="{FF2B5EF4-FFF2-40B4-BE49-F238E27FC236}">
                  <a16:creationId xmlns:a16="http://schemas.microsoft.com/office/drawing/2014/main" id="{CFA1E7F3-AB14-460A-811C-FE27FC4D13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26C904" w14:textId="1C30EF85" w:rsidR="00E07B55" w:rsidRPr="00CE058E" w:rsidRDefault="00E07B55" w:rsidP="007B41F8">
      <w:pPr>
        <w:pStyle w:val="Heading2"/>
      </w:pPr>
      <w:bookmarkStart w:id="175" w:name="_Toc144967654"/>
      <w:bookmarkStart w:id="176" w:name="_Toc151129703"/>
      <w:bookmarkStart w:id="177" w:name="_Toc158882554"/>
      <w:bookmarkStart w:id="178" w:name="_Toc158882615"/>
      <w:r w:rsidRPr="00CE058E">
        <w:lastRenderedPageBreak/>
        <w:t xml:space="preserve">Admitted subacute and non-acute </w:t>
      </w:r>
      <w:r w:rsidR="00EA319A" w:rsidRPr="00CE058E">
        <w:t xml:space="preserve">average </w:t>
      </w:r>
      <w:r w:rsidRPr="00CE058E">
        <w:t>cost</w:t>
      </w:r>
      <w:bookmarkEnd w:id="175"/>
      <w:bookmarkEnd w:id="176"/>
      <w:bookmarkEnd w:id="177"/>
      <w:bookmarkEnd w:id="178"/>
    </w:p>
    <w:p w14:paraId="33356249" w14:textId="287ED610" w:rsidR="00DD3CB5" w:rsidRPr="00356E77" w:rsidRDefault="004A4194" w:rsidP="00E23327">
      <w:pPr>
        <w:spacing w:line="276" w:lineRule="auto"/>
        <w:rPr>
          <w:rFonts w:cs="Arial"/>
        </w:rPr>
      </w:pPr>
      <w:r w:rsidRPr="00296833">
        <w:rPr>
          <w:rStyle w:val="Cross-referenceChar"/>
        </w:rPr>
        <w:fldChar w:fldCharType="begin"/>
      </w:r>
      <w:r w:rsidRPr="00296833">
        <w:rPr>
          <w:rStyle w:val="Cross-referenceChar"/>
        </w:rPr>
        <w:instrText xml:space="preserve"> REF _Ref185838257 \h </w:instrText>
      </w:r>
      <w:r w:rsidR="00312FFA">
        <w:rPr>
          <w:rStyle w:val="Cross-referenceChar"/>
        </w:rPr>
        <w:instrText xml:space="preserve"> \* MERGEFORMAT </w:instrText>
      </w:r>
      <w:r w:rsidRPr="00296833">
        <w:rPr>
          <w:rStyle w:val="Cross-referenceChar"/>
        </w:rPr>
      </w:r>
      <w:r w:rsidRPr="00296833">
        <w:rPr>
          <w:rStyle w:val="Cross-referenceChar"/>
        </w:rPr>
        <w:fldChar w:fldCharType="separate"/>
      </w:r>
      <w:r w:rsidR="00D9469E" w:rsidRPr="00D9469E">
        <w:rPr>
          <w:rStyle w:val="Cross-referenceChar"/>
        </w:rPr>
        <w:t>Figure 11</w:t>
      </w:r>
      <w:r w:rsidRPr="00296833">
        <w:rPr>
          <w:rStyle w:val="Cross-referenceChar"/>
        </w:rPr>
        <w:fldChar w:fldCharType="end"/>
      </w:r>
      <w:r w:rsidR="00FC6DDB">
        <w:rPr>
          <w:rFonts w:cs="Arial"/>
        </w:rPr>
        <w:t xml:space="preserve"> </w:t>
      </w:r>
      <w:r w:rsidR="00483803" w:rsidRPr="00356E77">
        <w:rPr>
          <w:rFonts w:cs="Arial"/>
        </w:rPr>
        <w:t xml:space="preserve">shows the average cost of admitted subacute and non-acute episodes reported in the cost data from </w:t>
      </w:r>
      <w:r w:rsidR="00E137A0" w:rsidRPr="00356E77">
        <w:rPr>
          <w:rFonts w:cs="Arial"/>
        </w:rPr>
        <w:t>2020-21</w:t>
      </w:r>
      <w:r w:rsidR="00483803" w:rsidRPr="00356E77">
        <w:rPr>
          <w:rFonts w:cs="Arial"/>
        </w:rPr>
        <w:t xml:space="preserve"> to </w:t>
      </w:r>
      <w:r w:rsidR="00A54617" w:rsidRPr="00356E77">
        <w:rPr>
          <w:rFonts w:cstheme="majorBidi"/>
          <w:lang w:val="en-PH"/>
        </w:rPr>
        <w:t>2022-23</w:t>
      </w:r>
      <w:r w:rsidR="00483803" w:rsidRPr="00356E77">
        <w:rPr>
          <w:rFonts w:cs="Arial"/>
        </w:rPr>
        <w:t xml:space="preserve">. In </w:t>
      </w:r>
      <w:r w:rsidR="00A54617" w:rsidRPr="00356E77">
        <w:rPr>
          <w:rFonts w:cstheme="majorBidi"/>
          <w:lang w:val="en-PH"/>
        </w:rPr>
        <w:t>2022-23</w:t>
      </w:r>
      <w:r w:rsidR="00483803" w:rsidRPr="00356E77">
        <w:rPr>
          <w:rFonts w:cs="Arial"/>
        </w:rPr>
        <w:t xml:space="preserve">, the national average cost per admitted subacute and non-acute </w:t>
      </w:r>
      <w:r w:rsidR="00066198" w:rsidRPr="00356E77">
        <w:rPr>
          <w:rFonts w:cs="Arial"/>
        </w:rPr>
        <w:t xml:space="preserve">episode </w:t>
      </w:r>
      <w:r w:rsidR="00483803" w:rsidRPr="00356E77">
        <w:rPr>
          <w:rFonts w:cs="Arial"/>
        </w:rPr>
        <w:t xml:space="preserve">was </w:t>
      </w:r>
      <w:r w:rsidR="00066198" w:rsidRPr="00356E77">
        <w:rPr>
          <w:rFonts w:cs="Arial"/>
        </w:rPr>
        <w:t>$</w:t>
      </w:r>
      <w:r w:rsidR="002E0ECA" w:rsidRPr="00356E77">
        <w:rPr>
          <w:rFonts w:cs="Arial"/>
        </w:rPr>
        <w:t>23,</w:t>
      </w:r>
      <w:r w:rsidR="005F35F7" w:rsidRPr="00356E77">
        <w:rPr>
          <w:rFonts w:cs="Arial"/>
        </w:rPr>
        <w:t>356</w:t>
      </w:r>
      <w:r w:rsidR="00483803" w:rsidRPr="00356E77">
        <w:rPr>
          <w:rFonts w:cs="Arial"/>
        </w:rPr>
        <w:t xml:space="preserve">, </w:t>
      </w:r>
      <w:r w:rsidR="001E72BA" w:rsidRPr="00356E77">
        <w:rPr>
          <w:rFonts w:cs="Arial"/>
        </w:rPr>
        <w:t>a 9</w:t>
      </w:r>
      <w:r w:rsidR="00897090" w:rsidRPr="00356E77">
        <w:rPr>
          <w:rFonts w:cs="Arial"/>
        </w:rPr>
        <w:t>%</w:t>
      </w:r>
      <w:r w:rsidR="00483803" w:rsidRPr="00356E77">
        <w:rPr>
          <w:rFonts w:cs="Arial"/>
        </w:rPr>
        <w:t xml:space="preserve"> increase from the </w:t>
      </w:r>
      <w:r w:rsidR="00FC08C1" w:rsidRPr="00356E77">
        <w:rPr>
          <w:rFonts w:cs="Arial"/>
        </w:rPr>
        <w:t>2021-22</w:t>
      </w:r>
      <w:r w:rsidR="00483803" w:rsidRPr="00356E77">
        <w:rPr>
          <w:rFonts w:cs="Arial"/>
        </w:rPr>
        <w:t xml:space="preserve"> figure of </w:t>
      </w:r>
      <w:r w:rsidR="00995DEF" w:rsidRPr="00356E77">
        <w:rPr>
          <w:rFonts w:cs="Arial"/>
        </w:rPr>
        <w:t>$</w:t>
      </w:r>
      <w:r w:rsidR="002E0ECA" w:rsidRPr="00356E77">
        <w:rPr>
          <w:rFonts w:cs="Arial"/>
        </w:rPr>
        <w:t>21,402</w:t>
      </w:r>
      <w:r w:rsidR="00483803" w:rsidRPr="00356E77">
        <w:rPr>
          <w:rFonts w:cs="Arial"/>
        </w:rPr>
        <w:t xml:space="preserve">. In </w:t>
      </w:r>
      <w:r w:rsidR="00A54617" w:rsidRPr="00356E77">
        <w:rPr>
          <w:rFonts w:cstheme="majorBidi"/>
          <w:lang w:val="en-PH"/>
        </w:rPr>
        <w:t>2022</w:t>
      </w:r>
      <w:r w:rsidR="006B3C90">
        <w:rPr>
          <w:rFonts w:cstheme="majorBidi"/>
          <w:lang w:val="en-PH"/>
        </w:rPr>
        <w:noBreakHyphen/>
      </w:r>
      <w:r w:rsidR="00A54617" w:rsidRPr="00356E77">
        <w:rPr>
          <w:rFonts w:cstheme="majorBidi"/>
          <w:lang w:val="en-PH"/>
        </w:rPr>
        <w:t>23</w:t>
      </w:r>
      <w:r w:rsidR="00483803" w:rsidRPr="00356E77">
        <w:rPr>
          <w:rFonts w:cs="Arial"/>
        </w:rPr>
        <w:t xml:space="preserve">, the average cost per </w:t>
      </w:r>
      <w:r w:rsidR="00BB48EE" w:rsidRPr="00356E77">
        <w:rPr>
          <w:rFonts w:cs="Arial"/>
        </w:rPr>
        <w:t>episode</w:t>
      </w:r>
      <w:r w:rsidR="00483803" w:rsidRPr="00356E77">
        <w:rPr>
          <w:rFonts w:cs="Arial"/>
        </w:rPr>
        <w:t xml:space="preserve"> at the jurisdictional level ranged from</w:t>
      </w:r>
      <w:r w:rsidR="00BB48EE" w:rsidRPr="00356E77">
        <w:rPr>
          <w:rFonts w:cs="Arial"/>
        </w:rPr>
        <w:t xml:space="preserve"> $</w:t>
      </w:r>
      <w:r w:rsidR="001E72BA" w:rsidRPr="00356E77">
        <w:rPr>
          <w:rFonts w:cs="Arial"/>
        </w:rPr>
        <w:t>19,885</w:t>
      </w:r>
      <w:r w:rsidR="00BB48EE" w:rsidRPr="00356E77">
        <w:rPr>
          <w:rFonts w:cs="Arial"/>
        </w:rPr>
        <w:t xml:space="preserve"> (</w:t>
      </w:r>
      <w:r w:rsidR="001E72BA" w:rsidRPr="00356E77">
        <w:rPr>
          <w:rFonts w:cs="Arial"/>
        </w:rPr>
        <w:t>Queensland</w:t>
      </w:r>
      <w:r w:rsidR="00BB48EE" w:rsidRPr="00356E77">
        <w:rPr>
          <w:rFonts w:cs="Arial"/>
        </w:rPr>
        <w:t>) to $</w:t>
      </w:r>
      <w:r w:rsidR="002E0ECA" w:rsidRPr="00356E77">
        <w:rPr>
          <w:rFonts w:cs="Arial"/>
        </w:rPr>
        <w:t xml:space="preserve">60,459 </w:t>
      </w:r>
      <w:r w:rsidR="00BB48EE" w:rsidRPr="00356E77">
        <w:rPr>
          <w:rFonts w:cs="Arial"/>
        </w:rPr>
        <w:t>(NT)</w:t>
      </w:r>
      <w:r w:rsidR="00483803" w:rsidRPr="00356E77">
        <w:rPr>
          <w:rFonts w:cs="Arial"/>
        </w:rPr>
        <w:t>.</w:t>
      </w:r>
    </w:p>
    <w:p w14:paraId="7B1BDD9D" w14:textId="2081F058" w:rsidR="00E07B55" w:rsidRDefault="004A4194" w:rsidP="00296833">
      <w:pPr>
        <w:pStyle w:val="TableFigureheading"/>
        <w:rPr>
          <w:lang w:val="en-PH"/>
        </w:rPr>
      </w:pPr>
      <w:bookmarkStart w:id="179" w:name="_Ref185838257"/>
      <w:bookmarkStart w:id="180" w:name="_Toc151116347"/>
      <w:bookmarkStart w:id="181" w:name="_Toc187312107"/>
      <w:r>
        <w:rPr>
          <w:lang w:val="en-PH"/>
        </w:rPr>
        <w:t xml:space="preserve">Figure </w:t>
      </w:r>
      <w:r>
        <w:rPr>
          <w:lang w:val="en-PH"/>
        </w:rPr>
        <w:fldChar w:fldCharType="begin"/>
      </w:r>
      <w:r>
        <w:rPr>
          <w:lang w:val="en-PH"/>
        </w:rPr>
        <w:instrText xml:space="preserve"> SEQ Figure \* ARABIC </w:instrText>
      </w:r>
      <w:r>
        <w:rPr>
          <w:lang w:val="en-PH"/>
        </w:rPr>
        <w:fldChar w:fldCharType="separate"/>
      </w:r>
      <w:r w:rsidR="00031FD4">
        <w:rPr>
          <w:noProof/>
          <w:lang w:val="en-PH"/>
        </w:rPr>
        <w:t>11</w:t>
      </w:r>
      <w:r>
        <w:rPr>
          <w:lang w:val="en-PH"/>
        </w:rPr>
        <w:fldChar w:fldCharType="end"/>
      </w:r>
      <w:bookmarkEnd w:id="179"/>
      <w:r w:rsidR="00E07B55" w:rsidRPr="0093558C">
        <w:rPr>
          <w:lang w:val="en-PH"/>
        </w:rPr>
        <w:t xml:space="preserve">: </w:t>
      </w:r>
      <w:r w:rsidR="00071D2F">
        <w:rPr>
          <w:lang w:val="en-PH"/>
        </w:rPr>
        <w:t xml:space="preserve">Average cost </w:t>
      </w:r>
      <w:r w:rsidR="00B953AE">
        <w:rPr>
          <w:lang w:val="en-PH"/>
        </w:rPr>
        <w:t>per</w:t>
      </w:r>
      <w:r w:rsidR="00071D2F">
        <w:rPr>
          <w:lang w:val="en-PH"/>
        </w:rPr>
        <w:t xml:space="preserve"> </w:t>
      </w:r>
      <w:r w:rsidR="005E0A50">
        <w:rPr>
          <w:lang w:val="en-PH"/>
        </w:rPr>
        <w:t xml:space="preserve">AN-SNAP </w:t>
      </w:r>
      <w:r w:rsidR="0074536A" w:rsidRPr="0093558C">
        <w:rPr>
          <w:lang w:val="en-PH"/>
        </w:rPr>
        <w:t>episode</w:t>
      </w:r>
      <w:r w:rsidR="00B248E8">
        <w:rPr>
          <w:lang w:val="en-PH"/>
        </w:rPr>
        <w:t xml:space="preserve"> by jurisdiction</w:t>
      </w:r>
      <w:r w:rsidR="00E07B55" w:rsidRPr="0093558C">
        <w:rPr>
          <w:lang w:val="en-PH"/>
        </w:rPr>
        <w:t xml:space="preserve">, </w:t>
      </w:r>
      <w:r w:rsidR="00E137A0" w:rsidRPr="00D73FCC">
        <w:rPr>
          <w:lang w:val="en-PH"/>
        </w:rPr>
        <w:t>2020-21</w:t>
      </w:r>
      <w:r w:rsidR="00E07B55" w:rsidRPr="0093558C">
        <w:rPr>
          <w:lang w:val="en-PH"/>
        </w:rPr>
        <w:t xml:space="preserve"> to </w:t>
      </w:r>
      <w:r w:rsidR="00A54617" w:rsidRPr="008B2CD8">
        <w:rPr>
          <w:lang w:val="en-PH"/>
        </w:rPr>
        <w:t>202</w:t>
      </w:r>
      <w:r w:rsidR="00A54617">
        <w:rPr>
          <w:lang w:val="en-PH"/>
        </w:rPr>
        <w:t>2</w:t>
      </w:r>
      <w:r w:rsidR="00A54617" w:rsidRPr="008B2CD8">
        <w:rPr>
          <w:lang w:val="en-PH"/>
        </w:rPr>
        <w:t>-2</w:t>
      </w:r>
      <w:r w:rsidR="00A54617">
        <w:rPr>
          <w:lang w:val="en-PH"/>
        </w:rPr>
        <w:t>3</w:t>
      </w:r>
      <w:bookmarkEnd w:id="180"/>
      <w:bookmarkEnd w:id="181"/>
    </w:p>
    <w:p w14:paraId="39C1775E" w14:textId="000B8293" w:rsidR="00D40E89" w:rsidRDefault="00D40E89" w:rsidP="00A32EB6">
      <w:pPr>
        <w:rPr>
          <w:rFonts w:cstheme="majorBidi"/>
          <w:color w:val="104F99" w:themeColor="accent2"/>
          <w:lang w:val="en-PH"/>
        </w:rPr>
      </w:pPr>
      <w:r>
        <w:rPr>
          <w:noProof/>
        </w:rPr>
        <w:drawing>
          <wp:inline distT="0" distB="0" distL="0" distR="0" wp14:anchorId="549CF58D" wp14:editId="0867BFB9">
            <wp:extent cx="6188075" cy="2429510"/>
            <wp:effectExtent l="0" t="0" r="0" b="0"/>
            <wp:docPr id="279035886" name="Chart 1">
              <a:extLst xmlns:a="http://schemas.openxmlformats.org/drawingml/2006/main">
                <a:ext uri="{FF2B5EF4-FFF2-40B4-BE49-F238E27FC236}">
                  <a16:creationId xmlns:a16="http://schemas.microsoft.com/office/drawing/2014/main" id="{5B7C68CB-9152-48AC-B09D-A098858B7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6304F7B" w14:textId="65E3CB37" w:rsidR="00E23327" w:rsidRPr="00356E77" w:rsidRDefault="004D7046" w:rsidP="00296833">
      <w:pPr>
        <w:pStyle w:val="Cross-reference"/>
      </w:pPr>
      <w:r w:rsidRPr="001A724B">
        <w:fldChar w:fldCharType="begin"/>
      </w:r>
      <w:r w:rsidRPr="001A724B">
        <w:instrText xml:space="preserve"> REF _Ref185838313 \h </w:instrText>
      </w:r>
      <w:r w:rsidR="00312FFA" w:rsidRPr="001A724B">
        <w:instrText xml:space="preserve"> \* MERGEFORMAT </w:instrText>
      </w:r>
      <w:r w:rsidRPr="001A724B">
        <w:fldChar w:fldCharType="separate"/>
      </w:r>
      <w:r w:rsidR="00031FD4" w:rsidRPr="001A724B">
        <w:rPr>
          <w:lang w:val="en-PH"/>
        </w:rPr>
        <w:t xml:space="preserve">Figure </w:t>
      </w:r>
      <w:r w:rsidR="00031FD4" w:rsidRPr="001A724B">
        <w:rPr>
          <w:noProof/>
          <w:lang w:val="en-PH"/>
        </w:rPr>
        <w:t>12</w:t>
      </w:r>
      <w:r w:rsidRPr="001A724B">
        <w:fldChar w:fldCharType="end"/>
      </w:r>
      <w:r w:rsidR="00E23327" w:rsidRPr="001A724B">
        <w:t xml:space="preserve"> shows the average cost of admitted subacute phases reported in the cost data from </w:t>
      </w:r>
      <w:r w:rsidR="00E137A0" w:rsidRPr="001A724B">
        <w:t>2020</w:t>
      </w:r>
      <w:r w:rsidR="006B3C90" w:rsidRPr="001A724B">
        <w:noBreakHyphen/>
      </w:r>
      <w:r w:rsidR="00E137A0" w:rsidRPr="001A724B">
        <w:t>21</w:t>
      </w:r>
      <w:r w:rsidR="00E23327" w:rsidRPr="001A724B">
        <w:t xml:space="preserve"> to </w:t>
      </w:r>
      <w:r w:rsidR="00A54617" w:rsidRPr="001A724B">
        <w:rPr>
          <w:rFonts w:cstheme="majorBidi"/>
          <w:lang w:val="en-PH"/>
        </w:rPr>
        <w:t>2022-23</w:t>
      </w:r>
      <w:r w:rsidR="00E23327" w:rsidRPr="00356E77">
        <w:t xml:space="preserve">. In </w:t>
      </w:r>
      <w:r w:rsidR="00A54617" w:rsidRPr="00356E77">
        <w:rPr>
          <w:rFonts w:cstheme="majorBidi"/>
          <w:lang w:val="en-PH"/>
        </w:rPr>
        <w:t>2022-23</w:t>
      </w:r>
      <w:r w:rsidR="00E23327" w:rsidRPr="00356E77">
        <w:t>, the national average cost per admitted subacute phase was $</w:t>
      </w:r>
      <w:r w:rsidR="005F35F7" w:rsidRPr="00356E77">
        <w:t>7,456</w:t>
      </w:r>
      <w:r w:rsidR="00E23327" w:rsidRPr="00356E77">
        <w:t xml:space="preserve">, a </w:t>
      </w:r>
      <w:r w:rsidR="001E72BA" w:rsidRPr="00356E77">
        <w:t>3</w:t>
      </w:r>
      <w:r w:rsidR="00897090" w:rsidRPr="00356E77">
        <w:t>%</w:t>
      </w:r>
      <w:r w:rsidR="00E23327" w:rsidRPr="00356E77">
        <w:t xml:space="preserve"> </w:t>
      </w:r>
      <w:r w:rsidR="002E0ECA" w:rsidRPr="00356E77">
        <w:t>in</w:t>
      </w:r>
      <w:r w:rsidR="00E23327" w:rsidRPr="00356E77">
        <w:t xml:space="preserve">crease from the </w:t>
      </w:r>
      <w:r w:rsidR="00FC08C1" w:rsidRPr="00356E77">
        <w:t>2021-22</w:t>
      </w:r>
      <w:r w:rsidR="00E23327" w:rsidRPr="00356E77">
        <w:t xml:space="preserve"> figure of $</w:t>
      </w:r>
      <w:r w:rsidR="002E0ECA" w:rsidRPr="00356E77">
        <w:t>7,258</w:t>
      </w:r>
      <w:r w:rsidR="00E23327" w:rsidRPr="00356E77">
        <w:t xml:space="preserve">. In </w:t>
      </w:r>
      <w:r w:rsidR="00A54617" w:rsidRPr="00356E77">
        <w:rPr>
          <w:rFonts w:cstheme="majorBidi"/>
          <w:lang w:val="en-PH"/>
        </w:rPr>
        <w:t>2022-23</w:t>
      </w:r>
      <w:r w:rsidR="00E23327" w:rsidRPr="00356E77">
        <w:t xml:space="preserve">, the average cost per </w:t>
      </w:r>
      <w:r w:rsidR="00301519" w:rsidRPr="00356E77">
        <w:t>phase</w:t>
      </w:r>
      <w:r w:rsidR="00E23327" w:rsidRPr="00356E77">
        <w:t xml:space="preserve"> at the jurisdictional level ranged from $6,</w:t>
      </w:r>
      <w:r w:rsidR="001E72BA" w:rsidRPr="00356E77">
        <w:t xml:space="preserve">002 </w:t>
      </w:r>
      <w:r w:rsidR="00E23327" w:rsidRPr="00356E77">
        <w:t>(</w:t>
      </w:r>
      <w:r w:rsidR="001F5945">
        <w:t>NSW</w:t>
      </w:r>
      <w:r w:rsidR="00E23327" w:rsidRPr="00356E77">
        <w:t>) to $9,</w:t>
      </w:r>
      <w:r w:rsidR="002E0ECA" w:rsidRPr="00356E77">
        <w:t xml:space="preserve">694 </w:t>
      </w:r>
      <w:r w:rsidR="00E23327" w:rsidRPr="00356E77">
        <w:t xml:space="preserve">(NT). </w:t>
      </w:r>
      <w:r w:rsidR="00671BDC">
        <w:t>From 2021-22 to 2022-23, Tasmania’s average cost increased by 25%</w:t>
      </w:r>
      <w:r w:rsidR="006B30A5">
        <w:t xml:space="preserve"> due</w:t>
      </w:r>
      <w:r w:rsidR="00671BDC">
        <w:t xml:space="preserve"> to </w:t>
      </w:r>
      <w:r w:rsidR="006B30A5">
        <w:t>the</w:t>
      </w:r>
      <w:r w:rsidR="00B36378">
        <w:t xml:space="preserve"> </w:t>
      </w:r>
      <w:r w:rsidR="005D1479">
        <w:t xml:space="preserve">smaller </w:t>
      </w:r>
      <w:r w:rsidR="00671BDC">
        <w:t>sample siz</w:t>
      </w:r>
      <w:r w:rsidR="00B36378">
        <w:t>e</w:t>
      </w:r>
      <w:r w:rsidR="006B30A5">
        <w:t xml:space="preserve"> and </w:t>
      </w:r>
      <w:r w:rsidR="00990C65">
        <w:t>high-cost</w:t>
      </w:r>
      <w:r w:rsidR="006B30A5">
        <w:t xml:space="preserve"> outliers skewing the average cost</w:t>
      </w:r>
      <w:r w:rsidR="00671BDC">
        <w:t xml:space="preserve">. </w:t>
      </w:r>
      <w:r w:rsidR="00CB391B" w:rsidRPr="00A42FF4">
        <w:t xml:space="preserve">It should be noted that </w:t>
      </w:r>
      <w:r w:rsidR="00CB391B">
        <w:t>WA</w:t>
      </w:r>
      <w:r w:rsidR="00CB391B" w:rsidRPr="00A42FF4">
        <w:t xml:space="preserve"> </w:t>
      </w:r>
      <w:r w:rsidR="00CB391B">
        <w:t>and ACT have</w:t>
      </w:r>
      <w:r w:rsidR="00CB391B" w:rsidRPr="00A42FF4">
        <w:t xml:space="preserve"> not reported phase level cost data for the last 3 years.</w:t>
      </w:r>
    </w:p>
    <w:p w14:paraId="646E93A0" w14:textId="57AAA013" w:rsidR="00CE3B82" w:rsidRDefault="004D7046" w:rsidP="00296833">
      <w:pPr>
        <w:pStyle w:val="TableFigureheading"/>
        <w:rPr>
          <w:b/>
          <w:sz w:val="26"/>
          <w:szCs w:val="26"/>
        </w:rPr>
      </w:pPr>
      <w:bookmarkStart w:id="182" w:name="_Ref185838313"/>
      <w:bookmarkStart w:id="183" w:name="_Toc151116348"/>
      <w:bookmarkStart w:id="184" w:name="_Toc187312108"/>
      <w:r>
        <w:rPr>
          <w:lang w:val="en-PH"/>
        </w:rPr>
        <w:t xml:space="preserve">Figure </w:t>
      </w:r>
      <w:r>
        <w:rPr>
          <w:lang w:val="en-PH"/>
        </w:rPr>
        <w:fldChar w:fldCharType="begin"/>
      </w:r>
      <w:r>
        <w:rPr>
          <w:lang w:val="en-PH"/>
        </w:rPr>
        <w:instrText xml:space="preserve"> SEQ Figure \* ARABIC </w:instrText>
      </w:r>
      <w:r>
        <w:rPr>
          <w:lang w:val="en-PH"/>
        </w:rPr>
        <w:fldChar w:fldCharType="separate"/>
      </w:r>
      <w:r w:rsidR="00031FD4">
        <w:rPr>
          <w:noProof/>
          <w:lang w:val="en-PH"/>
        </w:rPr>
        <w:t>12</w:t>
      </w:r>
      <w:r>
        <w:rPr>
          <w:lang w:val="en-PH"/>
        </w:rPr>
        <w:fldChar w:fldCharType="end"/>
      </w:r>
      <w:bookmarkEnd w:id="182"/>
      <w:r w:rsidR="003F7C8C" w:rsidRPr="0093558C">
        <w:rPr>
          <w:lang w:val="en-PH"/>
        </w:rPr>
        <w:t xml:space="preserve">: </w:t>
      </w:r>
      <w:r w:rsidR="00855467">
        <w:rPr>
          <w:lang w:val="en-PH"/>
        </w:rPr>
        <w:t xml:space="preserve">Average cost </w:t>
      </w:r>
      <w:r w:rsidR="00B953AE">
        <w:rPr>
          <w:lang w:val="en-PH"/>
        </w:rPr>
        <w:t>per</w:t>
      </w:r>
      <w:r w:rsidR="00855467">
        <w:rPr>
          <w:lang w:val="en-PH"/>
        </w:rPr>
        <w:t xml:space="preserve"> </w:t>
      </w:r>
      <w:r w:rsidR="00A617A0">
        <w:rPr>
          <w:lang w:val="en-PH"/>
        </w:rPr>
        <w:t xml:space="preserve">AN-SNAP </w:t>
      </w:r>
      <w:r w:rsidR="00495D3E" w:rsidRPr="0093558C">
        <w:rPr>
          <w:lang w:val="en-PH"/>
        </w:rPr>
        <w:t xml:space="preserve">phase </w:t>
      </w:r>
      <w:r w:rsidR="00855467">
        <w:rPr>
          <w:lang w:val="en-PH"/>
        </w:rPr>
        <w:t>by jurisdiction</w:t>
      </w:r>
      <w:r w:rsidR="003F7C8C" w:rsidRPr="0093558C">
        <w:rPr>
          <w:lang w:val="en-PH"/>
        </w:rPr>
        <w:t xml:space="preserve">, </w:t>
      </w:r>
      <w:r w:rsidR="00E137A0" w:rsidRPr="00D73FCC">
        <w:rPr>
          <w:lang w:val="en-PH"/>
        </w:rPr>
        <w:t>2020-21</w:t>
      </w:r>
      <w:r w:rsidR="003F7C8C" w:rsidRPr="0093558C">
        <w:rPr>
          <w:lang w:val="en-PH"/>
        </w:rPr>
        <w:t xml:space="preserve"> to </w:t>
      </w:r>
      <w:r w:rsidR="003647E0" w:rsidRPr="008B2CD8">
        <w:rPr>
          <w:rFonts w:cstheme="majorBidi"/>
          <w:szCs w:val="22"/>
          <w:lang w:val="en-PH"/>
        </w:rPr>
        <w:t>202</w:t>
      </w:r>
      <w:r w:rsidR="003647E0">
        <w:rPr>
          <w:rFonts w:cstheme="majorBidi"/>
          <w:szCs w:val="22"/>
          <w:lang w:val="en-PH"/>
        </w:rPr>
        <w:t>2</w:t>
      </w:r>
      <w:r w:rsidR="003647E0" w:rsidRPr="008B2CD8">
        <w:rPr>
          <w:rFonts w:cstheme="majorBidi"/>
          <w:szCs w:val="22"/>
          <w:lang w:val="en-PH"/>
        </w:rPr>
        <w:t>-2</w:t>
      </w:r>
      <w:r w:rsidR="003647E0">
        <w:rPr>
          <w:rFonts w:cstheme="majorBidi"/>
          <w:szCs w:val="22"/>
          <w:lang w:val="en-PH"/>
        </w:rPr>
        <w:t>3</w:t>
      </w:r>
      <w:bookmarkEnd w:id="183"/>
      <w:bookmarkEnd w:id="184"/>
    </w:p>
    <w:p w14:paraId="4FA21AA3" w14:textId="68A77358" w:rsidR="00D40E89" w:rsidRPr="00CE058E" w:rsidRDefault="00D40E89" w:rsidP="0007638E">
      <w:pPr>
        <w:rPr>
          <w:b/>
          <w:sz w:val="26"/>
          <w:szCs w:val="26"/>
        </w:rPr>
      </w:pPr>
      <w:r>
        <w:rPr>
          <w:noProof/>
        </w:rPr>
        <w:drawing>
          <wp:inline distT="0" distB="0" distL="0" distR="0" wp14:anchorId="7B00E4F6" wp14:editId="2AC2A604">
            <wp:extent cx="6188075" cy="2429510"/>
            <wp:effectExtent l="0" t="0" r="0" b="0"/>
            <wp:docPr id="143090385" name="Chart 1">
              <a:extLst xmlns:a="http://schemas.openxmlformats.org/drawingml/2006/main">
                <a:ext uri="{FF2B5EF4-FFF2-40B4-BE49-F238E27FC236}">
                  <a16:creationId xmlns:a16="http://schemas.microsoft.com/office/drawing/2014/main" id="{DD65F08D-D3FB-46E4-A493-4092ABC66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E0357B" w14:textId="11AE1F89" w:rsidR="00E07B55" w:rsidRPr="000F21B4" w:rsidRDefault="00E07B55" w:rsidP="00E07B55">
      <w:pPr>
        <w:pStyle w:val="Heading3"/>
        <w:rPr>
          <w:sz w:val="28"/>
          <w:szCs w:val="28"/>
        </w:rPr>
      </w:pPr>
      <w:bookmarkStart w:id="185" w:name="_Toc151129704"/>
      <w:bookmarkStart w:id="186" w:name="_Toc158882555"/>
      <w:bookmarkStart w:id="187" w:name="_Toc158882616"/>
      <w:r w:rsidRPr="000F21B4">
        <w:rPr>
          <w:sz w:val="28"/>
          <w:szCs w:val="28"/>
        </w:rPr>
        <w:lastRenderedPageBreak/>
        <w:t xml:space="preserve">Admitted subacute and non-acute </w:t>
      </w:r>
      <w:r w:rsidR="00DE09F1">
        <w:rPr>
          <w:sz w:val="28"/>
          <w:szCs w:val="28"/>
        </w:rPr>
        <w:t>episode</w:t>
      </w:r>
      <w:r w:rsidR="00484D5F">
        <w:rPr>
          <w:sz w:val="28"/>
          <w:szCs w:val="28"/>
        </w:rPr>
        <w:t>s</w:t>
      </w:r>
      <w:r w:rsidR="00DE09F1">
        <w:rPr>
          <w:sz w:val="28"/>
          <w:szCs w:val="28"/>
        </w:rPr>
        <w:t xml:space="preserve"> </w:t>
      </w:r>
      <w:r w:rsidRPr="000F21B4">
        <w:rPr>
          <w:sz w:val="28"/>
          <w:szCs w:val="28"/>
        </w:rPr>
        <w:t>cost buckets</w:t>
      </w:r>
      <w:bookmarkEnd w:id="185"/>
      <w:bookmarkEnd w:id="186"/>
      <w:bookmarkEnd w:id="187"/>
    </w:p>
    <w:p w14:paraId="335029D2" w14:textId="6A59ED53" w:rsidR="00365736" w:rsidRPr="00356E77" w:rsidRDefault="00365736" w:rsidP="00296833">
      <w:pPr>
        <w:pStyle w:val="Cross-reference"/>
      </w:pPr>
      <w:r w:rsidRPr="00356E77">
        <w:t xml:space="preserve">In </w:t>
      </w:r>
      <w:r w:rsidR="00930B24" w:rsidRPr="00356E77">
        <w:rPr>
          <w:rFonts w:cstheme="majorBidi"/>
          <w:lang w:val="en-PH"/>
        </w:rPr>
        <w:t>2022-23</w:t>
      </w:r>
      <w:r w:rsidRPr="00356E77">
        <w:t xml:space="preserve">, the national average cost per admitted </w:t>
      </w:r>
      <w:r w:rsidR="00896782" w:rsidRPr="00356E77">
        <w:t>sub</w:t>
      </w:r>
      <w:r w:rsidRPr="00356E77">
        <w:t xml:space="preserve">acute </w:t>
      </w:r>
      <w:r w:rsidR="00896782" w:rsidRPr="00356E77">
        <w:t xml:space="preserve">and non-acute episode </w:t>
      </w:r>
      <w:r w:rsidRPr="00356E77">
        <w:t xml:space="preserve">was </w:t>
      </w:r>
      <w:r w:rsidR="00995DEF" w:rsidRPr="00356E77">
        <w:t>$23,</w:t>
      </w:r>
      <w:r w:rsidR="005F35F7" w:rsidRPr="00356E77">
        <w:t>356</w:t>
      </w:r>
      <w:r w:rsidR="00995DEF" w:rsidRPr="00356E77">
        <w:t xml:space="preserve">, a </w:t>
      </w:r>
      <w:r w:rsidR="00FB73BB">
        <w:t>9</w:t>
      </w:r>
      <w:r w:rsidR="00995DEF" w:rsidRPr="00356E77">
        <w:t>% increase from the 2021-22 figure of $21,402</w:t>
      </w:r>
      <w:r w:rsidRPr="00356E77">
        <w:t xml:space="preserve">. </w:t>
      </w:r>
      <w:r w:rsidR="005957CF">
        <w:fldChar w:fldCharType="begin"/>
      </w:r>
      <w:r w:rsidR="005957CF">
        <w:instrText xml:space="preserve"> REF _Ref185838551 \h </w:instrText>
      </w:r>
      <w:r w:rsidR="00312FFA">
        <w:instrText xml:space="preserve"> \* MERGEFORMAT </w:instrText>
      </w:r>
      <w:r w:rsidR="005957CF">
        <w:fldChar w:fldCharType="separate"/>
      </w:r>
      <w:r w:rsidR="00031FD4" w:rsidRPr="00303546">
        <w:rPr>
          <w:rFonts w:cstheme="majorBidi"/>
          <w:lang w:val="en-PH"/>
        </w:rPr>
        <w:t>Figure 13</w:t>
      </w:r>
      <w:r w:rsidR="005957CF">
        <w:fldChar w:fldCharType="end"/>
      </w:r>
      <w:r w:rsidR="00AA0720" w:rsidRPr="00356E77">
        <w:t xml:space="preserve"> shows the </w:t>
      </w:r>
      <w:r w:rsidR="008D3821">
        <w:t xml:space="preserve">top 10 cost buckets contributing to the </w:t>
      </w:r>
      <w:r w:rsidR="0003445F">
        <w:t xml:space="preserve">national </w:t>
      </w:r>
      <w:r w:rsidR="00AA0720" w:rsidRPr="00356E77">
        <w:t>admitted subacute and non</w:t>
      </w:r>
      <w:r w:rsidR="00AA0720">
        <w:noBreakHyphen/>
      </w:r>
      <w:r w:rsidR="00AA0720" w:rsidRPr="00356E77">
        <w:t xml:space="preserve">acute episode average cost </w:t>
      </w:r>
      <w:r w:rsidR="00AA0720">
        <w:t>for 2022-23,</w:t>
      </w:r>
      <w:r w:rsidR="00115302">
        <w:t xml:space="preserve"> in comparison </w:t>
      </w:r>
      <w:r w:rsidR="00A87EBC">
        <w:t xml:space="preserve">to </w:t>
      </w:r>
      <w:r w:rsidR="00AA0720" w:rsidRPr="00356E77">
        <w:t xml:space="preserve">2020-21 </w:t>
      </w:r>
      <w:r w:rsidR="00115302">
        <w:t>and 2021-22</w:t>
      </w:r>
      <w:r w:rsidR="00AA0720" w:rsidRPr="00356E77">
        <w:t xml:space="preserve">. </w:t>
      </w:r>
      <w:r w:rsidR="006F24F8">
        <w:t>Further detail on</w:t>
      </w:r>
      <w:r w:rsidR="00AA0720" w:rsidRPr="00A42FF4">
        <w:t xml:space="preserve"> all</w:t>
      </w:r>
      <w:r w:rsidR="00AA0720">
        <w:t xml:space="preserve"> </w:t>
      </w:r>
      <w:r w:rsidR="00AA0720" w:rsidRPr="00356E77">
        <w:t xml:space="preserve">admitted subacute and non-acute episode </w:t>
      </w:r>
      <w:r w:rsidR="00AA0720">
        <w:t xml:space="preserve">cost by </w:t>
      </w:r>
      <w:r w:rsidR="00AA0720" w:rsidRPr="00A42FF4">
        <w:t>cost bucket</w:t>
      </w:r>
      <w:r w:rsidR="00AA0720">
        <w:t xml:space="preserve"> is available </w:t>
      </w:r>
      <w:r w:rsidR="00AA0720" w:rsidRPr="00A42FF4">
        <w:t xml:space="preserve">in the </w:t>
      </w:r>
      <w:hyperlink r:id="rId39" w:history="1">
        <w:r w:rsidR="00AA0720" w:rsidRPr="00A42FF4">
          <w:rPr>
            <w:rStyle w:val="Hyperlink"/>
          </w:rPr>
          <w:t>Appendix Tables</w:t>
        </w:r>
      </w:hyperlink>
      <w:r w:rsidR="00AA0720" w:rsidRPr="00A42FF4">
        <w:t>.</w:t>
      </w:r>
    </w:p>
    <w:p w14:paraId="1FD0EAAB" w14:textId="686AE4F3" w:rsidR="00E07B55" w:rsidRDefault="005957CF" w:rsidP="00296833">
      <w:pPr>
        <w:pStyle w:val="TableFigureheading"/>
        <w:rPr>
          <w:lang w:val="en-PH"/>
        </w:rPr>
      </w:pPr>
      <w:bookmarkStart w:id="188" w:name="_Ref185838551"/>
      <w:bookmarkStart w:id="189" w:name="_Toc151116349"/>
      <w:bookmarkStart w:id="190" w:name="_Toc187312109"/>
      <w:bookmarkStart w:id="191" w:name="_Hlk184803490"/>
      <w:r w:rsidRPr="00296833">
        <w:rPr>
          <w:rStyle w:val="TableFigureheadingChar"/>
        </w:rPr>
        <w:t xml:space="preserve">Figure </w:t>
      </w:r>
      <w:r w:rsidRPr="00296833">
        <w:rPr>
          <w:rStyle w:val="TableFigureheadingChar"/>
        </w:rPr>
        <w:fldChar w:fldCharType="begin"/>
      </w:r>
      <w:r w:rsidRPr="00296833">
        <w:rPr>
          <w:rStyle w:val="TableFigureheadingChar"/>
        </w:rPr>
        <w:instrText xml:space="preserve"> SEQ Figure \* ARABIC </w:instrText>
      </w:r>
      <w:r w:rsidRPr="00296833">
        <w:rPr>
          <w:rStyle w:val="TableFigureheadingChar"/>
        </w:rPr>
        <w:fldChar w:fldCharType="separate"/>
      </w:r>
      <w:r w:rsidR="00031FD4">
        <w:rPr>
          <w:rStyle w:val="TableFigureheadingChar"/>
          <w:noProof/>
        </w:rPr>
        <w:t>13</w:t>
      </w:r>
      <w:r w:rsidRPr="00296833">
        <w:rPr>
          <w:rStyle w:val="TableFigureheadingChar"/>
        </w:rPr>
        <w:fldChar w:fldCharType="end"/>
      </w:r>
      <w:bookmarkEnd w:id="188"/>
      <w:r w:rsidR="00E07B55" w:rsidRPr="0093558C">
        <w:rPr>
          <w:lang w:val="en-PH"/>
        </w:rPr>
        <w:t xml:space="preserve">: </w:t>
      </w:r>
      <w:r w:rsidR="007B14D7">
        <w:rPr>
          <w:lang w:val="en-PH"/>
        </w:rPr>
        <w:t xml:space="preserve">Top 10 cost buckets </w:t>
      </w:r>
      <w:r w:rsidR="00F46E4F">
        <w:rPr>
          <w:lang w:val="en-PH"/>
        </w:rPr>
        <w:t>in</w:t>
      </w:r>
      <w:r w:rsidR="00E3357A">
        <w:rPr>
          <w:lang w:val="en-PH"/>
        </w:rPr>
        <w:t xml:space="preserve"> </w:t>
      </w:r>
      <w:r w:rsidR="00105913">
        <w:t>AN-SNAP</w:t>
      </w:r>
      <w:r w:rsidR="00E3357A">
        <w:rPr>
          <w:lang w:val="en-PH"/>
        </w:rPr>
        <w:t xml:space="preserve"> episode</w:t>
      </w:r>
      <w:r w:rsidR="00F46E4F">
        <w:rPr>
          <w:lang w:val="en-PH"/>
        </w:rPr>
        <w:t>s</w:t>
      </w:r>
      <w:r w:rsidR="00E07B55" w:rsidRPr="0093558C">
        <w:rPr>
          <w:lang w:val="en-PH"/>
        </w:rPr>
        <w:t xml:space="preserve">, </w:t>
      </w:r>
      <w:r w:rsidR="00E137A0" w:rsidRPr="00D73FCC">
        <w:rPr>
          <w:lang w:val="en-PH"/>
        </w:rPr>
        <w:t>2020-21</w:t>
      </w:r>
      <w:r w:rsidR="00EA49A4" w:rsidRPr="0093558C">
        <w:rPr>
          <w:lang w:val="en-PH"/>
        </w:rPr>
        <w:t xml:space="preserve"> to </w:t>
      </w:r>
      <w:r w:rsidR="00930B24" w:rsidRPr="008B2CD8">
        <w:rPr>
          <w:lang w:val="en-PH"/>
        </w:rPr>
        <w:t>202</w:t>
      </w:r>
      <w:r w:rsidR="00930B24">
        <w:rPr>
          <w:lang w:val="en-PH"/>
        </w:rPr>
        <w:t>2</w:t>
      </w:r>
      <w:r w:rsidR="00930B24" w:rsidRPr="008B2CD8">
        <w:rPr>
          <w:lang w:val="en-PH"/>
        </w:rPr>
        <w:t>-2</w:t>
      </w:r>
      <w:r w:rsidR="00930B24">
        <w:rPr>
          <w:lang w:val="en-PH"/>
        </w:rPr>
        <w:t>3</w:t>
      </w:r>
      <w:bookmarkEnd w:id="189"/>
      <w:bookmarkEnd w:id="190"/>
    </w:p>
    <w:bookmarkEnd w:id="191"/>
    <w:p w14:paraId="4223E127" w14:textId="39A51E34" w:rsidR="00386937" w:rsidRDefault="00702AC2" w:rsidP="00FA39AE">
      <w:pPr>
        <w:spacing w:line="276" w:lineRule="auto"/>
        <w:rPr>
          <w:lang w:val="en-PH"/>
        </w:rPr>
      </w:pPr>
      <w:r>
        <w:rPr>
          <w:noProof/>
        </w:rPr>
        <w:drawing>
          <wp:inline distT="0" distB="0" distL="0" distR="0" wp14:anchorId="119FD597" wp14:editId="4306AAD4">
            <wp:extent cx="6166175" cy="2268000"/>
            <wp:effectExtent l="0" t="0" r="0" b="0"/>
            <wp:docPr id="891523854" name="Chart 1">
              <a:extLst xmlns:a="http://schemas.openxmlformats.org/drawingml/2006/main">
                <a:ext uri="{FF2B5EF4-FFF2-40B4-BE49-F238E27FC236}">
                  <a16:creationId xmlns:a16="http://schemas.microsoft.com/office/drawing/2014/main" id="{90B426EC-0D59-4FB8-9FCB-63D6E2298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61E82E" w14:textId="4139247A" w:rsidR="00A62703" w:rsidRDefault="00072FA8" w:rsidP="00296833">
      <w:pPr>
        <w:pStyle w:val="Cross-reference"/>
        <w:rPr>
          <w:lang w:val="en-PH"/>
        </w:rPr>
      </w:pPr>
      <w:r w:rsidRPr="00072FA8">
        <w:fldChar w:fldCharType="begin"/>
      </w:r>
      <w:r w:rsidRPr="00072FA8">
        <w:instrText xml:space="preserve"> REF _Ref185838769 \h  \* MERGEFORMAT </w:instrText>
      </w:r>
      <w:r w:rsidRPr="00072FA8">
        <w:fldChar w:fldCharType="separate"/>
      </w:r>
      <w:r w:rsidRPr="00296833">
        <w:t>Table 13</w:t>
      </w:r>
      <w:r w:rsidRPr="00072FA8">
        <w:fldChar w:fldCharType="end"/>
      </w:r>
      <w:r w:rsidR="008D6DCB" w:rsidRPr="00A42FF4">
        <w:t xml:space="preserve"> shows the </w:t>
      </w:r>
      <w:r w:rsidR="008D6DCB">
        <w:t>average cost for 2021-22</w:t>
      </w:r>
      <w:r w:rsidR="00183417">
        <w:t xml:space="preserve"> and</w:t>
      </w:r>
      <w:r w:rsidR="008D6DCB">
        <w:t xml:space="preserve"> 2022-23, </w:t>
      </w:r>
      <w:r w:rsidR="00BD25FF">
        <w:t xml:space="preserve">distribution of </w:t>
      </w:r>
      <w:r w:rsidR="008D6DCB">
        <w:t>cost</w:t>
      </w:r>
      <w:r w:rsidR="00183417">
        <w:t xml:space="preserve"> </w:t>
      </w:r>
      <w:r w:rsidR="00BD25FF">
        <w:t xml:space="preserve">in </w:t>
      </w:r>
      <w:r w:rsidR="008D6DCB">
        <w:t>2022-23,</w:t>
      </w:r>
      <w:r w:rsidR="00BD25FF">
        <w:t xml:space="preserve"> percentage change and actual change by</w:t>
      </w:r>
      <w:r w:rsidR="008D6DCB">
        <w:t xml:space="preserve"> cost bucket</w:t>
      </w:r>
      <w:r w:rsidR="00BD25FF">
        <w:t>, from 2021-22 to 2022-23</w:t>
      </w:r>
      <w:r w:rsidR="00B40D39">
        <w:t>.</w:t>
      </w:r>
      <w:r w:rsidR="009536A5">
        <w:t xml:space="preserve"> N</w:t>
      </w:r>
      <w:r w:rsidR="009536A5" w:rsidRPr="00356E77">
        <w:t>ursing, clinical supplies, medical, allied health, and non</w:t>
      </w:r>
      <w:r w:rsidR="009536A5">
        <w:noBreakHyphen/>
      </w:r>
      <w:r w:rsidR="009536A5" w:rsidRPr="00356E77">
        <w:t>clinical supplies accounted for 7</w:t>
      </w:r>
      <w:r w:rsidR="009536A5">
        <w:t>6</w:t>
      </w:r>
      <w:r w:rsidR="009536A5" w:rsidRPr="00356E77">
        <w:t xml:space="preserve">% of the average cost per </w:t>
      </w:r>
      <w:r w:rsidR="009536A5">
        <w:t>admitted subacute and non-acute episode</w:t>
      </w:r>
      <w:r w:rsidR="009536A5" w:rsidRPr="00356E77">
        <w:t xml:space="preserve"> nationally.</w:t>
      </w:r>
      <w:r w:rsidR="009536A5">
        <w:rPr>
          <w:lang w:val="en-PH"/>
        </w:rPr>
        <w:t xml:space="preserve"> </w:t>
      </w:r>
      <w:r w:rsidR="008B473A">
        <w:t>The last column shows the proportion the actual change in each cost bucket contributes to the total actual change between 2021-22 and 2022-23</w:t>
      </w:r>
      <w:r w:rsidR="00B40D39">
        <w:t>.</w:t>
      </w:r>
      <w:r w:rsidR="008D6DCB">
        <w:t xml:space="preserve"> </w:t>
      </w:r>
      <w:r w:rsidR="002A1B94">
        <w:rPr>
          <w:lang w:val="en-PH"/>
        </w:rPr>
        <w:t>The</w:t>
      </w:r>
      <w:r w:rsidR="00995DEF" w:rsidRPr="00356E77">
        <w:t xml:space="preserve"> nursing, on-costs, </w:t>
      </w:r>
      <w:r w:rsidR="0078477E" w:rsidRPr="00356E77">
        <w:t>and depreciation</w:t>
      </w:r>
      <w:r w:rsidR="00995DEF" w:rsidRPr="00356E77">
        <w:t xml:space="preserve"> cost buckets accounted for </w:t>
      </w:r>
      <w:r w:rsidR="0078477E" w:rsidRPr="00356E77">
        <w:t>54</w:t>
      </w:r>
      <w:r w:rsidR="00995DEF" w:rsidRPr="00356E77">
        <w:t xml:space="preserve">% of the increase in the average cost per </w:t>
      </w:r>
      <w:r w:rsidR="00B45D54">
        <w:t xml:space="preserve">admitted subacute and non-acute </w:t>
      </w:r>
      <w:r w:rsidR="00995DEF" w:rsidRPr="00356E77">
        <w:t>episode from 2021</w:t>
      </w:r>
      <w:r w:rsidR="00EA3A18">
        <w:noBreakHyphen/>
      </w:r>
      <w:r w:rsidR="00995DEF" w:rsidRPr="00356E77">
        <w:t xml:space="preserve">22 to </w:t>
      </w:r>
      <w:r w:rsidR="00995DEF" w:rsidRPr="00356E77">
        <w:rPr>
          <w:rFonts w:cstheme="majorBidi"/>
          <w:lang w:val="en-PH"/>
        </w:rPr>
        <w:t>2022</w:t>
      </w:r>
      <w:r w:rsidR="0078477E" w:rsidRPr="00356E77">
        <w:rPr>
          <w:rFonts w:cstheme="majorBidi"/>
          <w:lang w:val="en-PH"/>
        </w:rPr>
        <w:noBreakHyphen/>
      </w:r>
      <w:r w:rsidR="00995DEF" w:rsidRPr="00356E77">
        <w:rPr>
          <w:rFonts w:cstheme="majorBidi"/>
          <w:lang w:val="en-PH"/>
        </w:rPr>
        <w:t>23</w:t>
      </w:r>
      <w:r w:rsidR="00995DEF" w:rsidRPr="00356E77">
        <w:t>.</w:t>
      </w:r>
      <w:r w:rsidR="002A1B94">
        <w:t xml:space="preserve"> </w:t>
      </w:r>
    </w:p>
    <w:p w14:paraId="62B42797" w14:textId="4D322CEE" w:rsidR="00895491" w:rsidRDefault="00E04435" w:rsidP="00296833">
      <w:pPr>
        <w:pStyle w:val="TableFigureheading"/>
        <w:rPr>
          <w:noProof/>
        </w:rPr>
      </w:pPr>
      <w:bookmarkStart w:id="192" w:name="_Ref185838769"/>
      <w:bookmarkStart w:id="193" w:name="_Toc185852220"/>
      <w:bookmarkStart w:id="194" w:name="_Toc187312139"/>
      <w:bookmarkStart w:id="195" w:name="_Hlk184803505"/>
      <w:r>
        <w:rPr>
          <w:lang w:val="en-PH"/>
        </w:rPr>
        <w:t>Table</w:t>
      </w:r>
      <w:r w:rsidR="00970398" w:rsidRPr="0093558C">
        <w:rPr>
          <w:lang w:val="en-PH"/>
        </w:rPr>
        <w:t xml:space="preserve"> </w:t>
      </w:r>
      <w:r>
        <w:rPr>
          <w:lang w:val="en-PH"/>
        </w:rPr>
        <w:fldChar w:fldCharType="begin"/>
      </w:r>
      <w:r>
        <w:rPr>
          <w:lang w:val="en-PH"/>
        </w:rPr>
        <w:instrText xml:space="preserve"> SEQ Table \* ARABIC </w:instrText>
      </w:r>
      <w:r>
        <w:rPr>
          <w:lang w:val="en-PH"/>
        </w:rPr>
        <w:fldChar w:fldCharType="separate"/>
      </w:r>
      <w:r w:rsidR="00072FA8">
        <w:rPr>
          <w:noProof/>
          <w:lang w:val="en-PH"/>
        </w:rPr>
        <w:t>13</w:t>
      </w:r>
      <w:r>
        <w:rPr>
          <w:lang w:val="en-PH"/>
        </w:rPr>
        <w:fldChar w:fldCharType="end"/>
      </w:r>
      <w:bookmarkEnd w:id="192"/>
      <w:r w:rsidR="00970398" w:rsidRPr="0093558C">
        <w:rPr>
          <w:lang w:val="en-PH"/>
        </w:rPr>
        <w:t xml:space="preserve">: </w:t>
      </w:r>
      <w:r w:rsidR="004449BB">
        <w:rPr>
          <w:lang w:val="en-PH"/>
        </w:rPr>
        <w:t>National</w:t>
      </w:r>
      <w:r w:rsidR="002C7E65">
        <w:rPr>
          <w:lang w:val="en-PH"/>
        </w:rPr>
        <w:t xml:space="preserve"> average cost per</w:t>
      </w:r>
      <w:r w:rsidR="004449BB">
        <w:rPr>
          <w:lang w:val="en-PH"/>
        </w:rPr>
        <w:t xml:space="preserve"> </w:t>
      </w:r>
      <w:r w:rsidR="001E4642">
        <w:rPr>
          <w:lang w:val="en-PH"/>
        </w:rPr>
        <w:t xml:space="preserve">AN-SNAP </w:t>
      </w:r>
      <w:r w:rsidR="00EA3A18">
        <w:rPr>
          <w:lang w:val="en-PH"/>
        </w:rPr>
        <w:t xml:space="preserve">episode </w:t>
      </w:r>
      <w:r w:rsidR="004449BB">
        <w:rPr>
          <w:lang w:val="en-PH"/>
        </w:rPr>
        <w:t xml:space="preserve">by </w:t>
      </w:r>
      <w:r w:rsidR="008D6DCB">
        <w:rPr>
          <w:lang w:val="en-PH"/>
        </w:rPr>
        <w:t>cost bucket</w:t>
      </w:r>
      <w:r w:rsidR="008D6DCB" w:rsidRPr="008D6DCB">
        <w:rPr>
          <w:lang w:val="en-PH"/>
        </w:rPr>
        <w:t>, 2022-23</w:t>
      </w:r>
      <w:bookmarkEnd w:id="193"/>
      <w:bookmarkEnd w:id="194"/>
    </w:p>
    <w:bookmarkEnd w:id="195"/>
    <w:p w14:paraId="0CC10236" w14:textId="4B110386" w:rsidR="0017023A" w:rsidRPr="00C4758E" w:rsidRDefault="00EC1063" w:rsidP="00A32EB6">
      <w:pPr>
        <w:rPr>
          <w:rFonts w:cstheme="majorBidi"/>
          <w:color w:val="104F99" w:themeColor="accent2"/>
          <w:lang w:val="en-PH"/>
        </w:rPr>
      </w:pPr>
      <w:r>
        <w:rPr>
          <w:noProof/>
        </w:rPr>
        <w:drawing>
          <wp:inline distT="0" distB="0" distL="0" distR="0" wp14:anchorId="2C2BCBB3" wp14:editId="66F9BE7D">
            <wp:extent cx="6188710" cy="3250565"/>
            <wp:effectExtent l="0" t="0" r="2540" b="6985"/>
            <wp:docPr id="127396696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66963" name="Picture 1" descr="A screenshot of a graph&#10;&#10;Description automatically generated"/>
                    <pic:cNvPicPr/>
                  </pic:nvPicPr>
                  <pic:blipFill>
                    <a:blip r:embed="rId41"/>
                    <a:stretch>
                      <a:fillRect/>
                    </a:stretch>
                  </pic:blipFill>
                  <pic:spPr>
                    <a:xfrm>
                      <a:off x="0" y="0"/>
                      <a:ext cx="6188710" cy="3250565"/>
                    </a:xfrm>
                    <a:prstGeom prst="rect">
                      <a:avLst/>
                    </a:prstGeom>
                  </pic:spPr>
                </pic:pic>
              </a:graphicData>
            </a:graphic>
          </wp:inline>
        </w:drawing>
      </w:r>
    </w:p>
    <w:p w14:paraId="1969610F" w14:textId="6CD6D833" w:rsidR="00DE09F1" w:rsidRPr="00223677" w:rsidRDefault="00DE09F1" w:rsidP="00223677">
      <w:pPr>
        <w:pStyle w:val="Heading3"/>
        <w:rPr>
          <w:b w:val="0"/>
          <w:sz w:val="28"/>
          <w:szCs w:val="28"/>
        </w:rPr>
      </w:pPr>
      <w:r w:rsidRPr="000F21B4">
        <w:rPr>
          <w:sz w:val="28"/>
          <w:szCs w:val="28"/>
        </w:rPr>
        <w:lastRenderedPageBreak/>
        <w:t xml:space="preserve">Admitted subacute </w:t>
      </w:r>
      <w:r>
        <w:rPr>
          <w:sz w:val="28"/>
          <w:szCs w:val="28"/>
        </w:rPr>
        <w:t>phase</w:t>
      </w:r>
      <w:r w:rsidR="00484D5F">
        <w:rPr>
          <w:sz w:val="28"/>
          <w:szCs w:val="28"/>
        </w:rPr>
        <w:t>s</w:t>
      </w:r>
      <w:r>
        <w:rPr>
          <w:sz w:val="28"/>
          <w:szCs w:val="28"/>
        </w:rPr>
        <w:t xml:space="preserve"> </w:t>
      </w:r>
      <w:r w:rsidRPr="000F21B4">
        <w:rPr>
          <w:sz w:val="28"/>
          <w:szCs w:val="28"/>
        </w:rPr>
        <w:t>cost buckets</w:t>
      </w:r>
    </w:p>
    <w:p w14:paraId="77348BD5" w14:textId="6C2F74E9" w:rsidR="007D1B90" w:rsidRPr="00CE058E" w:rsidRDefault="00F44221" w:rsidP="00BC4620">
      <w:pPr>
        <w:spacing w:line="276" w:lineRule="auto"/>
        <w:rPr>
          <w:rFonts w:cs="Arial"/>
          <w:color w:val="auto"/>
        </w:rPr>
      </w:pPr>
      <w:r>
        <w:rPr>
          <w:rFonts w:cs="Arial"/>
        </w:rPr>
        <w:fldChar w:fldCharType="begin"/>
      </w:r>
      <w:r>
        <w:rPr>
          <w:rFonts w:cs="Arial"/>
        </w:rPr>
        <w:instrText xml:space="preserve"> REF _Ref185840303 \h </w:instrText>
      </w:r>
      <w:r>
        <w:rPr>
          <w:rFonts w:cs="Arial"/>
        </w:rPr>
      </w:r>
      <w:r>
        <w:rPr>
          <w:rFonts w:cs="Arial"/>
        </w:rPr>
        <w:fldChar w:fldCharType="separate"/>
      </w:r>
      <w:r w:rsidR="00A9792C">
        <w:rPr>
          <w:lang w:val="en-PH"/>
        </w:rPr>
        <w:t xml:space="preserve">Figure </w:t>
      </w:r>
      <w:r w:rsidR="00A9792C">
        <w:rPr>
          <w:noProof/>
          <w:lang w:val="en-PH"/>
        </w:rPr>
        <w:t>14</w:t>
      </w:r>
      <w:r>
        <w:rPr>
          <w:rFonts w:cs="Arial"/>
        </w:rPr>
        <w:fldChar w:fldCharType="end"/>
      </w:r>
      <w:r w:rsidR="007D1B90" w:rsidRPr="00530E79">
        <w:rPr>
          <w:rFonts w:cs="Arial"/>
        </w:rPr>
        <w:t xml:space="preserve"> shows the </w:t>
      </w:r>
      <w:r w:rsidR="00FB5AFE">
        <w:rPr>
          <w:rFonts w:cs="Arial"/>
        </w:rPr>
        <w:t>AN-SNAP</w:t>
      </w:r>
      <w:r w:rsidR="007D1B90" w:rsidRPr="00530E79">
        <w:rPr>
          <w:rFonts w:cs="Arial"/>
        </w:rPr>
        <w:t xml:space="preserve"> </w:t>
      </w:r>
      <w:r w:rsidR="00301519" w:rsidRPr="00530E79">
        <w:rPr>
          <w:rFonts w:cs="Arial"/>
        </w:rPr>
        <w:t>phase</w:t>
      </w:r>
      <w:r w:rsidR="00FB5AFE">
        <w:rPr>
          <w:rFonts w:cs="Arial"/>
        </w:rPr>
        <w:t>s</w:t>
      </w:r>
      <w:r w:rsidR="007D1B90" w:rsidRPr="00530E79">
        <w:rPr>
          <w:rFonts w:cs="Arial"/>
        </w:rPr>
        <w:t xml:space="preserve"> average cost </w:t>
      </w:r>
      <w:r w:rsidR="000A01C6" w:rsidRPr="00530E79">
        <w:rPr>
          <w:rFonts w:cs="Arial"/>
        </w:rPr>
        <w:t xml:space="preserve">of the top 10 </w:t>
      </w:r>
      <w:r w:rsidR="007D1B90" w:rsidRPr="00530E79">
        <w:rPr>
          <w:rFonts w:cs="Arial"/>
        </w:rPr>
        <w:t>cost bucket</w:t>
      </w:r>
      <w:r w:rsidR="000A01C6" w:rsidRPr="00530E79">
        <w:rPr>
          <w:rFonts w:cs="Arial"/>
        </w:rPr>
        <w:t>s</w:t>
      </w:r>
      <w:r w:rsidR="007D1B90" w:rsidRPr="00530E79">
        <w:rPr>
          <w:rFonts w:cs="Arial"/>
        </w:rPr>
        <w:t xml:space="preserve"> </w:t>
      </w:r>
      <w:r w:rsidR="00F5467A" w:rsidRPr="00530E79">
        <w:rPr>
          <w:rFonts w:cs="Arial"/>
        </w:rPr>
        <w:t>of 2022</w:t>
      </w:r>
      <w:r w:rsidR="00F5467A" w:rsidRPr="00530E79">
        <w:rPr>
          <w:rFonts w:cs="Arial"/>
        </w:rPr>
        <w:noBreakHyphen/>
        <w:t xml:space="preserve">23 </w:t>
      </w:r>
      <w:r w:rsidR="007D1B90" w:rsidRPr="00530E79">
        <w:rPr>
          <w:rFonts w:cs="Arial"/>
        </w:rPr>
        <w:t xml:space="preserve">reported in the cost data from </w:t>
      </w:r>
      <w:r w:rsidR="00E137A0" w:rsidRPr="00530E79">
        <w:rPr>
          <w:rFonts w:cs="Arial"/>
        </w:rPr>
        <w:t>2020-21</w:t>
      </w:r>
      <w:r w:rsidR="007D1B90" w:rsidRPr="00530E79">
        <w:rPr>
          <w:rFonts w:cs="Arial"/>
        </w:rPr>
        <w:t xml:space="preserve"> to </w:t>
      </w:r>
      <w:r w:rsidR="00930B24" w:rsidRPr="00530E79">
        <w:rPr>
          <w:rFonts w:cstheme="majorBidi"/>
          <w:lang w:val="en-PH"/>
        </w:rPr>
        <w:t>2022-23</w:t>
      </w:r>
      <w:r w:rsidR="007D1B90" w:rsidRPr="00530E79">
        <w:rPr>
          <w:rFonts w:cs="Arial"/>
        </w:rPr>
        <w:t xml:space="preserve">. In </w:t>
      </w:r>
      <w:r w:rsidR="00930B24" w:rsidRPr="00530E79">
        <w:rPr>
          <w:rFonts w:cstheme="majorBidi"/>
          <w:lang w:val="en-PH"/>
        </w:rPr>
        <w:t>2022-23</w:t>
      </w:r>
      <w:r w:rsidR="007D1B90" w:rsidRPr="00530E79">
        <w:rPr>
          <w:rFonts w:cs="Arial"/>
        </w:rPr>
        <w:t xml:space="preserve">, the national average cost per </w:t>
      </w:r>
      <w:r w:rsidR="00FB5AFE">
        <w:rPr>
          <w:rFonts w:cs="Arial"/>
        </w:rPr>
        <w:t>AN-SNAP</w:t>
      </w:r>
      <w:r w:rsidR="00301519" w:rsidRPr="00530E79">
        <w:rPr>
          <w:rFonts w:cs="Arial"/>
        </w:rPr>
        <w:t xml:space="preserve"> </w:t>
      </w:r>
      <w:r w:rsidR="007D1B90" w:rsidRPr="00530E79">
        <w:rPr>
          <w:rFonts w:cs="Arial"/>
        </w:rPr>
        <w:t xml:space="preserve">phase </w:t>
      </w:r>
      <w:r w:rsidR="00995DEF" w:rsidRPr="00530E79">
        <w:rPr>
          <w:rFonts w:cs="Arial"/>
        </w:rPr>
        <w:t>was $</w:t>
      </w:r>
      <w:r w:rsidR="0078477E" w:rsidRPr="00530E79">
        <w:rPr>
          <w:rFonts w:cs="Arial"/>
        </w:rPr>
        <w:t>7,456</w:t>
      </w:r>
      <w:r w:rsidR="00995DEF" w:rsidRPr="00530E79">
        <w:rPr>
          <w:rFonts w:cs="Arial"/>
        </w:rPr>
        <w:t xml:space="preserve">, a </w:t>
      </w:r>
      <w:r w:rsidR="0078477E" w:rsidRPr="00530E79">
        <w:rPr>
          <w:rFonts w:cs="Arial"/>
        </w:rPr>
        <w:t>3</w:t>
      </w:r>
      <w:r w:rsidR="00995DEF" w:rsidRPr="00530E79">
        <w:rPr>
          <w:rFonts w:cs="Arial"/>
        </w:rPr>
        <w:t>% increase from the 2021-22 figure of $7,258</w:t>
      </w:r>
      <w:r w:rsidR="007D1B90" w:rsidRPr="00530E79">
        <w:rPr>
          <w:rFonts w:cs="Arial"/>
        </w:rPr>
        <w:t xml:space="preserve">. </w:t>
      </w:r>
      <w:r w:rsidR="006F24F8">
        <w:rPr>
          <w:rFonts w:cs="Arial"/>
        </w:rPr>
        <w:t>Further detail on</w:t>
      </w:r>
      <w:r w:rsidR="00AA0720" w:rsidRPr="006D025F">
        <w:rPr>
          <w:rFonts w:cs="Arial"/>
        </w:rPr>
        <w:t xml:space="preserve"> all admitted subacute and non-acute phase cost by cost bucket is available in the </w:t>
      </w:r>
      <w:hyperlink r:id="rId42" w:history="1">
        <w:r w:rsidR="00AA0720" w:rsidRPr="00A42FF4">
          <w:rPr>
            <w:rStyle w:val="Hyperlink"/>
          </w:rPr>
          <w:t>Appendix Tables</w:t>
        </w:r>
      </w:hyperlink>
      <w:r w:rsidR="00AA0720" w:rsidRPr="00A42FF4">
        <w:rPr>
          <w:rFonts w:cs="Arial"/>
        </w:rPr>
        <w:t>.</w:t>
      </w:r>
    </w:p>
    <w:p w14:paraId="30BF97BF" w14:textId="6F5A6C47" w:rsidR="00970398" w:rsidRDefault="00F44221" w:rsidP="00296833">
      <w:pPr>
        <w:pStyle w:val="TableFigureheading"/>
        <w:rPr>
          <w:lang w:val="en-PH"/>
        </w:rPr>
      </w:pPr>
      <w:bookmarkStart w:id="196" w:name="_Ref185840303"/>
      <w:bookmarkStart w:id="197" w:name="_Toc151116350"/>
      <w:bookmarkStart w:id="198" w:name="_Toc187312110"/>
      <w:r>
        <w:rPr>
          <w:lang w:val="en-PH"/>
        </w:rPr>
        <w:t xml:space="preserve">Figure </w:t>
      </w:r>
      <w:r>
        <w:rPr>
          <w:lang w:val="en-PH"/>
        </w:rPr>
        <w:fldChar w:fldCharType="begin"/>
      </w:r>
      <w:r>
        <w:rPr>
          <w:lang w:val="en-PH"/>
        </w:rPr>
        <w:instrText xml:space="preserve"> SEQ Figure \* ARABIC </w:instrText>
      </w:r>
      <w:r>
        <w:rPr>
          <w:lang w:val="en-PH"/>
        </w:rPr>
        <w:fldChar w:fldCharType="separate"/>
      </w:r>
      <w:r w:rsidR="00A9792C">
        <w:rPr>
          <w:noProof/>
          <w:lang w:val="en-PH"/>
        </w:rPr>
        <w:t>14</w:t>
      </w:r>
      <w:r>
        <w:rPr>
          <w:lang w:val="en-PH"/>
        </w:rPr>
        <w:fldChar w:fldCharType="end"/>
      </w:r>
      <w:bookmarkEnd w:id="196"/>
      <w:r w:rsidR="00E07B55" w:rsidRPr="0093558C">
        <w:rPr>
          <w:lang w:val="en-PH"/>
        </w:rPr>
        <w:t xml:space="preserve">: </w:t>
      </w:r>
      <w:r w:rsidR="006C1223">
        <w:rPr>
          <w:lang w:val="en-PH"/>
        </w:rPr>
        <w:t xml:space="preserve">Top </w:t>
      </w:r>
      <w:r w:rsidR="00E853E0">
        <w:rPr>
          <w:lang w:val="en-PH"/>
        </w:rPr>
        <w:t>1</w:t>
      </w:r>
      <w:r w:rsidR="006C1223">
        <w:rPr>
          <w:lang w:val="en-PH"/>
        </w:rPr>
        <w:t xml:space="preserve">0 cost </w:t>
      </w:r>
      <w:r w:rsidR="006C1223" w:rsidRPr="00296833">
        <w:t>buckets</w:t>
      </w:r>
      <w:r w:rsidR="006C1223">
        <w:rPr>
          <w:lang w:val="en-PH"/>
        </w:rPr>
        <w:t xml:space="preserve"> in </w:t>
      </w:r>
      <w:r w:rsidR="001E4642">
        <w:rPr>
          <w:lang w:val="en-PH"/>
        </w:rPr>
        <w:t>AN-SNAP</w:t>
      </w:r>
      <w:r w:rsidR="00620760">
        <w:rPr>
          <w:lang w:val="en-PH"/>
        </w:rPr>
        <w:t xml:space="preserve"> </w:t>
      </w:r>
      <w:r w:rsidR="00620760" w:rsidRPr="0093558C">
        <w:rPr>
          <w:lang w:val="en-PH"/>
        </w:rPr>
        <w:t>phase</w:t>
      </w:r>
      <w:r w:rsidR="00F46E4F">
        <w:rPr>
          <w:lang w:val="en-PH"/>
        </w:rPr>
        <w:t>s</w:t>
      </w:r>
      <w:r w:rsidR="00E07B55" w:rsidRPr="0093558C">
        <w:rPr>
          <w:lang w:val="en-PH"/>
        </w:rPr>
        <w:t xml:space="preserve">, </w:t>
      </w:r>
      <w:r w:rsidR="00E137A0" w:rsidRPr="00D73FCC">
        <w:rPr>
          <w:lang w:val="en-PH"/>
        </w:rPr>
        <w:t>2020-21</w:t>
      </w:r>
      <w:r w:rsidR="00941C4F" w:rsidRPr="0093558C">
        <w:rPr>
          <w:lang w:val="en-PH"/>
        </w:rPr>
        <w:t xml:space="preserve"> to </w:t>
      </w:r>
      <w:r w:rsidR="00930B24" w:rsidRPr="008B2CD8">
        <w:rPr>
          <w:lang w:val="en-PH"/>
        </w:rPr>
        <w:t>202</w:t>
      </w:r>
      <w:r w:rsidR="00930B24">
        <w:rPr>
          <w:lang w:val="en-PH"/>
        </w:rPr>
        <w:t>2</w:t>
      </w:r>
      <w:r w:rsidR="00930B24" w:rsidRPr="008B2CD8">
        <w:rPr>
          <w:lang w:val="en-PH"/>
        </w:rPr>
        <w:t>-2</w:t>
      </w:r>
      <w:r w:rsidR="00930B24">
        <w:rPr>
          <w:lang w:val="en-PH"/>
        </w:rPr>
        <w:t>3</w:t>
      </w:r>
      <w:bookmarkEnd w:id="197"/>
      <w:bookmarkEnd w:id="198"/>
    </w:p>
    <w:p w14:paraId="538AC47B" w14:textId="55802E1B" w:rsidR="001C317D" w:rsidRDefault="001C317D" w:rsidP="00995DEF">
      <w:pPr>
        <w:rPr>
          <w:lang w:val="en-PH"/>
        </w:rPr>
      </w:pPr>
      <w:r>
        <w:rPr>
          <w:noProof/>
        </w:rPr>
        <w:drawing>
          <wp:inline distT="0" distB="0" distL="0" distR="0" wp14:anchorId="0644A829" wp14:editId="717B1DE7">
            <wp:extent cx="6185225" cy="2340000"/>
            <wp:effectExtent l="0" t="0" r="0" b="0"/>
            <wp:docPr id="520274039" name="Chart 1">
              <a:extLst xmlns:a="http://schemas.openxmlformats.org/drawingml/2006/main">
                <a:ext uri="{FF2B5EF4-FFF2-40B4-BE49-F238E27FC236}">
                  <a16:creationId xmlns:a16="http://schemas.microsoft.com/office/drawing/2014/main" id="{FDCBC694-477B-4599-8B3B-5632C23E6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5602C29" w14:textId="77A969D9" w:rsidR="00995DEF" w:rsidRPr="00530E79" w:rsidRDefault="00F5422B" w:rsidP="00530E79">
      <w:pPr>
        <w:spacing w:line="276" w:lineRule="auto"/>
        <w:rPr>
          <w:rFonts w:cstheme="majorBidi"/>
          <w:lang w:val="en-PH"/>
        </w:rPr>
      </w:pPr>
      <w:r w:rsidRPr="00296833">
        <w:rPr>
          <w:rStyle w:val="Cross-referenceChar"/>
        </w:rPr>
        <w:fldChar w:fldCharType="begin"/>
      </w:r>
      <w:r w:rsidRPr="00296833">
        <w:rPr>
          <w:rStyle w:val="Cross-referenceChar"/>
        </w:rPr>
        <w:instrText xml:space="preserve"> REF _Ref185840394 \h </w:instrText>
      </w:r>
      <w:r>
        <w:rPr>
          <w:rStyle w:val="Cross-referenceChar"/>
        </w:rPr>
        <w:instrText xml:space="preserve"> \* MERGEFORMAT </w:instrText>
      </w:r>
      <w:r w:rsidRPr="00296833">
        <w:rPr>
          <w:rStyle w:val="Cross-referenceChar"/>
        </w:rPr>
      </w:r>
      <w:r w:rsidRPr="00296833">
        <w:rPr>
          <w:rStyle w:val="Cross-referenceChar"/>
        </w:rPr>
        <w:fldChar w:fldCharType="separate"/>
      </w:r>
      <w:r w:rsidRPr="00296833">
        <w:rPr>
          <w:rStyle w:val="Cross-referenceChar"/>
        </w:rPr>
        <w:t>Table 14</w:t>
      </w:r>
      <w:r w:rsidRPr="00296833">
        <w:rPr>
          <w:rStyle w:val="Cross-referenceChar"/>
        </w:rPr>
        <w:fldChar w:fldCharType="end"/>
      </w:r>
      <w:r w:rsidR="0085419C" w:rsidRPr="00296833">
        <w:rPr>
          <w:rStyle w:val="Cross-referenceChar"/>
        </w:rPr>
        <w:t xml:space="preserve"> </w:t>
      </w:r>
      <w:r w:rsidR="006D025F" w:rsidRPr="00530E79">
        <w:rPr>
          <w:rFonts w:cs="Arial"/>
        </w:rPr>
        <w:t>shows the average cost for 2021-22</w:t>
      </w:r>
      <w:r w:rsidR="00183417">
        <w:rPr>
          <w:rFonts w:cs="Arial"/>
        </w:rPr>
        <w:t xml:space="preserve"> and</w:t>
      </w:r>
      <w:r w:rsidR="006D025F" w:rsidRPr="00530E79">
        <w:rPr>
          <w:rFonts w:cs="Arial"/>
        </w:rPr>
        <w:t xml:space="preserve"> 2022-23, </w:t>
      </w:r>
      <w:r w:rsidR="00D565AA">
        <w:rPr>
          <w:rFonts w:cs="Arial"/>
        </w:rPr>
        <w:t xml:space="preserve">distribution of cost in </w:t>
      </w:r>
      <w:r w:rsidR="006D025F" w:rsidRPr="00530E79">
        <w:rPr>
          <w:rFonts w:cs="Arial"/>
        </w:rPr>
        <w:t xml:space="preserve">2022-23, </w:t>
      </w:r>
      <w:r w:rsidR="00D565AA">
        <w:rPr>
          <w:rFonts w:cs="Arial"/>
        </w:rPr>
        <w:t xml:space="preserve">percentage change and actual change by </w:t>
      </w:r>
      <w:r w:rsidR="006D025F" w:rsidRPr="00530E79">
        <w:rPr>
          <w:rFonts w:cs="Arial"/>
        </w:rPr>
        <w:t>cost bucket</w:t>
      </w:r>
      <w:r w:rsidR="00D565AA">
        <w:rPr>
          <w:rFonts w:cs="Arial"/>
        </w:rPr>
        <w:t xml:space="preserve"> from 2021-22 to 2022-23. </w:t>
      </w:r>
      <w:r w:rsidR="006831E0" w:rsidRPr="00530E79">
        <w:rPr>
          <w:rFonts w:cs="Arial"/>
        </w:rPr>
        <w:t xml:space="preserve">The nursing, medical, non-clinical, clinical supplies, and on-costs </w:t>
      </w:r>
      <w:r w:rsidR="006831E0">
        <w:rPr>
          <w:rFonts w:cs="Arial"/>
        </w:rPr>
        <w:t xml:space="preserve">cost buckets </w:t>
      </w:r>
      <w:r w:rsidR="006831E0" w:rsidRPr="00530E79">
        <w:rPr>
          <w:rFonts w:cs="Arial"/>
        </w:rPr>
        <w:t xml:space="preserve">accounted for 80% of the average cost per </w:t>
      </w:r>
      <w:r w:rsidR="006831E0">
        <w:rPr>
          <w:rFonts w:cs="Arial"/>
        </w:rPr>
        <w:t>admitted subacute</w:t>
      </w:r>
      <w:r w:rsidR="006831E0" w:rsidRPr="00530E79">
        <w:rPr>
          <w:rFonts w:cs="Arial"/>
        </w:rPr>
        <w:t xml:space="preserve"> phase nationally.</w:t>
      </w:r>
      <w:r w:rsidR="006831E0">
        <w:rPr>
          <w:rFonts w:cs="Arial"/>
        </w:rPr>
        <w:t xml:space="preserve"> </w:t>
      </w:r>
      <w:r w:rsidR="00D565AA">
        <w:rPr>
          <w:rFonts w:cs="Arial"/>
        </w:rPr>
        <w:t>The last column shows the proportion the actual change in each cost bucket contributes to the total actual change between 2021-22 and 2022-23.</w:t>
      </w:r>
      <w:r w:rsidR="006D025F">
        <w:rPr>
          <w:rFonts w:cs="Arial"/>
        </w:rPr>
        <w:t xml:space="preserve"> </w:t>
      </w:r>
      <w:r w:rsidR="0085419C" w:rsidRPr="00530E79">
        <w:rPr>
          <w:rFonts w:cs="Arial"/>
        </w:rPr>
        <w:t xml:space="preserve">In 2022-23, </w:t>
      </w:r>
      <w:r w:rsidR="00995DEF" w:rsidRPr="00530E79">
        <w:rPr>
          <w:rFonts w:cs="Arial"/>
        </w:rPr>
        <w:t>the on-costs</w:t>
      </w:r>
      <w:r w:rsidR="00374B99" w:rsidRPr="00530E79">
        <w:rPr>
          <w:rFonts w:cs="Arial"/>
        </w:rPr>
        <w:t>,</w:t>
      </w:r>
      <w:r w:rsidR="00995DEF" w:rsidRPr="00530E79">
        <w:rPr>
          <w:rFonts w:cs="Arial"/>
        </w:rPr>
        <w:t xml:space="preserve"> medical</w:t>
      </w:r>
      <w:r w:rsidR="00374B99" w:rsidRPr="00530E79">
        <w:rPr>
          <w:rFonts w:cs="Arial"/>
        </w:rPr>
        <w:t xml:space="preserve">, and depreciation </w:t>
      </w:r>
      <w:r w:rsidR="00995DEF" w:rsidRPr="00530E79">
        <w:rPr>
          <w:rFonts w:cs="Arial"/>
        </w:rPr>
        <w:t xml:space="preserve">cost buckets accounted for </w:t>
      </w:r>
      <w:r w:rsidR="00374B99" w:rsidRPr="00530E79">
        <w:rPr>
          <w:rFonts w:cs="Arial"/>
        </w:rPr>
        <w:t>89</w:t>
      </w:r>
      <w:r w:rsidR="00995DEF" w:rsidRPr="00530E79">
        <w:rPr>
          <w:rFonts w:cs="Arial"/>
        </w:rPr>
        <w:t xml:space="preserve">% of the increase in the average cost per </w:t>
      </w:r>
      <w:r w:rsidR="00310C76">
        <w:rPr>
          <w:rFonts w:cs="Arial"/>
        </w:rPr>
        <w:t>admitted subacute</w:t>
      </w:r>
      <w:r w:rsidR="00995DEF" w:rsidRPr="00530E79">
        <w:rPr>
          <w:rFonts w:cs="Arial"/>
        </w:rPr>
        <w:t xml:space="preserve"> phase </w:t>
      </w:r>
      <w:r w:rsidR="00374B99" w:rsidRPr="00530E79">
        <w:rPr>
          <w:rFonts w:cs="Arial"/>
        </w:rPr>
        <w:t>nationally</w:t>
      </w:r>
      <w:r w:rsidR="0085419C" w:rsidRPr="00530E79">
        <w:rPr>
          <w:rFonts w:cs="Arial"/>
        </w:rPr>
        <w:t>.</w:t>
      </w:r>
    </w:p>
    <w:p w14:paraId="06E71429" w14:textId="66C11867" w:rsidR="00895491" w:rsidRDefault="00E04435" w:rsidP="00296833">
      <w:pPr>
        <w:pStyle w:val="TableFigureheading"/>
        <w:rPr>
          <w:noProof/>
        </w:rPr>
      </w:pPr>
      <w:bookmarkStart w:id="199" w:name="_Ref185840394"/>
      <w:bookmarkStart w:id="200" w:name="_Toc185852221"/>
      <w:bookmarkStart w:id="201" w:name="_Toc187312140"/>
      <w:r>
        <w:rPr>
          <w:lang w:val="en-PH"/>
        </w:rPr>
        <w:t>Table</w:t>
      </w:r>
      <w:r w:rsidR="00970398" w:rsidRPr="0093558C">
        <w:rPr>
          <w:lang w:val="en-PH"/>
        </w:rPr>
        <w:t xml:space="preserve"> </w:t>
      </w:r>
      <w:r>
        <w:rPr>
          <w:lang w:val="en-PH"/>
        </w:rPr>
        <w:fldChar w:fldCharType="begin"/>
      </w:r>
      <w:r>
        <w:rPr>
          <w:lang w:val="en-PH"/>
        </w:rPr>
        <w:instrText xml:space="preserve"> SEQ Table \* ARABIC </w:instrText>
      </w:r>
      <w:r>
        <w:rPr>
          <w:lang w:val="en-PH"/>
        </w:rPr>
        <w:fldChar w:fldCharType="separate"/>
      </w:r>
      <w:r w:rsidR="00F5422B">
        <w:rPr>
          <w:noProof/>
          <w:lang w:val="en-PH"/>
        </w:rPr>
        <w:t>14</w:t>
      </w:r>
      <w:r>
        <w:rPr>
          <w:lang w:val="en-PH"/>
        </w:rPr>
        <w:fldChar w:fldCharType="end"/>
      </w:r>
      <w:bookmarkEnd w:id="199"/>
      <w:r w:rsidR="00970398" w:rsidRPr="0093558C">
        <w:rPr>
          <w:lang w:val="en-PH"/>
        </w:rPr>
        <w:t xml:space="preserve">: </w:t>
      </w:r>
      <w:r w:rsidR="007A27D7">
        <w:rPr>
          <w:lang w:val="en-PH"/>
        </w:rPr>
        <w:t xml:space="preserve">National </w:t>
      </w:r>
      <w:r w:rsidR="00B5508A">
        <w:rPr>
          <w:lang w:val="en-PH"/>
        </w:rPr>
        <w:t xml:space="preserve">average cost per </w:t>
      </w:r>
      <w:r w:rsidR="00E44DF3">
        <w:rPr>
          <w:lang w:val="en-PH"/>
        </w:rPr>
        <w:t xml:space="preserve">AN-SNAP </w:t>
      </w:r>
      <w:r w:rsidR="00970398">
        <w:rPr>
          <w:lang w:val="en-PH"/>
        </w:rPr>
        <w:t>phase</w:t>
      </w:r>
      <w:r w:rsidR="00DB6D79">
        <w:rPr>
          <w:lang w:val="en-PH"/>
        </w:rPr>
        <w:t xml:space="preserve"> </w:t>
      </w:r>
      <w:r w:rsidR="007A27D7">
        <w:rPr>
          <w:lang w:val="en-PH"/>
        </w:rPr>
        <w:t>by</w:t>
      </w:r>
      <w:r w:rsidR="00A85B7B" w:rsidRPr="008D6DCB">
        <w:rPr>
          <w:lang w:val="en-PH"/>
        </w:rPr>
        <w:t xml:space="preserve"> </w:t>
      </w:r>
      <w:r w:rsidR="006D025F">
        <w:rPr>
          <w:lang w:val="en-PH"/>
        </w:rPr>
        <w:t>cost bucket</w:t>
      </w:r>
      <w:r w:rsidR="00970398" w:rsidRPr="0093558C">
        <w:rPr>
          <w:lang w:val="en-PH"/>
        </w:rPr>
        <w:t xml:space="preserve">, </w:t>
      </w:r>
      <w:r w:rsidR="00970398" w:rsidRPr="008B2CD8">
        <w:rPr>
          <w:lang w:val="en-PH"/>
        </w:rPr>
        <w:t>202</w:t>
      </w:r>
      <w:r w:rsidR="00970398">
        <w:rPr>
          <w:lang w:val="en-PH"/>
        </w:rPr>
        <w:t>2</w:t>
      </w:r>
      <w:r w:rsidR="00970398" w:rsidRPr="008B2CD8">
        <w:rPr>
          <w:lang w:val="en-PH"/>
        </w:rPr>
        <w:t>-2</w:t>
      </w:r>
      <w:r w:rsidR="00970398">
        <w:rPr>
          <w:lang w:val="en-PH"/>
        </w:rPr>
        <w:t>3</w:t>
      </w:r>
      <w:bookmarkEnd w:id="200"/>
      <w:bookmarkEnd w:id="201"/>
    </w:p>
    <w:p w14:paraId="3498B356" w14:textId="18D20767" w:rsidR="001E72BA" w:rsidRDefault="00EC1063" w:rsidP="00EC1063">
      <w:pPr>
        <w:spacing w:line="259" w:lineRule="auto"/>
        <w:jc w:val="center"/>
        <w:rPr>
          <w:rFonts w:cs="Arial"/>
          <w:highlight w:val="yellow"/>
        </w:rPr>
      </w:pPr>
      <w:r w:rsidRPr="00EC1063">
        <w:rPr>
          <w:noProof/>
        </w:rPr>
        <w:t xml:space="preserve"> </w:t>
      </w:r>
      <w:r>
        <w:rPr>
          <w:noProof/>
        </w:rPr>
        <w:drawing>
          <wp:inline distT="0" distB="0" distL="0" distR="0" wp14:anchorId="20404831" wp14:editId="3FC0B888">
            <wp:extent cx="5655734" cy="3348989"/>
            <wp:effectExtent l="0" t="0" r="2540" b="4445"/>
            <wp:docPr id="81011361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13613" name="Picture 1" descr="A screenshot of a graph&#10;&#10;Description automatically generated"/>
                    <pic:cNvPicPr/>
                  </pic:nvPicPr>
                  <pic:blipFill>
                    <a:blip r:embed="rId44"/>
                    <a:stretch>
                      <a:fillRect/>
                    </a:stretch>
                  </pic:blipFill>
                  <pic:spPr>
                    <a:xfrm>
                      <a:off x="0" y="0"/>
                      <a:ext cx="5672177" cy="3358726"/>
                    </a:xfrm>
                    <a:prstGeom prst="rect">
                      <a:avLst/>
                    </a:prstGeom>
                  </pic:spPr>
                </pic:pic>
              </a:graphicData>
            </a:graphic>
          </wp:inline>
        </w:drawing>
      </w:r>
      <w:r>
        <w:rPr>
          <w:rFonts w:cs="Arial"/>
          <w:highlight w:val="yellow"/>
        </w:rPr>
        <w:t xml:space="preserve"> </w:t>
      </w:r>
      <w:r w:rsidR="001E72BA">
        <w:rPr>
          <w:rFonts w:cs="Arial"/>
          <w:highlight w:val="yellow"/>
        </w:rPr>
        <w:br w:type="page"/>
      </w:r>
    </w:p>
    <w:p w14:paraId="48845594" w14:textId="130E309C" w:rsidR="00BF2F93" w:rsidRPr="00CE058E" w:rsidRDefault="00BF2F93" w:rsidP="0069297D">
      <w:pPr>
        <w:pStyle w:val="Heading1"/>
        <w:numPr>
          <w:ilvl w:val="0"/>
          <w:numId w:val="45"/>
        </w:numPr>
        <w:rPr>
          <w:rFonts w:cs="Arial"/>
        </w:rPr>
      </w:pPr>
      <w:bookmarkStart w:id="202" w:name="_Toc158882617"/>
      <w:bookmarkStart w:id="203" w:name="_Hlk147397607"/>
      <w:r w:rsidRPr="00CE058E">
        <w:rPr>
          <w:rFonts w:cs="Arial"/>
        </w:rPr>
        <w:lastRenderedPageBreak/>
        <w:t>Emergency department</w:t>
      </w:r>
      <w:bookmarkEnd w:id="128"/>
      <w:bookmarkEnd w:id="129"/>
      <w:bookmarkEnd w:id="202"/>
    </w:p>
    <w:p w14:paraId="17D3FABD" w14:textId="52DB027E" w:rsidR="00BF2F93" w:rsidRPr="00CE058E" w:rsidRDefault="00BF2F93" w:rsidP="007B41F8">
      <w:pPr>
        <w:pStyle w:val="Heading2"/>
      </w:pPr>
      <w:bookmarkStart w:id="204" w:name="_Toc144215450"/>
      <w:bookmarkStart w:id="205" w:name="_Toc144967657"/>
      <w:bookmarkStart w:id="206" w:name="_Toc151129706"/>
      <w:bookmarkStart w:id="207" w:name="_Toc158882557"/>
      <w:bookmarkStart w:id="208" w:name="_Toc158882618"/>
      <w:r w:rsidRPr="00CE058E">
        <w:t>Summary</w:t>
      </w:r>
      <w:bookmarkEnd w:id="204"/>
      <w:bookmarkEnd w:id="205"/>
      <w:bookmarkEnd w:id="206"/>
      <w:bookmarkEnd w:id="207"/>
      <w:bookmarkEnd w:id="208"/>
    </w:p>
    <w:p w14:paraId="3A46F4AF" w14:textId="17B95D08" w:rsidR="00BF2F93" w:rsidRPr="00303546" w:rsidRDefault="00BF2F93" w:rsidP="00BC4620">
      <w:pPr>
        <w:spacing w:line="276" w:lineRule="auto"/>
        <w:rPr>
          <w:rFonts w:cs="Arial"/>
        </w:rPr>
      </w:pPr>
      <w:r w:rsidRPr="00303546">
        <w:rPr>
          <w:rFonts w:cs="Arial"/>
        </w:rPr>
        <w:t xml:space="preserve">This </w:t>
      </w:r>
      <w:r w:rsidR="00DD18A3" w:rsidRPr="00303546">
        <w:rPr>
          <w:rFonts w:cs="Arial"/>
        </w:rPr>
        <w:t xml:space="preserve">chapter </w:t>
      </w:r>
      <w:r w:rsidRPr="00303546">
        <w:rPr>
          <w:rFonts w:cs="Arial"/>
        </w:rPr>
        <w:t>outline</w:t>
      </w:r>
      <w:r w:rsidR="00623ED4" w:rsidRPr="00303546">
        <w:rPr>
          <w:rFonts w:cs="Arial"/>
        </w:rPr>
        <w:t>s</w:t>
      </w:r>
      <w:r w:rsidRPr="00303546">
        <w:rPr>
          <w:rFonts w:cs="Arial"/>
        </w:rPr>
        <w:t xml:space="preserve"> the </w:t>
      </w:r>
      <w:r w:rsidR="000F48D8">
        <w:rPr>
          <w:rFonts w:cs="Arial"/>
        </w:rPr>
        <w:t xml:space="preserve">in-scope </w:t>
      </w:r>
      <w:r w:rsidRPr="00303546">
        <w:rPr>
          <w:rFonts w:cs="Arial"/>
        </w:rPr>
        <w:t xml:space="preserve">emergency department </w:t>
      </w:r>
      <w:r w:rsidR="00B1468B">
        <w:rPr>
          <w:rFonts w:cs="Arial"/>
        </w:rPr>
        <w:t xml:space="preserve">patient </w:t>
      </w:r>
      <w:r w:rsidRPr="00303546">
        <w:rPr>
          <w:rFonts w:cs="Arial"/>
        </w:rPr>
        <w:t xml:space="preserve">presentations, cost, and average cost per </w:t>
      </w:r>
      <w:r w:rsidR="003F4003">
        <w:rPr>
          <w:rFonts w:cs="Arial"/>
        </w:rPr>
        <w:t xml:space="preserve">patient </w:t>
      </w:r>
      <w:r w:rsidRPr="00303546">
        <w:rPr>
          <w:rFonts w:cs="Arial"/>
        </w:rPr>
        <w:t xml:space="preserve">presentation from </w:t>
      </w:r>
      <w:r w:rsidR="00E137A0" w:rsidRPr="00303546">
        <w:rPr>
          <w:rFonts w:cs="Arial"/>
        </w:rPr>
        <w:t>2020-21</w:t>
      </w:r>
      <w:r w:rsidRPr="00303546">
        <w:rPr>
          <w:rFonts w:cs="Arial"/>
        </w:rPr>
        <w:t xml:space="preserve"> to </w:t>
      </w:r>
      <w:r w:rsidR="00930B24" w:rsidRPr="00303546">
        <w:rPr>
          <w:rFonts w:cstheme="majorBidi"/>
          <w:lang w:val="en-PH"/>
        </w:rPr>
        <w:t>2022-23</w:t>
      </w:r>
      <w:r w:rsidRPr="00303546">
        <w:rPr>
          <w:rFonts w:cs="Arial"/>
        </w:rPr>
        <w:t>. Emergency departments (ED) are dedicated hospital-based facilities specifically designed and staffed to provide 24-hour emergency care. The role of the ED is to diagnose, triage</w:t>
      </w:r>
      <w:r w:rsidR="00623ED4" w:rsidRPr="00303546">
        <w:rPr>
          <w:rFonts w:cs="Arial"/>
        </w:rPr>
        <w:t>,</w:t>
      </w:r>
      <w:r w:rsidRPr="00303546">
        <w:rPr>
          <w:rFonts w:cs="Arial"/>
        </w:rPr>
        <w:t xml:space="preserve"> and treat acute and urgent illnesses and injuries.</w:t>
      </w:r>
    </w:p>
    <w:p w14:paraId="4F25B71D" w14:textId="31E42C7C" w:rsidR="00BF2F93" w:rsidRPr="00CE058E" w:rsidRDefault="00BF2F93" w:rsidP="00BC4620">
      <w:pPr>
        <w:spacing w:line="276" w:lineRule="auto"/>
        <w:rPr>
          <w:rFonts w:cs="Arial"/>
          <w:color w:val="auto"/>
        </w:rPr>
      </w:pPr>
      <w:r w:rsidRPr="00303546">
        <w:rPr>
          <w:rFonts w:cs="Arial"/>
        </w:rPr>
        <w:t xml:space="preserve">On arrival in the ED, patients are assessed by a clinician and given a triage score based on the severity of their illness or injury, </w:t>
      </w:r>
      <w:r w:rsidR="00BD5A80" w:rsidRPr="00303546">
        <w:rPr>
          <w:rFonts w:cs="Arial"/>
        </w:rPr>
        <w:t>including</w:t>
      </w:r>
      <w:r w:rsidR="1CED2B63" w:rsidRPr="00303546">
        <w:rPr>
          <w:rFonts w:cs="Arial"/>
        </w:rPr>
        <w:t xml:space="preserve"> resuscitation, emergency, urgent, semi-urgent and </w:t>
      </w:r>
      <w:r w:rsidR="00154C2A" w:rsidRPr="00303546">
        <w:rPr>
          <w:rFonts w:cs="Arial"/>
        </w:rPr>
        <w:br/>
      </w:r>
      <w:r w:rsidR="1CED2B63" w:rsidRPr="00303546">
        <w:rPr>
          <w:rFonts w:cs="Arial"/>
        </w:rPr>
        <w:t>non-urgent</w:t>
      </w:r>
      <w:r w:rsidRPr="00303546">
        <w:rPr>
          <w:rFonts w:cs="Arial"/>
        </w:rPr>
        <w:t>. A triage score is a ranking from one to five (one being the most urgent and five being non-urgent) used to prioritise or classify patients based on illness or injury severity and need for medical and nursing care. During the treatment phase of their time in ED patients are assessed by a clinician and assigned a diagnosis with treatment provided, if required.</w:t>
      </w:r>
      <w:r w:rsidR="006D0DF9" w:rsidRPr="00303546">
        <w:rPr>
          <w:rFonts w:cs="Arial"/>
        </w:rPr>
        <w:t xml:space="preserve"> For more information about </w:t>
      </w:r>
      <w:r w:rsidR="00D55CE1" w:rsidRPr="00303546">
        <w:rPr>
          <w:rFonts w:cs="Arial"/>
        </w:rPr>
        <w:t>ED</w:t>
      </w:r>
      <w:r w:rsidR="006D0DF9" w:rsidRPr="00303546">
        <w:rPr>
          <w:rFonts w:cs="Arial"/>
        </w:rPr>
        <w:t xml:space="preserve"> activity visit </w:t>
      </w:r>
      <w:hyperlink r:id="rId45" w:history="1">
        <w:r w:rsidR="006D0DF9" w:rsidRPr="00CE058E">
          <w:rPr>
            <w:rStyle w:val="Hyperlink"/>
            <w:rFonts w:cs="Arial"/>
          </w:rPr>
          <w:t>IHACPA’s website</w:t>
        </w:r>
      </w:hyperlink>
      <w:r w:rsidR="006D0DF9" w:rsidRPr="00CE058E">
        <w:rPr>
          <w:rFonts w:cs="Arial"/>
          <w:color w:val="auto"/>
        </w:rPr>
        <w:t>.</w:t>
      </w:r>
    </w:p>
    <w:p w14:paraId="6765E7AB" w14:textId="11928A9D" w:rsidR="00C361E9" w:rsidRPr="00303546" w:rsidRDefault="00C361E9" w:rsidP="00C361E9">
      <w:pPr>
        <w:spacing w:line="276" w:lineRule="auto"/>
        <w:rPr>
          <w:rFonts w:cs="Arial"/>
        </w:rPr>
      </w:pPr>
      <w:r w:rsidRPr="00303546">
        <w:rPr>
          <w:rFonts w:cs="Arial"/>
        </w:rPr>
        <w:t xml:space="preserve">The Australian Emergency Care Classification (AECC) Version 1.2 </w:t>
      </w:r>
      <w:r w:rsidR="00BB0088" w:rsidRPr="00303546">
        <w:rPr>
          <w:rFonts w:cs="Arial"/>
        </w:rPr>
        <w:t xml:space="preserve">was </w:t>
      </w:r>
      <w:r w:rsidRPr="00303546">
        <w:rPr>
          <w:rFonts w:cs="Arial"/>
        </w:rPr>
        <w:t xml:space="preserve">used to prepare this report. The AECC has </w:t>
      </w:r>
      <w:r w:rsidR="00EE76DB" w:rsidRPr="00303546">
        <w:rPr>
          <w:rFonts w:cs="Arial"/>
        </w:rPr>
        <w:t xml:space="preserve">3 </w:t>
      </w:r>
      <w:r w:rsidRPr="00303546">
        <w:rPr>
          <w:rFonts w:cs="Arial"/>
        </w:rPr>
        <w:t>hierarchical levels</w:t>
      </w:r>
      <w:r w:rsidR="00301F51" w:rsidRPr="00303546">
        <w:rPr>
          <w:rFonts w:cs="Arial"/>
        </w:rPr>
        <w:t xml:space="preserve">, which </w:t>
      </w:r>
      <w:r w:rsidRPr="00303546">
        <w:rPr>
          <w:rFonts w:cs="Arial"/>
        </w:rPr>
        <w:t xml:space="preserve">classify </w:t>
      </w:r>
      <w:r w:rsidR="00D55CE1" w:rsidRPr="00303546">
        <w:rPr>
          <w:rFonts w:cs="Arial"/>
        </w:rPr>
        <w:t>ED</w:t>
      </w:r>
      <w:r w:rsidRPr="00303546">
        <w:rPr>
          <w:rFonts w:cs="Arial"/>
        </w:rPr>
        <w:t xml:space="preserve"> </w:t>
      </w:r>
      <w:r w:rsidR="00AB3012">
        <w:rPr>
          <w:rFonts w:cs="Arial"/>
        </w:rPr>
        <w:t xml:space="preserve">patient </w:t>
      </w:r>
      <w:r w:rsidRPr="00303546">
        <w:rPr>
          <w:rFonts w:cs="Arial"/>
        </w:rPr>
        <w:t xml:space="preserve">presentations into end-classes. The complexity levels are based on a score assigned to each </w:t>
      </w:r>
      <w:r w:rsidR="002D42C5">
        <w:rPr>
          <w:rFonts w:cs="Arial"/>
        </w:rPr>
        <w:t xml:space="preserve">patient </w:t>
      </w:r>
      <w:r w:rsidRPr="00303546">
        <w:rPr>
          <w:rFonts w:cs="Arial"/>
        </w:rPr>
        <w:t>presentation</w:t>
      </w:r>
      <w:r w:rsidR="00301F51" w:rsidRPr="00303546">
        <w:rPr>
          <w:rFonts w:cs="Arial"/>
        </w:rPr>
        <w:t xml:space="preserve"> that i</w:t>
      </w:r>
      <w:r w:rsidRPr="00303546">
        <w:rPr>
          <w:rFonts w:cs="Arial"/>
        </w:rPr>
        <w:t>s calculated using variables consisting of the patient’s type of visit, episode end status, triage category, principal diagnosis, transport mode, and age.</w:t>
      </w:r>
    </w:p>
    <w:bookmarkStart w:id="209" w:name="_Hlk148532599"/>
    <w:p w14:paraId="0BF23C80" w14:textId="49B80835" w:rsidR="00EA134E" w:rsidRPr="00303546" w:rsidRDefault="004B2E2D" w:rsidP="00A47745">
      <w:pPr>
        <w:spacing w:line="276" w:lineRule="auto"/>
        <w:rPr>
          <w:rFonts w:cs="Arial"/>
        </w:rPr>
      </w:pPr>
      <w:r w:rsidRPr="00843CAF">
        <w:rPr>
          <w:rFonts w:cs="Arial"/>
        </w:rPr>
        <w:fldChar w:fldCharType="begin"/>
      </w:r>
      <w:r w:rsidRPr="00843CAF">
        <w:rPr>
          <w:rFonts w:cs="Arial"/>
        </w:rPr>
        <w:instrText xml:space="preserve"> REF _Ref185840834 \h </w:instrText>
      </w:r>
      <w:r w:rsidRPr="00843CAF">
        <w:rPr>
          <w:rFonts w:cs="Arial"/>
        </w:rPr>
      </w:r>
      <w:r w:rsidRPr="00843CAF">
        <w:rPr>
          <w:rFonts w:cs="Arial"/>
        </w:rPr>
        <w:fldChar w:fldCharType="separate"/>
      </w:r>
      <w:r w:rsidRPr="00843CAF">
        <w:rPr>
          <w:lang w:val="en-PH"/>
        </w:rPr>
        <w:t xml:space="preserve">Table </w:t>
      </w:r>
      <w:r w:rsidRPr="00843CAF">
        <w:rPr>
          <w:noProof/>
          <w:lang w:val="en-PH"/>
        </w:rPr>
        <w:t>15</w:t>
      </w:r>
      <w:r w:rsidRPr="00843CAF">
        <w:rPr>
          <w:rFonts w:cs="Arial"/>
        </w:rPr>
        <w:fldChar w:fldCharType="end"/>
      </w:r>
      <w:r w:rsidR="00D40E89" w:rsidRPr="00843CAF">
        <w:rPr>
          <w:rFonts w:cs="Arial"/>
        </w:rPr>
        <w:t xml:space="preserve"> summarises the national results from 2020-21 to 2022-23. </w:t>
      </w:r>
      <w:r w:rsidR="003A2F84" w:rsidRPr="00303546">
        <w:rPr>
          <w:rFonts w:cs="Arial"/>
        </w:rPr>
        <w:t xml:space="preserve">In </w:t>
      </w:r>
      <w:r w:rsidR="00930B24" w:rsidRPr="00303546">
        <w:rPr>
          <w:rFonts w:cstheme="majorBidi"/>
          <w:lang w:val="en-PH"/>
        </w:rPr>
        <w:t>2022-23</w:t>
      </w:r>
      <w:r w:rsidR="003A2F84" w:rsidRPr="00303546">
        <w:rPr>
          <w:rFonts w:cs="Arial"/>
        </w:rPr>
        <w:t>, t</w:t>
      </w:r>
      <w:r w:rsidR="00BF2F93" w:rsidRPr="00303546">
        <w:rPr>
          <w:rFonts w:cs="Arial"/>
        </w:rPr>
        <w:t xml:space="preserve">here were </w:t>
      </w:r>
      <w:r w:rsidR="00081D6C" w:rsidRPr="00303546">
        <w:rPr>
          <w:rFonts w:cs="Arial"/>
        </w:rPr>
        <w:t>8.</w:t>
      </w:r>
      <w:r w:rsidR="001C0285" w:rsidRPr="00303546">
        <w:rPr>
          <w:rFonts w:cs="Arial"/>
        </w:rPr>
        <w:t>6 </w:t>
      </w:r>
      <w:r w:rsidR="002855E3" w:rsidRPr="00303546">
        <w:rPr>
          <w:rFonts w:cs="Arial"/>
        </w:rPr>
        <w:t xml:space="preserve">million </w:t>
      </w:r>
      <w:r w:rsidR="00D55CE1" w:rsidRPr="00303546">
        <w:rPr>
          <w:rFonts w:cs="Arial"/>
        </w:rPr>
        <w:t>ED</w:t>
      </w:r>
      <w:r w:rsidR="00BF2F93" w:rsidRPr="00303546">
        <w:rPr>
          <w:rFonts w:cs="Arial"/>
        </w:rPr>
        <w:t xml:space="preserve"> presentations nationally</w:t>
      </w:r>
      <w:r w:rsidR="002855E3" w:rsidRPr="00303546">
        <w:rPr>
          <w:rFonts w:cs="Arial"/>
        </w:rPr>
        <w:t xml:space="preserve">, a </w:t>
      </w:r>
      <w:r w:rsidR="00081D6C" w:rsidRPr="00303546">
        <w:rPr>
          <w:rFonts w:cs="Arial"/>
        </w:rPr>
        <w:t>4</w:t>
      </w:r>
      <w:r w:rsidR="00897090" w:rsidRPr="00303546">
        <w:rPr>
          <w:rFonts w:cs="Arial"/>
        </w:rPr>
        <w:t>%</w:t>
      </w:r>
      <w:r w:rsidR="002855E3" w:rsidRPr="00303546">
        <w:rPr>
          <w:rFonts w:cs="Arial"/>
        </w:rPr>
        <w:t xml:space="preserve"> </w:t>
      </w:r>
      <w:r w:rsidR="00081D6C" w:rsidRPr="00303546">
        <w:rPr>
          <w:rFonts w:cs="Arial"/>
        </w:rPr>
        <w:t>in</w:t>
      </w:r>
      <w:r w:rsidR="002855E3" w:rsidRPr="00303546">
        <w:rPr>
          <w:rFonts w:cs="Arial"/>
        </w:rPr>
        <w:t xml:space="preserve">crease to the </w:t>
      </w:r>
      <w:r w:rsidR="005A6441" w:rsidRPr="00303546">
        <w:rPr>
          <w:rFonts w:cs="Arial"/>
        </w:rPr>
        <w:t>2021-22</w:t>
      </w:r>
      <w:r w:rsidR="002855E3" w:rsidRPr="00303546">
        <w:rPr>
          <w:rFonts w:cs="Arial"/>
        </w:rPr>
        <w:t xml:space="preserve"> figure of 8.</w:t>
      </w:r>
      <w:r w:rsidR="00657489" w:rsidRPr="00303546">
        <w:rPr>
          <w:rFonts w:cs="Arial"/>
        </w:rPr>
        <w:t xml:space="preserve">3 </w:t>
      </w:r>
      <w:r w:rsidR="002855E3" w:rsidRPr="00303546">
        <w:rPr>
          <w:rFonts w:cs="Arial"/>
        </w:rPr>
        <w:t xml:space="preserve">million. The associated cost in </w:t>
      </w:r>
      <w:r w:rsidR="00930B24" w:rsidRPr="00303546">
        <w:rPr>
          <w:rFonts w:cstheme="majorBidi"/>
          <w:lang w:val="en-PH"/>
        </w:rPr>
        <w:t>2022-23</w:t>
      </w:r>
      <w:r w:rsidR="002855E3" w:rsidRPr="00303546">
        <w:rPr>
          <w:rFonts w:cs="Arial"/>
        </w:rPr>
        <w:t xml:space="preserve"> nationally was $</w:t>
      </w:r>
      <w:r w:rsidR="00081D6C" w:rsidRPr="00303546">
        <w:rPr>
          <w:rFonts w:cs="Arial"/>
        </w:rPr>
        <w:t xml:space="preserve">8.4 </w:t>
      </w:r>
      <w:r w:rsidR="002855E3" w:rsidRPr="00303546">
        <w:rPr>
          <w:rFonts w:cs="Arial"/>
        </w:rPr>
        <w:t>billion</w:t>
      </w:r>
      <w:r w:rsidR="00B2240C" w:rsidRPr="00303546">
        <w:rPr>
          <w:rFonts w:cs="Arial"/>
        </w:rPr>
        <w:t xml:space="preserve">, a </w:t>
      </w:r>
      <w:r w:rsidR="00081D6C" w:rsidRPr="00303546">
        <w:rPr>
          <w:rFonts w:cs="Arial"/>
        </w:rPr>
        <w:t>14</w:t>
      </w:r>
      <w:r w:rsidR="00897090" w:rsidRPr="00303546">
        <w:rPr>
          <w:rFonts w:cs="Arial"/>
        </w:rPr>
        <w:t>%</w:t>
      </w:r>
      <w:r w:rsidR="00B2240C" w:rsidRPr="00303546">
        <w:rPr>
          <w:rFonts w:cs="Arial"/>
        </w:rPr>
        <w:t xml:space="preserve"> </w:t>
      </w:r>
      <w:r w:rsidR="00081D6C" w:rsidRPr="00303546">
        <w:rPr>
          <w:rFonts w:cs="Arial"/>
        </w:rPr>
        <w:t>in</w:t>
      </w:r>
      <w:r w:rsidR="00B2240C" w:rsidRPr="00303546">
        <w:rPr>
          <w:rFonts w:cs="Arial"/>
        </w:rPr>
        <w:t>crease to the</w:t>
      </w:r>
      <w:r w:rsidR="003A6538" w:rsidRPr="00303546">
        <w:rPr>
          <w:rFonts w:cs="Arial"/>
        </w:rPr>
        <w:t xml:space="preserve"> </w:t>
      </w:r>
      <w:r w:rsidR="005A6441" w:rsidRPr="00303546">
        <w:rPr>
          <w:rFonts w:cs="Arial"/>
        </w:rPr>
        <w:t>2021</w:t>
      </w:r>
      <w:r w:rsidR="003A6538" w:rsidRPr="00303546">
        <w:rPr>
          <w:rFonts w:cs="Arial"/>
        </w:rPr>
        <w:noBreakHyphen/>
      </w:r>
      <w:r w:rsidR="005A6441" w:rsidRPr="00303546">
        <w:rPr>
          <w:rFonts w:cs="Arial"/>
        </w:rPr>
        <w:t>22</w:t>
      </w:r>
      <w:r w:rsidR="00B2240C" w:rsidRPr="00303546">
        <w:rPr>
          <w:rFonts w:cs="Arial"/>
        </w:rPr>
        <w:t xml:space="preserve"> figure of $</w:t>
      </w:r>
      <w:r w:rsidR="00657489" w:rsidRPr="00303546">
        <w:rPr>
          <w:rFonts w:cs="Arial"/>
        </w:rPr>
        <w:t>7.</w:t>
      </w:r>
      <w:r w:rsidR="001C0285" w:rsidRPr="00303546">
        <w:rPr>
          <w:rFonts w:cs="Arial"/>
        </w:rPr>
        <w:t>4 </w:t>
      </w:r>
      <w:r w:rsidR="00B2240C" w:rsidRPr="00303546">
        <w:rPr>
          <w:rFonts w:cs="Arial"/>
        </w:rPr>
        <w:t>billion.</w:t>
      </w:r>
      <w:r w:rsidR="00D67878" w:rsidRPr="00303546">
        <w:rPr>
          <w:rFonts w:cs="Arial"/>
        </w:rPr>
        <w:t xml:space="preserve"> The </w:t>
      </w:r>
      <w:r w:rsidR="00BF2F93" w:rsidRPr="00303546">
        <w:rPr>
          <w:rFonts w:cs="Arial"/>
        </w:rPr>
        <w:t xml:space="preserve">national average cost per </w:t>
      </w:r>
      <w:r w:rsidR="00D55CE1" w:rsidRPr="00303546">
        <w:rPr>
          <w:rFonts w:cs="Arial"/>
        </w:rPr>
        <w:t>ED</w:t>
      </w:r>
      <w:r w:rsidR="00D67878" w:rsidRPr="00303546">
        <w:rPr>
          <w:rFonts w:cs="Arial"/>
        </w:rPr>
        <w:t xml:space="preserve"> </w:t>
      </w:r>
      <w:r w:rsidR="004955EE">
        <w:rPr>
          <w:rFonts w:cs="Arial"/>
        </w:rPr>
        <w:t xml:space="preserve">patient </w:t>
      </w:r>
      <w:r w:rsidR="00BF2F93" w:rsidRPr="00303546">
        <w:rPr>
          <w:rFonts w:cs="Arial"/>
        </w:rPr>
        <w:t xml:space="preserve">presentation </w:t>
      </w:r>
      <w:r w:rsidR="00405A9D" w:rsidRPr="00303546">
        <w:rPr>
          <w:rFonts w:cs="Arial"/>
        </w:rPr>
        <w:t xml:space="preserve">was </w:t>
      </w:r>
      <w:r w:rsidR="00BF2F93" w:rsidRPr="00303546">
        <w:rPr>
          <w:rFonts w:cs="Arial"/>
        </w:rPr>
        <w:t>$</w:t>
      </w:r>
      <w:r w:rsidR="00657489" w:rsidRPr="00303546">
        <w:rPr>
          <w:rFonts w:cs="Arial"/>
        </w:rPr>
        <w:t>98</w:t>
      </w:r>
      <w:r w:rsidR="00081D6C" w:rsidRPr="00303546">
        <w:rPr>
          <w:rFonts w:cs="Arial"/>
        </w:rPr>
        <w:t>0</w:t>
      </w:r>
      <w:r w:rsidR="00657489" w:rsidRPr="00303546">
        <w:rPr>
          <w:rFonts w:cs="Arial"/>
        </w:rPr>
        <w:t xml:space="preserve"> </w:t>
      </w:r>
      <w:r w:rsidR="00405A9D" w:rsidRPr="00303546">
        <w:rPr>
          <w:rFonts w:cs="Arial"/>
        </w:rPr>
        <w:t xml:space="preserve">for </w:t>
      </w:r>
      <w:r w:rsidR="00930B24" w:rsidRPr="00303546">
        <w:rPr>
          <w:rFonts w:cstheme="majorBidi"/>
          <w:lang w:val="en-PH"/>
        </w:rPr>
        <w:t>2022</w:t>
      </w:r>
      <w:r w:rsidR="003A6538" w:rsidRPr="00303546">
        <w:rPr>
          <w:rFonts w:cstheme="majorBidi"/>
          <w:lang w:val="en-PH"/>
        </w:rPr>
        <w:noBreakHyphen/>
      </w:r>
      <w:r w:rsidR="00930B24" w:rsidRPr="00303546">
        <w:rPr>
          <w:rFonts w:cstheme="majorBidi"/>
          <w:lang w:val="en-PH"/>
        </w:rPr>
        <w:t>23</w:t>
      </w:r>
      <w:r w:rsidR="00BF2F93" w:rsidRPr="00303546">
        <w:rPr>
          <w:rFonts w:cs="Arial"/>
        </w:rPr>
        <w:t xml:space="preserve">, </w:t>
      </w:r>
      <w:r w:rsidR="008C7596" w:rsidRPr="00303546">
        <w:rPr>
          <w:rFonts w:cs="Arial"/>
        </w:rPr>
        <w:t xml:space="preserve">a </w:t>
      </w:r>
      <w:r w:rsidR="00657489" w:rsidRPr="00303546">
        <w:rPr>
          <w:rFonts w:cs="Arial"/>
        </w:rPr>
        <w:t>1</w:t>
      </w:r>
      <w:r w:rsidR="00081D6C" w:rsidRPr="00303546">
        <w:rPr>
          <w:rFonts w:cs="Arial"/>
        </w:rPr>
        <w:t>0</w:t>
      </w:r>
      <w:r w:rsidR="00897090" w:rsidRPr="00303546">
        <w:rPr>
          <w:rFonts w:cs="Arial"/>
        </w:rPr>
        <w:t>%</w:t>
      </w:r>
      <w:r w:rsidR="00BF2F93" w:rsidRPr="00303546">
        <w:rPr>
          <w:rFonts w:cs="Arial"/>
        </w:rPr>
        <w:t xml:space="preserve"> </w:t>
      </w:r>
      <w:r w:rsidR="008C7596" w:rsidRPr="00303546">
        <w:rPr>
          <w:rFonts w:cs="Arial"/>
        </w:rPr>
        <w:t xml:space="preserve">increase to the </w:t>
      </w:r>
      <w:r w:rsidR="005A6441" w:rsidRPr="00303546">
        <w:rPr>
          <w:rFonts w:cs="Arial"/>
        </w:rPr>
        <w:t>2021-22</w:t>
      </w:r>
      <w:r w:rsidR="008C7596" w:rsidRPr="00303546">
        <w:rPr>
          <w:rFonts w:cs="Arial"/>
        </w:rPr>
        <w:t xml:space="preserve"> national average of </w:t>
      </w:r>
      <w:r w:rsidR="00BF2F93" w:rsidRPr="00303546">
        <w:rPr>
          <w:rFonts w:cs="Arial"/>
        </w:rPr>
        <w:t>$</w:t>
      </w:r>
      <w:r w:rsidR="00657489" w:rsidRPr="00303546">
        <w:rPr>
          <w:rFonts w:cs="Arial"/>
        </w:rPr>
        <w:t>891</w:t>
      </w:r>
      <w:r w:rsidR="003A2F84" w:rsidRPr="00303546">
        <w:rPr>
          <w:rFonts w:cs="Arial"/>
        </w:rPr>
        <w:t>.</w:t>
      </w:r>
      <w:bookmarkEnd w:id="209"/>
    </w:p>
    <w:p w14:paraId="39B3873D" w14:textId="3D9123A0" w:rsidR="00EA134E" w:rsidRPr="0007638E" w:rsidRDefault="00EA134E" w:rsidP="00303546">
      <w:pPr>
        <w:pStyle w:val="TableFigureheading"/>
        <w:rPr>
          <w:lang w:val="en-PH"/>
        </w:rPr>
      </w:pPr>
      <w:bookmarkStart w:id="210" w:name="_Ref185840834"/>
      <w:bookmarkStart w:id="211" w:name="_Toc177467519"/>
      <w:bookmarkStart w:id="212" w:name="_Toc185852222"/>
      <w:bookmarkStart w:id="213" w:name="_Toc187312141"/>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A9792C">
        <w:rPr>
          <w:noProof/>
          <w:lang w:val="en-PH"/>
        </w:rPr>
        <w:t>15</w:t>
      </w:r>
      <w:r w:rsidRPr="0093558C">
        <w:rPr>
          <w:lang w:val="en-PH"/>
        </w:rPr>
        <w:fldChar w:fldCharType="end"/>
      </w:r>
      <w:bookmarkEnd w:id="210"/>
      <w:r w:rsidRPr="0093558C">
        <w:rPr>
          <w:lang w:val="en-PH"/>
        </w:rPr>
        <w:t xml:space="preserve">: </w:t>
      </w:r>
      <w:r>
        <w:rPr>
          <w:lang w:val="en-PH"/>
        </w:rPr>
        <w:t>E</w:t>
      </w:r>
      <w:r w:rsidR="00547B7E">
        <w:rPr>
          <w:lang w:val="en-PH"/>
        </w:rPr>
        <w:t>D</w:t>
      </w:r>
      <w:r>
        <w:rPr>
          <w:lang w:val="en-PH"/>
        </w:rPr>
        <w:t xml:space="preserve"> </w:t>
      </w:r>
      <w:r w:rsidR="00B233B7">
        <w:rPr>
          <w:lang w:val="en-PH"/>
        </w:rPr>
        <w:t xml:space="preserve">national </w:t>
      </w:r>
      <w:r>
        <w:rPr>
          <w:lang w:val="en-PH"/>
        </w:rPr>
        <w:t>summary</w:t>
      </w:r>
      <w:r w:rsidRPr="0093558C">
        <w:rPr>
          <w:lang w:val="en-PH"/>
        </w:rPr>
        <w:t xml:space="preserve">, </w:t>
      </w:r>
      <w:r w:rsidRPr="00D73FCC">
        <w:rPr>
          <w:lang w:val="en-PH"/>
        </w:rPr>
        <w:t>2020-21</w:t>
      </w:r>
      <w:r w:rsidRPr="0093558C">
        <w:rPr>
          <w:lang w:val="en-PH"/>
        </w:rPr>
        <w:t xml:space="preserve"> to </w:t>
      </w:r>
      <w:r w:rsidRPr="008B2CD8">
        <w:rPr>
          <w:lang w:val="en-PH"/>
        </w:rPr>
        <w:t>202</w:t>
      </w:r>
      <w:r>
        <w:rPr>
          <w:lang w:val="en-PH"/>
        </w:rPr>
        <w:t>2</w:t>
      </w:r>
      <w:r w:rsidRPr="008B2CD8">
        <w:rPr>
          <w:lang w:val="en-PH"/>
        </w:rPr>
        <w:t>-2</w:t>
      </w:r>
      <w:r>
        <w:rPr>
          <w:lang w:val="en-PH"/>
        </w:rPr>
        <w:t>3</w:t>
      </w:r>
      <w:bookmarkEnd w:id="211"/>
      <w:bookmarkEnd w:id="212"/>
      <w:bookmarkEnd w:id="213"/>
    </w:p>
    <w:tbl>
      <w:tblPr>
        <w:tblW w:w="9723" w:type="dxa"/>
        <w:tblLook w:val="04A0" w:firstRow="1" w:lastRow="0" w:firstColumn="1" w:lastColumn="0" w:noHBand="0" w:noVBand="1"/>
      </w:tblPr>
      <w:tblGrid>
        <w:gridCol w:w="3303"/>
        <w:gridCol w:w="2140"/>
        <w:gridCol w:w="2140"/>
        <w:gridCol w:w="2140"/>
      </w:tblGrid>
      <w:tr w:rsidR="00EA134E" w:rsidRPr="00492588" w14:paraId="0E4291EE" w14:textId="77777777">
        <w:trPr>
          <w:trHeight w:val="298"/>
        </w:trPr>
        <w:tc>
          <w:tcPr>
            <w:tcW w:w="3303" w:type="dxa"/>
            <w:tcBorders>
              <w:top w:val="nil"/>
              <w:left w:val="single" w:sz="8" w:space="0" w:color="FFFFFF"/>
              <w:bottom w:val="nil"/>
              <w:right w:val="nil"/>
            </w:tcBorders>
            <w:shd w:val="clear" w:color="000000" w:fill="15272F"/>
            <w:vAlign w:val="center"/>
            <w:hideMark/>
          </w:tcPr>
          <w:p w14:paraId="07FEA2D8" w14:textId="77777777" w:rsidR="00EA134E" w:rsidRPr="00144CE8" w:rsidRDefault="00EA134E" w:rsidP="00144CE8">
            <w:pPr>
              <w:spacing w:before="40" w:after="40" w:line="240" w:lineRule="auto"/>
              <w:rPr>
                <w:rFonts w:eastAsia="Times New Roman" w:cs="Arial"/>
                <w:b/>
                <w:bCs/>
                <w:color w:val="FFFFFF"/>
                <w:sz w:val="16"/>
                <w:szCs w:val="16"/>
                <w:lang w:eastAsia="en-AU"/>
              </w:rPr>
            </w:pPr>
            <w:r w:rsidRPr="00144CE8">
              <w:rPr>
                <w:rFonts w:eastAsia="Times New Roman" w:cs="Arial"/>
                <w:b/>
                <w:bCs/>
                <w:color w:val="FFFFFF"/>
                <w:sz w:val="16"/>
                <w:szCs w:val="16"/>
                <w:lang w:eastAsia="en-AU"/>
              </w:rPr>
              <w:t> </w:t>
            </w:r>
          </w:p>
        </w:tc>
        <w:tc>
          <w:tcPr>
            <w:tcW w:w="2140" w:type="dxa"/>
            <w:tcBorders>
              <w:top w:val="nil"/>
              <w:left w:val="single" w:sz="8" w:space="0" w:color="FFFFFF"/>
              <w:bottom w:val="nil"/>
              <w:right w:val="nil"/>
            </w:tcBorders>
            <w:shd w:val="clear" w:color="000000" w:fill="15272F"/>
            <w:vAlign w:val="center"/>
            <w:hideMark/>
          </w:tcPr>
          <w:p w14:paraId="4EB9DFE2" w14:textId="77777777" w:rsidR="00EA134E" w:rsidRPr="00144CE8" w:rsidRDefault="00EA134E" w:rsidP="00144CE8">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sz w:val="16"/>
                <w:szCs w:val="16"/>
                <w:lang w:eastAsia="en-AU"/>
              </w:rPr>
              <w:t>2020-21</w:t>
            </w:r>
          </w:p>
        </w:tc>
        <w:tc>
          <w:tcPr>
            <w:tcW w:w="2140" w:type="dxa"/>
            <w:tcBorders>
              <w:top w:val="nil"/>
              <w:left w:val="single" w:sz="8" w:space="0" w:color="FFFFFF"/>
              <w:bottom w:val="nil"/>
              <w:right w:val="nil"/>
            </w:tcBorders>
            <w:shd w:val="clear" w:color="000000" w:fill="15272F"/>
            <w:vAlign w:val="center"/>
            <w:hideMark/>
          </w:tcPr>
          <w:p w14:paraId="4BCEC067" w14:textId="77777777" w:rsidR="00EA134E" w:rsidRPr="00144CE8" w:rsidRDefault="00EA134E" w:rsidP="00144CE8">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sz w:val="16"/>
                <w:szCs w:val="16"/>
                <w:lang w:eastAsia="en-AU"/>
              </w:rPr>
              <w:t>2021-22</w:t>
            </w:r>
          </w:p>
        </w:tc>
        <w:tc>
          <w:tcPr>
            <w:tcW w:w="2140" w:type="dxa"/>
            <w:tcBorders>
              <w:top w:val="nil"/>
              <w:left w:val="single" w:sz="8" w:space="0" w:color="FFFFFF"/>
              <w:bottom w:val="nil"/>
              <w:right w:val="nil"/>
            </w:tcBorders>
            <w:shd w:val="clear" w:color="000000" w:fill="15272F"/>
            <w:vAlign w:val="center"/>
            <w:hideMark/>
          </w:tcPr>
          <w:p w14:paraId="55B7FBC5" w14:textId="77777777" w:rsidR="00EA134E" w:rsidRPr="00144CE8" w:rsidRDefault="00EA134E" w:rsidP="00144CE8">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sz w:val="16"/>
                <w:szCs w:val="16"/>
                <w:lang w:eastAsia="en-AU"/>
              </w:rPr>
              <w:t>2022-23</w:t>
            </w:r>
          </w:p>
        </w:tc>
      </w:tr>
      <w:tr w:rsidR="00EA134E" w:rsidRPr="00492588" w14:paraId="6F047409" w14:textId="77777777" w:rsidTr="0007638E">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hideMark/>
          </w:tcPr>
          <w:p w14:paraId="2AE51760" w14:textId="77777777" w:rsidR="00EA134E" w:rsidRPr="00144CE8" w:rsidRDefault="00EA134E" w:rsidP="00144CE8">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 xml:space="preserve"> Number of establishments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31BE9564" w14:textId="5ACB2141" w:rsidR="00EA134E" w:rsidRPr="001F0D73" w:rsidRDefault="00EA134E" w:rsidP="00144CE8">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263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7775FD29" w14:textId="3DC79A4C" w:rsidR="00EA134E" w:rsidRPr="001F0D73" w:rsidRDefault="00EA134E" w:rsidP="00144CE8">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261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047DF3F3" w14:textId="48018643" w:rsidR="00EA134E" w:rsidRPr="001F0D73" w:rsidRDefault="006E0788" w:rsidP="00144CE8">
            <w:pPr>
              <w:spacing w:before="40" w:after="40" w:line="240" w:lineRule="auto"/>
              <w:jc w:val="right"/>
              <w:rPr>
                <w:rFonts w:eastAsia="Times New Roman" w:cs="Arial"/>
                <w:color w:val="1C1C1C"/>
                <w:sz w:val="16"/>
                <w:szCs w:val="16"/>
                <w:lang w:eastAsia="en-AU"/>
              </w:rPr>
            </w:pPr>
            <w:r w:rsidRPr="00144CE8">
              <w:rPr>
                <w:rFonts w:cs="Arial"/>
                <w:sz w:val="16"/>
                <w:szCs w:val="16"/>
              </w:rPr>
              <w:t>275</w:t>
            </w:r>
            <w:r w:rsidR="00EA134E" w:rsidRPr="00144CE8">
              <w:rPr>
                <w:rFonts w:cs="Arial"/>
                <w:sz w:val="16"/>
                <w:szCs w:val="16"/>
              </w:rPr>
              <w:t xml:space="preserve"> </w:t>
            </w:r>
          </w:p>
        </w:tc>
      </w:tr>
      <w:tr w:rsidR="00EA134E" w:rsidRPr="00492588" w14:paraId="12AEE901" w14:textId="77777777" w:rsidTr="0007638E">
        <w:trPr>
          <w:trHeight w:val="298"/>
        </w:trPr>
        <w:tc>
          <w:tcPr>
            <w:tcW w:w="3303" w:type="dxa"/>
            <w:tcBorders>
              <w:top w:val="nil"/>
              <w:left w:val="nil"/>
              <w:bottom w:val="nil"/>
              <w:right w:val="single" w:sz="8" w:space="0" w:color="FFFFFF"/>
            </w:tcBorders>
            <w:shd w:val="clear" w:color="000000" w:fill="F2F2F2"/>
            <w:vAlign w:val="center"/>
            <w:hideMark/>
          </w:tcPr>
          <w:p w14:paraId="18E47768" w14:textId="0A764E7B" w:rsidR="00EA134E" w:rsidRPr="00144CE8" w:rsidRDefault="00AF0AB3" w:rsidP="00144CE8">
            <w:pPr>
              <w:spacing w:before="40" w:after="40" w:line="240" w:lineRule="auto"/>
              <w:rPr>
                <w:rFonts w:eastAsia="Times New Roman" w:cs="Arial"/>
                <w:color w:val="1C1C1C"/>
                <w:sz w:val="16"/>
                <w:szCs w:val="16"/>
                <w:lang w:eastAsia="en-AU"/>
              </w:rPr>
            </w:pPr>
            <w:r>
              <w:rPr>
                <w:rFonts w:eastAsia="Times New Roman" w:cs="Arial"/>
                <w:color w:val="1C1C1C"/>
                <w:sz w:val="16"/>
                <w:szCs w:val="16"/>
                <w:lang w:eastAsia="en-AU"/>
              </w:rPr>
              <w:t xml:space="preserve"> </w:t>
            </w:r>
            <w:r w:rsidR="002109B3" w:rsidRPr="00303546">
              <w:rPr>
                <w:rFonts w:eastAsia="Times New Roman" w:cs="Arial"/>
                <w:color w:val="1C1C1C"/>
                <w:sz w:val="16"/>
                <w:szCs w:val="16"/>
                <w:lang w:eastAsia="en-AU"/>
              </w:rPr>
              <w:t>Presentations</w:t>
            </w:r>
          </w:p>
        </w:tc>
        <w:tc>
          <w:tcPr>
            <w:tcW w:w="2140" w:type="dxa"/>
            <w:tcBorders>
              <w:top w:val="nil"/>
              <w:left w:val="nil"/>
              <w:bottom w:val="nil"/>
              <w:right w:val="single" w:sz="8" w:space="0" w:color="FFFFFF"/>
            </w:tcBorders>
            <w:shd w:val="clear" w:color="000000" w:fill="F2F2F2"/>
            <w:vAlign w:val="center"/>
            <w:hideMark/>
          </w:tcPr>
          <w:p w14:paraId="0FC58742" w14:textId="5022036C" w:rsidR="00EA134E" w:rsidRPr="001F0D73" w:rsidRDefault="00EA134E" w:rsidP="00144CE8">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8,362,442 </w:t>
            </w:r>
          </w:p>
        </w:tc>
        <w:tc>
          <w:tcPr>
            <w:tcW w:w="2140" w:type="dxa"/>
            <w:tcBorders>
              <w:top w:val="nil"/>
              <w:left w:val="nil"/>
              <w:bottom w:val="nil"/>
              <w:right w:val="single" w:sz="8" w:space="0" w:color="FFFFFF"/>
            </w:tcBorders>
            <w:shd w:val="clear" w:color="000000" w:fill="F2F2F2"/>
            <w:vAlign w:val="center"/>
            <w:hideMark/>
          </w:tcPr>
          <w:p w14:paraId="27E2A47A" w14:textId="43EA31AE" w:rsidR="00EA134E" w:rsidRPr="001F0D73" w:rsidRDefault="00EA134E" w:rsidP="00144CE8">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8,270,175 </w:t>
            </w:r>
          </w:p>
        </w:tc>
        <w:tc>
          <w:tcPr>
            <w:tcW w:w="2140" w:type="dxa"/>
            <w:tcBorders>
              <w:top w:val="nil"/>
              <w:left w:val="nil"/>
              <w:bottom w:val="nil"/>
              <w:right w:val="single" w:sz="8" w:space="0" w:color="FFFFFF"/>
            </w:tcBorders>
            <w:shd w:val="clear" w:color="000000" w:fill="F2F2F2"/>
            <w:vAlign w:val="center"/>
            <w:hideMark/>
          </w:tcPr>
          <w:p w14:paraId="3CCCAA52" w14:textId="7D88A043" w:rsidR="00EA134E" w:rsidRPr="001F0D73" w:rsidRDefault="00081D6C" w:rsidP="00144CE8">
            <w:pPr>
              <w:spacing w:before="40" w:after="40" w:line="240" w:lineRule="auto"/>
              <w:jc w:val="right"/>
              <w:rPr>
                <w:rFonts w:eastAsia="Times New Roman" w:cs="Arial"/>
                <w:color w:val="1C1C1C"/>
                <w:sz w:val="16"/>
                <w:szCs w:val="16"/>
                <w:lang w:eastAsia="en-AU"/>
              </w:rPr>
            </w:pPr>
            <w:r w:rsidRPr="00144CE8">
              <w:rPr>
                <w:rFonts w:cs="Arial"/>
                <w:sz w:val="16"/>
                <w:szCs w:val="16"/>
              </w:rPr>
              <w:t>8,574,940</w:t>
            </w:r>
            <w:r w:rsidR="00EA134E" w:rsidRPr="00144CE8">
              <w:rPr>
                <w:rFonts w:cs="Arial"/>
                <w:sz w:val="16"/>
                <w:szCs w:val="16"/>
              </w:rPr>
              <w:t xml:space="preserve"> </w:t>
            </w:r>
          </w:p>
        </w:tc>
      </w:tr>
      <w:tr w:rsidR="00EA134E" w:rsidRPr="00492588" w14:paraId="485369B7" w14:textId="77777777" w:rsidTr="0007638E">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hideMark/>
          </w:tcPr>
          <w:p w14:paraId="5B2D7D57" w14:textId="7EAD6896" w:rsidR="00EA134E" w:rsidRPr="00144CE8" w:rsidRDefault="00EA134E" w:rsidP="00144CE8">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 xml:space="preserve"> </w:t>
            </w:r>
            <w:r w:rsidR="006B63F7">
              <w:rPr>
                <w:rFonts w:eastAsia="Times New Roman" w:cs="Arial"/>
                <w:color w:val="1C1C1C"/>
                <w:sz w:val="16"/>
                <w:szCs w:val="16"/>
                <w:lang w:eastAsia="en-AU"/>
              </w:rPr>
              <w:t>C</w:t>
            </w:r>
            <w:r w:rsidR="00FA05F7" w:rsidRPr="00144CE8">
              <w:rPr>
                <w:rFonts w:eastAsia="Times New Roman" w:cs="Arial"/>
                <w:color w:val="1C1C1C"/>
                <w:sz w:val="16"/>
                <w:szCs w:val="16"/>
                <w:lang w:eastAsia="en-AU"/>
              </w:rPr>
              <w:t xml:space="preserve">ost </w:t>
            </w:r>
            <w:r w:rsidRPr="00144CE8">
              <w:rPr>
                <w:rFonts w:eastAsia="Times New Roman" w:cs="Arial"/>
                <w:color w:val="1C1C1C"/>
                <w:sz w:val="16"/>
                <w:szCs w:val="16"/>
                <w:lang w:eastAsia="en-AU"/>
              </w:rPr>
              <w:t xml:space="preserve">($)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7B2E525C" w14:textId="0A25F71A" w:rsidR="00EA134E" w:rsidRPr="001F0D73" w:rsidRDefault="00EA134E" w:rsidP="00144CE8">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6,607,898,418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3B1A98DF" w14:textId="6D85539E" w:rsidR="00EA134E" w:rsidRPr="001F0D73" w:rsidRDefault="00EA134E" w:rsidP="00144CE8">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7,366,799,103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066769D3" w14:textId="2C030C96" w:rsidR="00EA134E" w:rsidRPr="001F0D73" w:rsidRDefault="00081D6C" w:rsidP="00144CE8">
            <w:pPr>
              <w:spacing w:before="40" w:after="40" w:line="240" w:lineRule="auto"/>
              <w:jc w:val="right"/>
              <w:rPr>
                <w:rFonts w:eastAsia="Times New Roman" w:cs="Arial"/>
                <w:color w:val="1C1C1C"/>
                <w:sz w:val="16"/>
                <w:szCs w:val="16"/>
                <w:lang w:eastAsia="en-AU"/>
              </w:rPr>
            </w:pPr>
            <w:r w:rsidRPr="00144CE8">
              <w:rPr>
                <w:rFonts w:cs="Arial"/>
                <w:sz w:val="16"/>
                <w:szCs w:val="16"/>
              </w:rPr>
              <w:t>8,400,951,793</w:t>
            </w:r>
            <w:r w:rsidR="00EA134E" w:rsidRPr="00144CE8">
              <w:rPr>
                <w:rFonts w:cs="Arial"/>
                <w:sz w:val="16"/>
                <w:szCs w:val="16"/>
              </w:rPr>
              <w:t xml:space="preserve"> </w:t>
            </w:r>
          </w:p>
        </w:tc>
      </w:tr>
      <w:tr w:rsidR="00EA134E" w:rsidRPr="00492588" w14:paraId="2AA43E46" w14:textId="77777777" w:rsidTr="0007638E">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hideMark/>
          </w:tcPr>
          <w:p w14:paraId="2D671ED2" w14:textId="5B78328F" w:rsidR="00EA134E" w:rsidRPr="00144CE8" w:rsidRDefault="00EA134E" w:rsidP="00144CE8">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 xml:space="preserve"> Average cost per </w:t>
            </w:r>
            <w:r w:rsidR="003F092B">
              <w:rPr>
                <w:rFonts w:eastAsia="Times New Roman" w:cs="Arial"/>
                <w:color w:val="1C1C1C"/>
                <w:sz w:val="16"/>
                <w:szCs w:val="16"/>
                <w:lang w:eastAsia="en-AU"/>
              </w:rPr>
              <w:t>presentation</w:t>
            </w:r>
            <w:r w:rsidR="003F092B" w:rsidRPr="00144CE8">
              <w:rPr>
                <w:rFonts w:eastAsia="Times New Roman" w:cs="Arial"/>
                <w:color w:val="1C1C1C"/>
                <w:sz w:val="16"/>
                <w:szCs w:val="16"/>
                <w:lang w:eastAsia="en-AU"/>
              </w:rPr>
              <w:t xml:space="preserve"> </w:t>
            </w:r>
            <w:r w:rsidRPr="00144CE8">
              <w:rPr>
                <w:rFonts w:eastAsia="Times New Roman" w:cs="Arial"/>
                <w:color w:val="1C1C1C"/>
                <w:sz w:val="16"/>
                <w:szCs w:val="16"/>
                <w:lang w:eastAsia="en-AU"/>
              </w:rPr>
              <w:t xml:space="preserve">($)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681638E0" w14:textId="427305C2" w:rsidR="00EA134E" w:rsidRPr="001F0D73" w:rsidRDefault="00EA134E" w:rsidP="00144CE8">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790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3790DA5E" w14:textId="51B0BE24" w:rsidR="00EA134E" w:rsidRPr="001F0D73" w:rsidRDefault="00EA134E" w:rsidP="00144CE8">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891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4B161EB1" w14:textId="0C06AC70" w:rsidR="00EA134E" w:rsidRPr="001F0D73" w:rsidRDefault="00EA134E" w:rsidP="00144CE8">
            <w:pPr>
              <w:spacing w:before="40" w:after="40" w:line="240" w:lineRule="auto"/>
              <w:jc w:val="right"/>
              <w:rPr>
                <w:rFonts w:eastAsia="Times New Roman" w:cs="Arial"/>
                <w:color w:val="1C1C1C"/>
                <w:sz w:val="16"/>
                <w:szCs w:val="16"/>
                <w:lang w:eastAsia="en-AU"/>
              </w:rPr>
            </w:pPr>
            <w:r w:rsidRPr="00144CE8">
              <w:rPr>
                <w:rFonts w:cs="Arial"/>
                <w:sz w:val="16"/>
                <w:szCs w:val="16"/>
              </w:rPr>
              <w:t xml:space="preserve">                    98</w:t>
            </w:r>
            <w:r w:rsidR="00081D6C" w:rsidRPr="00144CE8">
              <w:rPr>
                <w:rFonts w:cs="Arial"/>
                <w:sz w:val="16"/>
                <w:szCs w:val="16"/>
              </w:rPr>
              <w:t>0</w:t>
            </w:r>
            <w:r w:rsidRPr="00144CE8">
              <w:rPr>
                <w:rFonts w:cs="Arial"/>
                <w:sz w:val="16"/>
                <w:szCs w:val="16"/>
              </w:rPr>
              <w:t xml:space="preserve"> </w:t>
            </w:r>
          </w:p>
        </w:tc>
      </w:tr>
    </w:tbl>
    <w:p w14:paraId="3BF279D2" w14:textId="0D1238A9" w:rsidR="00646372" w:rsidRDefault="00646372">
      <w:pPr>
        <w:spacing w:line="259" w:lineRule="auto"/>
        <w:rPr>
          <w:rFonts w:cs="Arial"/>
          <w:color w:val="auto"/>
        </w:rPr>
      </w:pPr>
      <w:r>
        <w:rPr>
          <w:rFonts w:cs="Arial"/>
          <w:color w:val="auto"/>
        </w:rPr>
        <w:br w:type="page"/>
      </w:r>
    </w:p>
    <w:p w14:paraId="470DAAB4" w14:textId="77AD8E43" w:rsidR="00BF2F93" w:rsidRPr="00CE058E" w:rsidRDefault="00BF2F93" w:rsidP="007B41F8">
      <w:pPr>
        <w:pStyle w:val="Heading2"/>
      </w:pPr>
      <w:bookmarkStart w:id="214" w:name="_Toc144215455"/>
      <w:bookmarkStart w:id="215" w:name="_Toc144967660"/>
      <w:bookmarkStart w:id="216" w:name="_Toc151129707"/>
      <w:bookmarkStart w:id="217" w:name="_Toc158882558"/>
      <w:bookmarkStart w:id="218" w:name="_Toc158882619"/>
      <w:r w:rsidRPr="00CE058E">
        <w:lastRenderedPageBreak/>
        <w:t xml:space="preserve">Emergency department </w:t>
      </w:r>
      <w:bookmarkEnd w:id="214"/>
      <w:bookmarkEnd w:id="215"/>
      <w:bookmarkEnd w:id="216"/>
      <w:bookmarkEnd w:id="217"/>
      <w:bookmarkEnd w:id="218"/>
      <w:r w:rsidR="007F7EEF">
        <w:t>sample</w:t>
      </w:r>
    </w:p>
    <w:p w14:paraId="3C15EF5E" w14:textId="743FE254" w:rsidR="005D3779" w:rsidRPr="00091B20" w:rsidRDefault="005D3779" w:rsidP="00530E79">
      <w:pPr>
        <w:spacing w:before="240" w:line="276" w:lineRule="auto"/>
        <w:rPr>
          <w:rFonts w:cs="Arial"/>
        </w:rPr>
      </w:pPr>
      <w:bookmarkStart w:id="219" w:name="_Hlk146653679"/>
      <w:bookmarkStart w:id="220" w:name="_Hlk146612577"/>
      <w:bookmarkStart w:id="221" w:name="_Toc144215456"/>
      <w:r w:rsidRPr="00091B20">
        <w:rPr>
          <w:rFonts w:cs="Arial"/>
        </w:rPr>
        <w:t xml:space="preserve">In 2022-23, 99% of the NHCDC </w:t>
      </w:r>
      <w:r w:rsidR="00183417" w:rsidRPr="00091B20">
        <w:rPr>
          <w:rFonts w:cs="Arial"/>
        </w:rPr>
        <w:t>ED</w:t>
      </w:r>
      <w:r w:rsidRPr="00091B20">
        <w:rPr>
          <w:rFonts w:cs="Arial"/>
        </w:rPr>
        <w:t xml:space="preserve"> </w:t>
      </w:r>
      <w:r w:rsidR="00F07B8B" w:rsidRPr="00091B20">
        <w:rPr>
          <w:rFonts w:cs="Arial"/>
        </w:rPr>
        <w:t xml:space="preserve">patient </w:t>
      </w:r>
      <w:r w:rsidR="00652FCC" w:rsidRPr="00091B20">
        <w:rPr>
          <w:rFonts w:cs="Arial"/>
        </w:rPr>
        <w:t xml:space="preserve">presentations </w:t>
      </w:r>
      <w:r w:rsidRPr="00091B20">
        <w:rPr>
          <w:rFonts w:cs="Arial"/>
        </w:rPr>
        <w:t>were linked to activity and in</w:t>
      </w:r>
      <w:r w:rsidR="000501B8" w:rsidRPr="00091B20">
        <w:rPr>
          <w:rFonts w:cs="Arial"/>
        </w:rPr>
        <w:t xml:space="preserve"> </w:t>
      </w:r>
      <w:r w:rsidRPr="00091B20">
        <w:rPr>
          <w:rFonts w:cs="Arial"/>
        </w:rPr>
        <w:t xml:space="preserve">scope for NHCDC reporting. </w:t>
      </w:r>
      <w:r w:rsidR="007417A0" w:rsidRPr="00303546">
        <w:rPr>
          <w:rStyle w:val="Cross-referenceChar"/>
        </w:rPr>
        <w:fldChar w:fldCharType="begin"/>
      </w:r>
      <w:r w:rsidR="007417A0" w:rsidRPr="00303546">
        <w:rPr>
          <w:rStyle w:val="Cross-referenceChar"/>
        </w:rPr>
        <w:instrText xml:space="preserve"> REF _Ref185840938 \h </w:instrText>
      </w:r>
      <w:r w:rsidR="007417A0" w:rsidRPr="00091B20">
        <w:rPr>
          <w:rStyle w:val="Cross-referenceChar"/>
        </w:rPr>
        <w:instrText xml:space="preserve"> \* MERGEFORMAT </w:instrText>
      </w:r>
      <w:r w:rsidR="007417A0" w:rsidRPr="00303546">
        <w:rPr>
          <w:rStyle w:val="Cross-referenceChar"/>
        </w:rPr>
      </w:r>
      <w:r w:rsidR="007417A0" w:rsidRPr="00303546">
        <w:rPr>
          <w:rStyle w:val="Cross-referenceChar"/>
        </w:rPr>
        <w:fldChar w:fldCharType="separate"/>
      </w:r>
      <w:r w:rsidR="007417A0" w:rsidRPr="00303546">
        <w:rPr>
          <w:rStyle w:val="Cross-referenceChar"/>
        </w:rPr>
        <w:t>Table 16</w:t>
      </w:r>
      <w:r w:rsidR="007417A0" w:rsidRPr="00303546">
        <w:rPr>
          <w:rStyle w:val="Cross-referenceChar"/>
        </w:rPr>
        <w:fldChar w:fldCharType="end"/>
      </w:r>
      <w:r w:rsidRPr="00091B20">
        <w:rPr>
          <w:rFonts w:cs="Arial"/>
        </w:rPr>
        <w:t xml:space="preserve"> shows the number of in-scope </w:t>
      </w:r>
      <w:r w:rsidR="003A549C">
        <w:rPr>
          <w:rFonts w:cs="Arial"/>
        </w:rPr>
        <w:t xml:space="preserve">NHCDC </w:t>
      </w:r>
      <w:r w:rsidRPr="00091B20">
        <w:rPr>
          <w:rFonts w:cs="Arial"/>
        </w:rPr>
        <w:t>records</w:t>
      </w:r>
      <w:r w:rsidR="00226605" w:rsidRPr="00091B20">
        <w:rPr>
          <w:rFonts w:cs="Arial"/>
        </w:rPr>
        <w:t xml:space="preserve"> </w:t>
      </w:r>
      <w:r w:rsidRPr="00091B20">
        <w:rPr>
          <w:rFonts w:cs="Arial"/>
        </w:rPr>
        <w:t xml:space="preserve">and </w:t>
      </w:r>
      <w:r w:rsidR="003A549C">
        <w:rPr>
          <w:rFonts w:cs="Arial"/>
        </w:rPr>
        <w:t xml:space="preserve">ABF </w:t>
      </w:r>
      <w:r w:rsidRPr="00091B20">
        <w:rPr>
          <w:rFonts w:cs="Arial"/>
        </w:rPr>
        <w:t>activity,</w:t>
      </w:r>
      <w:r w:rsidR="00226605" w:rsidRPr="00091B20">
        <w:rPr>
          <w:rFonts w:cs="Arial"/>
        </w:rPr>
        <w:t xml:space="preserve"> and </w:t>
      </w:r>
      <w:r w:rsidR="00075FA6">
        <w:rPr>
          <w:rFonts w:cs="Arial"/>
        </w:rPr>
        <w:t xml:space="preserve">the proportion of </w:t>
      </w:r>
      <w:r w:rsidR="00226605" w:rsidRPr="00091B20">
        <w:rPr>
          <w:rFonts w:cs="Arial"/>
        </w:rPr>
        <w:t>costed activity</w:t>
      </w:r>
      <w:r w:rsidRPr="00091B20">
        <w:rPr>
          <w:rFonts w:cs="Arial"/>
        </w:rPr>
        <w:t xml:space="preserve"> from 2021-22 to </w:t>
      </w:r>
      <w:r w:rsidRPr="00091B20">
        <w:rPr>
          <w:rFonts w:cs="Arial"/>
          <w:lang w:val="en-PH"/>
        </w:rPr>
        <w:t>2022-23</w:t>
      </w:r>
      <w:r w:rsidRPr="00091B20">
        <w:rPr>
          <w:rFonts w:cs="Arial"/>
        </w:rPr>
        <w:t xml:space="preserve">. </w:t>
      </w:r>
      <w:r w:rsidR="0072141C" w:rsidRPr="00091B20">
        <w:rPr>
          <w:rFonts w:cs="Arial"/>
        </w:rPr>
        <w:t>In 2022-23, nationally 94% of in-scope activity was linked to cost (</w:t>
      </w:r>
      <w:r w:rsidR="00427E3A" w:rsidRPr="00091B20">
        <w:rPr>
          <w:rFonts w:cs="Arial"/>
        </w:rPr>
        <w:t>c</w:t>
      </w:r>
      <w:r w:rsidR="0072141C" w:rsidRPr="00091B20">
        <w:rPr>
          <w:rFonts w:cs="Arial"/>
        </w:rPr>
        <w:t xml:space="preserve">osted </w:t>
      </w:r>
      <w:r w:rsidR="00183417" w:rsidRPr="00091B20">
        <w:rPr>
          <w:rFonts w:cs="Arial"/>
        </w:rPr>
        <w:t>a</w:t>
      </w:r>
      <w:r w:rsidR="0072141C" w:rsidRPr="00091B20">
        <w:rPr>
          <w:rFonts w:cs="Arial"/>
        </w:rPr>
        <w:t>ctivity %)</w:t>
      </w:r>
      <w:r w:rsidR="0072141C" w:rsidRPr="00091B20">
        <w:t>, consistent with 2021-22.</w:t>
      </w:r>
    </w:p>
    <w:p w14:paraId="7E4D2A71" w14:textId="4A64E5FE" w:rsidR="00713835" w:rsidRDefault="00C53B6A" w:rsidP="00303546">
      <w:pPr>
        <w:pStyle w:val="TableFigureheading"/>
      </w:pPr>
      <w:bookmarkStart w:id="222" w:name="_Ref185840938"/>
      <w:bookmarkStart w:id="223" w:name="_Toc149650911"/>
      <w:bookmarkStart w:id="224" w:name="_Toc177467520"/>
      <w:bookmarkStart w:id="225" w:name="_Toc185852223"/>
      <w:bookmarkStart w:id="226" w:name="_Toc187312142"/>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7417A0">
        <w:rPr>
          <w:noProof/>
          <w:lang w:val="en-PH"/>
        </w:rPr>
        <w:t>16</w:t>
      </w:r>
      <w:r w:rsidRPr="0093558C">
        <w:rPr>
          <w:lang w:val="en-PH"/>
        </w:rPr>
        <w:fldChar w:fldCharType="end"/>
      </w:r>
      <w:bookmarkEnd w:id="222"/>
      <w:r w:rsidRPr="0093558C">
        <w:rPr>
          <w:lang w:val="en-PH"/>
        </w:rPr>
        <w:t xml:space="preserve">: </w:t>
      </w:r>
      <w:r w:rsidR="007F7EEF">
        <w:rPr>
          <w:lang w:val="en-PH"/>
        </w:rPr>
        <w:t xml:space="preserve">ED </w:t>
      </w:r>
      <w:r w:rsidR="0099089A">
        <w:rPr>
          <w:lang w:val="en-PH"/>
        </w:rPr>
        <w:t xml:space="preserve">sample summary by </w:t>
      </w:r>
      <w:r w:rsidR="0099089A" w:rsidRPr="00303546">
        <w:t>jurisdiction</w:t>
      </w:r>
      <w:r w:rsidR="0072141C">
        <w:rPr>
          <w:lang w:val="en-PH"/>
        </w:rPr>
        <w:t xml:space="preserve">, </w:t>
      </w:r>
      <w:r w:rsidR="00E137A0" w:rsidRPr="00D73FCC">
        <w:rPr>
          <w:lang w:val="en-PH"/>
        </w:rPr>
        <w:t>2020</w:t>
      </w:r>
      <w:r w:rsidR="00260452">
        <w:rPr>
          <w:lang w:val="en-PH"/>
        </w:rPr>
        <w:noBreakHyphen/>
      </w:r>
      <w:r w:rsidR="00E137A0" w:rsidRPr="00D73FCC">
        <w:rPr>
          <w:lang w:val="en-PH"/>
        </w:rPr>
        <w:t>21</w:t>
      </w:r>
      <w:r w:rsidRPr="0093558C">
        <w:rPr>
          <w:lang w:val="en-PH"/>
        </w:rPr>
        <w:t xml:space="preserve"> to </w:t>
      </w:r>
      <w:r w:rsidR="00930B24" w:rsidRPr="008B2CD8">
        <w:rPr>
          <w:lang w:val="en-PH"/>
        </w:rPr>
        <w:t>202</w:t>
      </w:r>
      <w:r w:rsidR="00930B24">
        <w:rPr>
          <w:lang w:val="en-PH"/>
        </w:rPr>
        <w:t>2</w:t>
      </w:r>
      <w:r w:rsidR="00930B24" w:rsidRPr="008B2CD8">
        <w:rPr>
          <w:lang w:val="en-PH"/>
        </w:rPr>
        <w:t>-2</w:t>
      </w:r>
      <w:r w:rsidR="00930B24">
        <w:rPr>
          <w:lang w:val="en-PH"/>
        </w:rPr>
        <w:t>3</w:t>
      </w:r>
      <w:bookmarkStart w:id="227" w:name="_Hlk146653660"/>
      <w:bookmarkEnd w:id="219"/>
      <w:bookmarkEnd w:id="223"/>
      <w:bookmarkEnd w:id="224"/>
      <w:bookmarkEnd w:id="225"/>
      <w:bookmarkEnd w:id="226"/>
    </w:p>
    <w:tbl>
      <w:tblPr>
        <w:tblW w:w="9639" w:type="dxa"/>
        <w:tblLook w:val="04A0" w:firstRow="1" w:lastRow="0" w:firstColumn="1" w:lastColumn="0" w:noHBand="0" w:noVBand="1"/>
      </w:tblPr>
      <w:tblGrid>
        <w:gridCol w:w="1124"/>
        <w:gridCol w:w="968"/>
        <w:gridCol w:w="962"/>
        <w:gridCol w:w="928"/>
        <w:gridCol w:w="962"/>
        <w:gridCol w:w="928"/>
        <w:gridCol w:w="962"/>
        <w:gridCol w:w="939"/>
        <w:gridCol w:w="928"/>
        <w:gridCol w:w="938"/>
      </w:tblGrid>
      <w:tr w:rsidR="003A549C" w:rsidRPr="00657489" w14:paraId="16E2D6A7" w14:textId="77777777" w:rsidTr="00BF4C5C">
        <w:trPr>
          <w:trHeight w:val="300"/>
        </w:trPr>
        <w:tc>
          <w:tcPr>
            <w:tcW w:w="1124" w:type="dxa"/>
            <w:vMerge w:val="restart"/>
            <w:tcBorders>
              <w:top w:val="nil"/>
              <w:left w:val="nil"/>
              <w:bottom w:val="single" w:sz="8" w:space="0" w:color="D9D9D9"/>
              <w:right w:val="single" w:sz="8" w:space="0" w:color="FFFFFF"/>
            </w:tcBorders>
            <w:shd w:val="clear" w:color="000000" w:fill="15272F"/>
            <w:vAlign w:val="center"/>
            <w:hideMark/>
          </w:tcPr>
          <w:p w14:paraId="0F6FDDFC" w14:textId="77777777" w:rsidR="003A549C" w:rsidRPr="00657489" w:rsidRDefault="003A549C" w:rsidP="003A549C">
            <w:pPr>
              <w:spacing w:before="40" w:after="40" w:line="240" w:lineRule="auto"/>
              <w:jc w:val="center"/>
              <w:rPr>
                <w:rFonts w:eastAsia="Times New Roman" w:cs="Arial"/>
                <w:b/>
                <w:bCs/>
                <w:color w:val="FFFFFF"/>
                <w:sz w:val="16"/>
                <w:szCs w:val="16"/>
                <w:lang w:eastAsia="en-AU"/>
              </w:rPr>
            </w:pPr>
            <w:r w:rsidRPr="00657489">
              <w:rPr>
                <w:rFonts w:eastAsia="Times New Roman" w:cs="Arial"/>
                <w:b/>
                <w:bCs/>
                <w:color w:val="FFFFFF" w:themeColor="background2"/>
                <w:sz w:val="16"/>
                <w:szCs w:val="16"/>
                <w:lang w:eastAsia="en-AU"/>
              </w:rPr>
              <w:t>Jurisdiction</w:t>
            </w:r>
          </w:p>
        </w:tc>
        <w:tc>
          <w:tcPr>
            <w:tcW w:w="2858" w:type="dxa"/>
            <w:gridSpan w:val="3"/>
            <w:tcBorders>
              <w:top w:val="single" w:sz="8" w:space="0" w:color="auto"/>
              <w:left w:val="nil"/>
              <w:bottom w:val="single" w:sz="8" w:space="0" w:color="FFFFFF"/>
              <w:right w:val="single" w:sz="8" w:space="0" w:color="FFFFFF"/>
            </w:tcBorders>
            <w:shd w:val="clear" w:color="000000" w:fill="15272F"/>
            <w:vAlign w:val="center"/>
            <w:hideMark/>
          </w:tcPr>
          <w:p w14:paraId="51A3BE26" w14:textId="131A8285" w:rsidR="003A549C" w:rsidRPr="00657489"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In-scope</w:t>
            </w:r>
            <w:r>
              <w:rPr>
                <w:rFonts w:eastAsia="Times New Roman" w:cs="Arial"/>
                <w:b/>
                <w:bCs/>
                <w:color w:val="FFFFFF" w:themeColor="background2"/>
                <w:sz w:val="16"/>
                <w:szCs w:val="16"/>
                <w:lang w:eastAsia="en-AU"/>
              </w:rPr>
              <w:t xml:space="preserve"> NHCDC</w:t>
            </w:r>
            <w:r w:rsidRPr="00F61D59">
              <w:rPr>
                <w:rFonts w:eastAsia="Times New Roman" w:cs="Arial"/>
                <w:b/>
                <w:bCs/>
                <w:color w:val="FFFFFF" w:themeColor="background2"/>
                <w:sz w:val="16"/>
                <w:szCs w:val="16"/>
                <w:lang w:eastAsia="en-AU"/>
              </w:rPr>
              <w:t xml:space="preserve"> </w:t>
            </w:r>
            <w:r>
              <w:rPr>
                <w:rFonts w:eastAsia="Times New Roman" w:cs="Arial"/>
                <w:b/>
                <w:bCs/>
                <w:color w:val="FFFFFF" w:themeColor="background2"/>
                <w:sz w:val="16"/>
                <w:szCs w:val="16"/>
                <w:lang w:eastAsia="en-AU"/>
              </w:rPr>
              <w:t>r</w:t>
            </w:r>
            <w:r w:rsidRPr="00F61D59">
              <w:rPr>
                <w:rFonts w:eastAsia="Times New Roman" w:cs="Arial"/>
                <w:b/>
                <w:bCs/>
                <w:color w:val="FFFFFF" w:themeColor="background2"/>
                <w:sz w:val="16"/>
                <w:szCs w:val="16"/>
                <w:lang w:eastAsia="en-AU"/>
              </w:rPr>
              <w:t>ecords</w:t>
            </w:r>
          </w:p>
        </w:tc>
        <w:tc>
          <w:tcPr>
            <w:tcW w:w="2852" w:type="dxa"/>
            <w:gridSpan w:val="3"/>
            <w:tcBorders>
              <w:top w:val="single" w:sz="8" w:space="0" w:color="auto"/>
              <w:left w:val="nil"/>
              <w:bottom w:val="single" w:sz="8" w:space="0" w:color="FFFFFF"/>
              <w:right w:val="single" w:sz="4" w:space="0" w:color="FFFFFF" w:themeColor="background2"/>
            </w:tcBorders>
            <w:shd w:val="clear" w:color="000000" w:fill="15272F"/>
            <w:vAlign w:val="center"/>
            <w:hideMark/>
          </w:tcPr>
          <w:p w14:paraId="11C29B16" w14:textId="7B0DDFD6" w:rsidR="003A549C" w:rsidRPr="00657489"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 xml:space="preserve">In-scope </w:t>
            </w:r>
            <w:r>
              <w:rPr>
                <w:rFonts w:eastAsia="Times New Roman" w:cs="Arial"/>
                <w:b/>
                <w:bCs/>
                <w:color w:val="FFFFFF" w:themeColor="background2"/>
                <w:sz w:val="16"/>
                <w:szCs w:val="16"/>
                <w:lang w:eastAsia="en-AU"/>
              </w:rPr>
              <w:t>ABF activity</w:t>
            </w:r>
          </w:p>
        </w:tc>
        <w:tc>
          <w:tcPr>
            <w:tcW w:w="2805" w:type="dxa"/>
            <w:gridSpan w:val="3"/>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71C46851" w14:textId="059C659E" w:rsidR="003A549C" w:rsidRPr="00657489" w:rsidRDefault="003A549C" w:rsidP="003A549C">
            <w:pPr>
              <w:spacing w:before="40" w:after="40" w:line="240" w:lineRule="auto"/>
              <w:jc w:val="center"/>
              <w:rPr>
                <w:rFonts w:eastAsia="Times New Roman" w:cs="Arial"/>
                <w:b/>
                <w:bCs/>
                <w:color w:val="FFFFFF"/>
                <w:sz w:val="16"/>
                <w:szCs w:val="16"/>
                <w:lang w:eastAsia="en-AU"/>
              </w:rPr>
            </w:pPr>
            <w:r w:rsidRPr="00657489">
              <w:rPr>
                <w:rFonts w:eastAsia="Times New Roman" w:cs="Arial"/>
                <w:b/>
                <w:bCs/>
                <w:color w:val="FFFFFF" w:themeColor="background2"/>
                <w:sz w:val="16"/>
                <w:szCs w:val="16"/>
                <w:lang w:eastAsia="en-AU"/>
              </w:rPr>
              <w:t xml:space="preserve">Costed </w:t>
            </w:r>
            <w:r>
              <w:rPr>
                <w:rFonts w:eastAsia="Times New Roman" w:cs="Arial"/>
                <w:b/>
                <w:bCs/>
                <w:color w:val="FFFFFF" w:themeColor="background2"/>
                <w:sz w:val="16"/>
                <w:szCs w:val="16"/>
                <w:lang w:eastAsia="en-AU"/>
              </w:rPr>
              <w:t>a</w:t>
            </w:r>
            <w:r w:rsidRPr="00657489">
              <w:rPr>
                <w:rFonts w:eastAsia="Times New Roman" w:cs="Arial"/>
                <w:b/>
                <w:bCs/>
                <w:color w:val="FFFFFF" w:themeColor="background2"/>
                <w:sz w:val="16"/>
                <w:szCs w:val="16"/>
                <w:lang w:eastAsia="en-AU"/>
              </w:rPr>
              <w:t>ctivity (%)</w:t>
            </w:r>
          </w:p>
        </w:tc>
      </w:tr>
      <w:tr w:rsidR="0072141C" w:rsidRPr="00657489" w14:paraId="07D82CCC" w14:textId="77777777" w:rsidTr="00BF4C5C">
        <w:trPr>
          <w:trHeight w:val="300"/>
        </w:trPr>
        <w:tc>
          <w:tcPr>
            <w:tcW w:w="1124" w:type="dxa"/>
            <w:vMerge/>
            <w:tcBorders>
              <w:top w:val="nil"/>
              <w:left w:val="nil"/>
              <w:bottom w:val="single" w:sz="8" w:space="0" w:color="D9D9D9"/>
              <w:right w:val="single" w:sz="8" w:space="0" w:color="FFFFFF"/>
            </w:tcBorders>
            <w:vAlign w:val="center"/>
            <w:hideMark/>
          </w:tcPr>
          <w:p w14:paraId="17517573" w14:textId="77777777" w:rsidR="0072141C" w:rsidRPr="00657489" w:rsidRDefault="0072141C" w:rsidP="0072141C">
            <w:pPr>
              <w:spacing w:before="40" w:after="40" w:line="240" w:lineRule="auto"/>
              <w:rPr>
                <w:rFonts w:eastAsia="Times New Roman" w:cs="Arial"/>
                <w:b/>
                <w:bCs/>
                <w:color w:val="FFFFFF"/>
                <w:sz w:val="16"/>
                <w:szCs w:val="16"/>
                <w:lang w:eastAsia="en-AU"/>
              </w:rPr>
            </w:pPr>
          </w:p>
        </w:tc>
        <w:tc>
          <w:tcPr>
            <w:tcW w:w="968" w:type="dxa"/>
            <w:tcBorders>
              <w:top w:val="nil"/>
              <w:left w:val="nil"/>
              <w:bottom w:val="single" w:sz="8" w:space="0" w:color="D9D9D9"/>
              <w:right w:val="single" w:sz="8" w:space="0" w:color="FFFFFF"/>
            </w:tcBorders>
            <w:shd w:val="clear" w:color="000000" w:fill="15272F"/>
            <w:vAlign w:val="center"/>
            <w:hideMark/>
          </w:tcPr>
          <w:p w14:paraId="2B1379C5" w14:textId="77777777" w:rsidR="0072141C" w:rsidRPr="00657489" w:rsidRDefault="0072141C" w:rsidP="0072141C">
            <w:pPr>
              <w:spacing w:before="40" w:after="40" w:line="240" w:lineRule="auto"/>
              <w:jc w:val="center"/>
              <w:rPr>
                <w:rFonts w:eastAsia="Times New Roman" w:cs="Arial"/>
                <w:b/>
                <w:bCs/>
                <w:color w:val="FFFFFF"/>
                <w:sz w:val="16"/>
                <w:szCs w:val="16"/>
                <w:lang w:eastAsia="en-AU"/>
              </w:rPr>
            </w:pPr>
            <w:r w:rsidRPr="00657489">
              <w:rPr>
                <w:rFonts w:eastAsia="Times New Roman" w:cs="Arial"/>
                <w:b/>
                <w:bCs/>
                <w:color w:val="FFFFFF" w:themeColor="background2"/>
                <w:sz w:val="16"/>
                <w:szCs w:val="16"/>
                <w:lang w:eastAsia="en-AU"/>
              </w:rPr>
              <w:t>2020-21</w:t>
            </w:r>
          </w:p>
        </w:tc>
        <w:tc>
          <w:tcPr>
            <w:tcW w:w="962" w:type="dxa"/>
            <w:tcBorders>
              <w:top w:val="nil"/>
              <w:left w:val="nil"/>
              <w:bottom w:val="single" w:sz="8" w:space="0" w:color="D9D9D9"/>
              <w:right w:val="single" w:sz="8" w:space="0" w:color="FFFFFF"/>
            </w:tcBorders>
            <w:shd w:val="clear" w:color="000000" w:fill="15272F"/>
            <w:vAlign w:val="center"/>
            <w:hideMark/>
          </w:tcPr>
          <w:p w14:paraId="25334EDD" w14:textId="77777777" w:rsidR="0072141C" w:rsidRPr="00657489" w:rsidRDefault="0072141C" w:rsidP="0072141C">
            <w:pPr>
              <w:spacing w:before="40" w:after="40" w:line="240" w:lineRule="auto"/>
              <w:jc w:val="center"/>
              <w:rPr>
                <w:rFonts w:eastAsia="Times New Roman" w:cs="Arial"/>
                <w:b/>
                <w:bCs/>
                <w:color w:val="FFFFFF"/>
                <w:sz w:val="16"/>
                <w:szCs w:val="16"/>
                <w:lang w:eastAsia="en-AU"/>
              </w:rPr>
            </w:pPr>
            <w:r w:rsidRPr="00657489">
              <w:rPr>
                <w:rFonts w:eastAsia="Times New Roman" w:cs="Arial"/>
                <w:b/>
                <w:bCs/>
                <w:color w:val="FFFFFF" w:themeColor="background2"/>
                <w:sz w:val="16"/>
                <w:szCs w:val="16"/>
                <w:lang w:eastAsia="en-AU"/>
              </w:rPr>
              <w:t>2021-22</w:t>
            </w:r>
          </w:p>
        </w:tc>
        <w:tc>
          <w:tcPr>
            <w:tcW w:w="928" w:type="dxa"/>
            <w:tcBorders>
              <w:top w:val="nil"/>
              <w:left w:val="nil"/>
              <w:bottom w:val="single" w:sz="8" w:space="0" w:color="D9D9D9"/>
              <w:right w:val="single" w:sz="8" w:space="0" w:color="FFFFFF"/>
            </w:tcBorders>
            <w:shd w:val="clear" w:color="000000" w:fill="15272F"/>
            <w:vAlign w:val="center"/>
            <w:hideMark/>
          </w:tcPr>
          <w:p w14:paraId="3C653506" w14:textId="77777777" w:rsidR="0072141C" w:rsidRPr="00657489" w:rsidRDefault="0072141C" w:rsidP="0072141C">
            <w:pPr>
              <w:spacing w:before="40" w:after="40" w:line="240" w:lineRule="auto"/>
              <w:jc w:val="center"/>
              <w:rPr>
                <w:rFonts w:eastAsia="Times New Roman" w:cs="Arial"/>
                <w:b/>
                <w:bCs/>
                <w:color w:val="FFFFFF"/>
                <w:sz w:val="16"/>
                <w:szCs w:val="16"/>
                <w:lang w:eastAsia="en-AU"/>
              </w:rPr>
            </w:pPr>
            <w:r w:rsidRPr="00657489">
              <w:rPr>
                <w:rFonts w:eastAsia="Times New Roman" w:cs="Arial"/>
                <w:b/>
                <w:bCs/>
                <w:color w:val="FFFFFF" w:themeColor="background2"/>
                <w:sz w:val="16"/>
                <w:szCs w:val="16"/>
                <w:lang w:eastAsia="en-AU"/>
              </w:rPr>
              <w:t>2022-23</w:t>
            </w:r>
          </w:p>
        </w:tc>
        <w:tc>
          <w:tcPr>
            <w:tcW w:w="962" w:type="dxa"/>
            <w:tcBorders>
              <w:top w:val="nil"/>
              <w:left w:val="nil"/>
              <w:bottom w:val="single" w:sz="8" w:space="0" w:color="D9D9D9"/>
              <w:right w:val="single" w:sz="8" w:space="0" w:color="FFFFFF"/>
            </w:tcBorders>
            <w:shd w:val="clear" w:color="000000" w:fill="15272F"/>
            <w:vAlign w:val="center"/>
            <w:hideMark/>
          </w:tcPr>
          <w:p w14:paraId="11AFFEA0" w14:textId="77777777" w:rsidR="0072141C" w:rsidRPr="00657489" w:rsidRDefault="0072141C" w:rsidP="0072141C">
            <w:pPr>
              <w:spacing w:before="40" w:after="40" w:line="240" w:lineRule="auto"/>
              <w:jc w:val="center"/>
              <w:rPr>
                <w:rFonts w:eastAsia="Times New Roman" w:cs="Arial"/>
                <w:b/>
                <w:bCs/>
                <w:color w:val="FFFFFF"/>
                <w:sz w:val="16"/>
                <w:szCs w:val="16"/>
                <w:lang w:eastAsia="en-AU"/>
              </w:rPr>
            </w:pPr>
            <w:r w:rsidRPr="00657489">
              <w:rPr>
                <w:rFonts w:eastAsia="Times New Roman" w:cs="Arial"/>
                <w:b/>
                <w:bCs/>
                <w:color w:val="FFFFFF" w:themeColor="background2"/>
                <w:sz w:val="16"/>
                <w:szCs w:val="16"/>
                <w:lang w:eastAsia="en-AU"/>
              </w:rPr>
              <w:t>2020-21</w:t>
            </w:r>
          </w:p>
        </w:tc>
        <w:tc>
          <w:tcPr>
            <w:tcW w:w="928" w:type="dxa"/>
            <w:tcBorders>
              <w:top w:val="nil"/>
              <w:left w:val="nil"/>
              <w:bottom w:val="single" w:sz="8" w:space="0" w:color="D9D9D9"/>
              <w:right w:val="single" w:sz="8" w:space="0" w:color="FFFFFF"/>
            </w:tcBorders>
            <w:shd w:val="clear" w:color="000000" w:fill="15272F"/>
            <w:vAlign w:val="center"/>
            <w:hideMark/>
          </w:tcPr>
          <w:p w14:paraId="27C7F2A1" w14:textId="77777777" w:rsidR="0072141C" w:rsidRPr="00657489" w:rsidRDefault="0072141C" w:rsidP="0072141C">
            <w:pPr>
              <w:spacing w:before="40" w:after="40" w:line="240" w:lineRule="auto"/>
              <w:jc w:val="center"/>
              <w:rPr>
                <w:rFonts w:eastAsia="Times New Roman" w:cs="Arial"/>
                <w:b/>
                <w:bCs/>
                <w:color w:val="FFFFFF"/>
                <w:sz w:val="16"/>
                <w:szCs w:val="16"/>
                <w:lang w:eastAsia="en-AU"/>
              </w:rPr>
            </w:pPr>
            <w:r w:rsidRPr="00657489">
              <w:rPr>
                <w:rFonts w:eastAsia="Times New Roman" w:cs="Arial"/>
                <w:b/>
                <w:bCs/>
                <w:color w:val="FFFFFF" w:themeColor="background2"/>
                <w:sz w:val="16"/>
                <w:szCs w:val="16"/>
                <w:lang w:eastAsia="en-AU"/>
              </w:rPr>
              <w:t>2021-22</w:t>
            </w:r>
          </w:p>
        </w:tc>
        <w:tc>
          <w:tcPr>
            <w:tcW w:w="962" w:type="dxa"/>
            <w:tcBorders>
              <w:top w:val="nil"/>
              <w:left w:val="nil"/>
              <w:bottom w:val="single" w:sz="8" w:space="0" w:color="D9D9D9"/>
              <w:right w:val="single" w:sz="8" w:space="0" w:color="FFFFFF"/>
            </w:tcBorders>
            <w:shd w:val="clear" w:color="000000" w:fill="15272F"/>
            <w:vAlign w:val="center"/>
            <w:hideMark/>
          </w:tcPr>
          <w:p w14:paraId="3CB3CE4D" w14:textId="77777777" w:rsidR="0072141C" w:rsidRPr="00657489" w:rsidRDefault="0072141C" w:rsidP="0072141C">
            <w:pPr>
              <w:spacing w:before="40" w:after="40" w:line="240" w:lineRule="auto"/>
              <w:jc w:val="center"/>
              <w:rPr>
                <w:rFonts w:eastAsia="Times New Roman" w:cs="Arial"/>
                <w:b/>
                <w:bCs/>
                <w:color w:val="FFFFFF"/>
                <w:sz w:val="16"/>
                <w:szCs w:val="16"/>
                <w:lang w:eastAsia="en-AU"/>
              </w:rPr>
            </w:pPr>
            <w:r w:rsidRPr="00657489">
              <w:rPr>
                <w:rFonts w:eastAsia="Times New Roman" w:cs="Arial"/>
                <w:b/>
                <w:bCs/>
                <w:color w:val="FFFFFF" w:themeColor="background2"/>
                <w:sz w:val="16"/>
                <w:szCs w:val="16"/>
                <w:lang w:eastAsia="en-AU"/>
              </w:rPr>
              <w:t>2022-23</w:t>
            </w:r>
          </w:p>
        </w:tc>
        <w:tc>
          <w:tcPr>
            <w:tcW w:w="939" w:type="dxa"/>
            <w:tcBorders>
              <w:top w:val="single" w:sz="8" w:space="0" w:color="D9D9D9"/>
              <w:left w:val="nil"/>
              <w:bottom w:val="single" w:sz="8" w:space="0" w:color="D9D9D9"/>
              <w:right w:val="single" w:sz="4" w:space="0" w:color="FFFFFF" w:themeColor="background2"/>
            </w:tcBorders>
            <w:shd w:val="clear" w:color="000000" w:fill="15272F"/>
            <w:vAlign w:val="center"/>
            <w:hideMark/>
          </w:tcPr>
          <w:p w14:paraId="58FE2235" w14:textId="77777777" w:rsidR="0072141C" w:rsidRPr="00657489" w:rsidRDefault="0072141C" w:rsidP="0072141C">
            <w:pPr>
              <w:spacing w:before="40" w:after="40" w:line="240" w:lineRule="auto"/>
              <w:jc w:val="center"/>
              <w:rPr>
                <w:rFonts w:eastAsia="Times New Roman" w:cs="Arial"/>
                <w:b/>
                <w:bCs/>
                <w:color w:val="FFFFFF"/>
                <w:sz w:val="16"/>
                <w:szCs w:val="16"/>
                <w:lang w:eastAsia="en-AU"/>
              </w:rPr>
            </w:pPr>
            <w:r w:rsidRPr="00657489">
              <w:rPr>
                <w:rFonts w:eastAsia="Times New Roman" w:cs="Arial"/>
                <w:b/>
                <w:bCs/>
                <w:color w:val="FFFFFF" w:themeColor="background2"/>
                <w:sz w:val="16"/>
                <w:szCs w:val="16"/>
                <w:lang w:eastAsia="en-AU"/>
              </w:rPr>
              <w:t>2020-21</w:t>
            </w:r>
          </w:p>
        </w:tc>
        <w:tc>
          <w:tcPr>
            <w:tcW w:w="928"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28733AF9" w14:textId="77777777" w:rsidR="0072141C" w:rsidRPr="00657489" w:rsidRDefault="0072141C" w:rsidP="0072141C">
            <w:pPr>
              <w:spacing w:before="40" w:after="40" w:line="240" w:lineRule="auto"/>
              <w:jc w:val="center"/>
              <w:rPr>
                <w:rFonts w:eastAsia="Times New Roman" w:cs="Arial"/>
                <w:b/>
                <w:bCs/>
                <w:color w:val="FFFFFF"/>
                <w:sz w:val="16"/>
                <w:szCs w:val="16"/>
                <w:lang w:eastAsia="en-AU"/>
              </w:rPr>
            </w:pPr>
            <w:r w:rsidRPr="00657489">
              <w:rPr>
                <w:rFonts w:eastAsia="Times New Roman" w:cs="Arial"/>
                <w:b/>
                <w:bCs/>
                <w:color w:val="FFFFFF" w:themeColor="background2"/>
                <w:sz w:val="16"/>
                <w:szCs w:val="16"/>
                <w:lang w:eastAsia="en-AU"/>
              </w:rPr>
              <w:t>2021-22</w:t>
            </w:r>
          </w:p>
        </w:tc>
        <w:tc>
          <w:tcPr>
            <w:tcW w:w="938"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67AA35A0" w14:textId="77777777" w:rsidR="0072141C" w:rsidRPr="00657489" w:rsidRDefault="0072141C" w:rsidP="0072141C">
            <w:pPr>
              <w:spacing w:before="40" w:after="40" w:line="240" w:lineRule="auto"/>
              <w:jc w:val="center"/>
              <w:rPr>
                <w:rFonts w:eastAsia="Times New Roman" w:cs="Arial"/>
                <w:b/>
                <w:bCs/>
                <w:color w:val="FFFFFF"/>
                <w:sz w:val="16"/>
                <w:szCs w:val="16"/>
                <w:lang w:eastAsia="en-AU"/>
              </w:rPr>
            </w:pPr>
            <w:r w:rsidRPr="00657489">
              <w:rPr>
                <w:rFonts w:eastAsia="Times New Roman" w:cs="Arial"/>
                <w:b/>
                <w:bCs/>
                <w:color w:val="FFFFFF" w:themeColor="background2"/>
                <w:sz w:val="16"/>
                <w:szCs w:val="16"/>
                <w:lang w:eastAsia="en-AU"/>
              </w:rPr>
              <w:t>2022-23</w:t>
            </w:r>
          </w:p>
        </w:tc>
      </w:tr>
      <w:tr w:rsidR="0072141C" w:rsidRPr="00657489" w14:paraId="0E636282" w14:textId="77777777" w:rsidTr="00530E79">
        <w:trPr>
          <w:trHeight w:val="300"/>
        </w:trPr>
        <w:tc>
          <w:tcPr>
            <w:tcW w:w="1124" w:type="dxa"/>
            <w:tcBorders>
              <w:top w:val="nil"/>
              <w:left w:val="nil"/>
              <w:bottom w:val="single" w:sz="8" w:space="0" w:color="D9D9D9"/>
              <w:right w:val="single" w:sz="8" w:space="0" w:color="FFFFFF"/>
            </w:tcBorders>
            <w:shd w:val="clear" w:color="auto" w:fill="auto"/>
            <w:vAlign w:val="center"/>
            <w:hideMark/>
          </w:tcPr>
          <w:p w14:paraId="0B3B3048" w14:textId="77777777" w:rsidR="0072141C" w:rsidRPr="00657489" w:rsidRDefault="0072141C" w:rsidP="0072141C">
            <w:pPr>
              <w:spacing w:before="40" w:after="40" w:line="240" w:lineRule="auto"/>
              <w:rPr>
                <w:rFonts w:eastAsia="Times New Roman" w:cs="Arial"/>
                <w:color w:val="1C1C1C"/>
                <w:sz w:val="16"/>
                <w:szCs w:val="16"/>
                <w:lang w:eastAsia="en-AU"/>
              </w:rPr>
            </w:pPr>
            <w:r w:rsidRPr="00657489">
              <w:rPr>
                <w:rFonts w:eastAsia="Times New Roman" w:cs="Arial"/>
                <w:color w:val="1C1C1C"/>
                <w:sz w:val="16"/>
                <w:szCs w:val="16"/>
                <w:lang w:eastAsia="en-AU"/>
              </w:rPr>
              <w:t>NSW</w:t>
            </w:r>
          </w:p>
        </w:tc>
        <w:tc>
          <w:tcPr>
            <w:tcW w:w="968" w:type="dxa"/>
            <w:tcBorders>
              <w:top w:val="nil"/>
              <w:left w:val="nil"/>
              <w:bottom w:val="nil"/>
              <w:right w:val="single" w:sz="8" w:space="0" w:color="FFFFFF"/>
            </w:tcBorders>
            <w:shd w:val="clear" w:color="000000" w:fill="F2F2F2"/>
            <w:vAlign w:val="center"/>
            <w:hideMark/>
          </w:tcPr>
          <w:p w14:paraId="78B7E709" w14:textId="7A6F1A05" w:rsidR="0072141C" w:rsidRPr="00C3787D" w:rsidRDefault="0072141C" w:rsidP="0072141C">
            <w:pPr>
              <w:spacing w:before="40" w:after="40" w:line="240" w:lineRule="auto"/>
              <w:jc w:val="right"/>
              <w:rPr>
                <w:rFonts w:eastAsia="Times New Roman" w:cs="Arial"/>
                <w:b/>
                <w:bCs/>
                <w:color w:val="000000"/>
                <w:sz w:val="16"/>
                <w:szCs w:val="16"/>
                <w:u w:val="single"/>
                <w:lang w:eastAsia="en-AU"/>
              </w:rPr>
            </w:pPr>
            <w:r w:rsidRPr="00580B1C">
              <w:rPr>
                <w:rFonts w:cs="Arial"/>
                <w:color w:val="15272F"/>
                <w:sz w:val="16"/>
                <w:szCs w:val="16"/>
              </w:rPr>
              <w:t xml:space="preserve">2,520,197 </w:t>
            </w:r>
          </w:p>
        </w:tc>
        <w:tc>
          <w:tcPr>
            <w:tcW w:w="962" w:type="dxa"/>
            <w:tcBorders>
              <w:top w:val="nil"/>
              <w:left w:val="nil"/>
              <w:bottom w:val="nil"/>
              <w:right w:val="single" w:sz="8" w:space="0" w:color="FFFFFF"/>
            </w:tcBorders>
            <w:shd w:val="clear" w:color="000000" w:fill="F2F2F2"/>
            <w:vAlign w:val="center"/>
            <w:hideMark/>
          </w:tcPr>
          <w:p w14:paraId="42273CE7" w14:textId="13461CBE" w:rsidR="0072141C" w:rsidRPr="00C3787D" w:rsidRDefault="0072141C" w:rsidP="0072141C">
            <w:pPr>
              <w:spacing w:before="40" w:after="40" w:line="240" w:lineRule="auto"/>
              <w:jc w:val="right"/>
              <w:rPr>
                <w:rFonts w:eastAsia="Times New Roman" w:cs="Arial"/>
                <w:b/>
                <w:bCs/>
                <w:color w:val="000000"/>
                <w:sz w:val="16"/>
                <w:szCs w:val="16"/>
                <w:u w:val="single"/>
                <w:lang w:eastAsia="en-AU"/>
              </w:rPr>
            </w:pPr>
            <w:r w:rsidRPr="00580B1C">
              <w:rPr>
                <w:rFonts w:cs="Arial"/>
                <w:color w:val="15272F"/>
                <w:sz w:val="16"/>
                <w:szCs w:val="16"/>
              </w:rPr>
              <w:t xml:space="preserve">2,463,075 </w:t>
            </w:r>
          </w:p>
        </w:tc>
        <w:tc>
          <w:tcPr>
            <w:tcW w:w="928" w:type="dxa"/>
            <w:tcBorders>
              <w:top w:val="nil"/>
              <w:left w:val="nil"/>
              <w:bottom w:val="nil"/>
              <w:right w:val="single" w:sz="8" w:space="0" w:color="FFFFFF"/>
            </w:tcBorders>
            <w:shd w:val="clear" w:color="000000" w:fill="F2F2F2"/>
            <w:vAlign w:val="center"/>
            <w:hideMark/>
          </w:tcPr>
          <w:p w14:paraId="765854D6" w14:textId="03C9604C" w:rsidR="0072141C" w:rsidRPr="00C3787D" w:rsidRDefault="0072141C" w:rsidP="0072141C">
            <w:pPr>
              <w:spacing w:before="40" w:after="40" w:line="240" w:lineRule="auto"/>
              <w:jc w:val="right"/>
              <w:rPr>
                <w:rFonts w:eastAsia="Times New Roman" w:cs="Arial"/>
                <w:b/>
                <w:bCs/>
                <w:color w:val="1C1C1C"/>
                <w:sz w:val="16"/>
                <w:szCs w:val="16"/>
                <w:u w:val="single"/>
                <w:lang w:eastAsia="en-AU"/>
              </w:rPr>
            </w:pPr>
            <w:r w:rsidRPr="00580B1C">
              <w:rPr>
                <w:rFonts w:cs="Arial"/>
                <w:color w:val="15272F"/>
                <w:sz w:val="16"/>
                <w:szCs w:val="16"/>
              </w:rPr>
              <w:t xml:space="preserve">2,725,997 </w:t>
            </w:r>
          </w:p>
        </w:tc>
        <w:tc>
          <w:tcPr>
            <w:tcW w:w="962" w:type="dxa"/>
            <w:tcBorders>
              <w:top w:val="nil"/>
              <w:left w:val="nil"/>
              <w:bottom w:val="single" w:sz="8" w:space="0" w:color="D9D9D9"/>
              <w:right w:val="single" w:sz="8" w:space="0" w:color="FFFFFF"/>
            </w:tcBorders>
            <w:shd w:val="clear" w:color="000000" w:fill="F2F2F2"/>
            <w:vAlign w:val="center"/>
            <w:hideMark/>
          </w:tcPr>
          <w:p w14:paraId="35BB9DAA" w14:textId="5BF304C3"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2,958,710 </w:t>
            </w:r>
          </w:p>
        </w:tc>
        <w:tc>
          <w:tcPr>
            <w:tcW w:w="928" w:type="dxa"/>
            <w:tcBorders>
              <w:top w:val="nil"/>
              <w:left w:val="nil"/>
              <w:bottom w:val="single" w:sz="8" w:space="0" w:color="D9D9D9"/>
              <w:right w:val="single" w:sz="8" w:space="0" w:color="FFFFFF"/>
            </w:tcBorders>
            <w:shd w:val="clear" w:color="000000" w:fill="F2F2F2"/>
            <w:vAlign w:val="center"/>
            <w:hideMark/>
          </w:tcPr>
          <w:p w14:paraId="799C4969" w14:textId="150A86AF" w:rsidR="0072141C" w:rsidRPr="00BF4C5C" w:rsidRDefault="0072141C" w:rsidP="0072141C">
            <w:pPr>
              <w:spacing w:before="40" w:after="40" w:line="240" w:lineRule="auto"/>
              <w:jc w:val="right"/>
              <w:rPr>
                <w:rFonts w:eastAsia="Times New Roman" w:cs="Arial"/>
                <w:b/>
                <w:bCs/>
                <w:color w:val="1C1C1C"/>
                <w:sz w:val="16"/>
                <w:szCs w:val="16"/>
                <w:u w:val="single"/>
                <w:lang w:eastAsia="en-AU"/>
              </w:rPr>
            </w:pPr>
            <w:r w:rsidRPr="00580B1C">
              <w:rPr>
                <w:rFonts w:cs="Arial"/>
                <w:color w:val="15272F"/>
                <w:sz w:val="16"/>
                <w:szCs w:val="16"/>
              </w:rPr>
              <w:t xml:space="preserve">2,910,511 </w:t>
            </w:r>
          </w:p>
        </w:tc>
        <w:tc>
          <w:tcPr>
            <w:tcW w:w="962" w:type="dxa"/>
            <w:tcBorders>
              <w:top w:val="nil"/>
              <w:left w:val="nil"/>
              <w:bottom w:val="single" w:sz="8" w:space="0" w:color="D9D9D9"/>
              <w:right w:val="single" w:sz="8" w:space="0" w:color="FFFFFF"/>
            </w:tcBorders>
            <w:shd w:val="clear" w:color="000000" w:fill="F2F2F2"/>
            <w:vAlign w:val="center"/>
            <w:hideMark/>
          </w:tcPr>
          <w:p w14:paraId="7BB94C5C" w14:textId="4FDD92E2" w:rsidR="0072141C" w:rsidRPr="00BF4C5C" w:rsidRDefault="0072141C" w:rsidP="0072141C">
            <w:pPr>
              <w:spacing w:before="40" w:after="40" w:line="240" w:lineRule="auto"/>
              <w:jc w:val="right"/>
              <w:rPr>
                <w:rFonts w:eastAsia="Times New Roman" w:cs="Arial"/>
                <w:b/>
                <w:bCs/>
                <w:color w:val="1C1C1C"/>
                <w:sz w:val="16"/>
                <w:szCs w:val="16"/>
                <w:u w:val="single"/>
                <w:lang w:eastAsia="en-AU"/>
              </w:rPr>
            </w:pPr>
            <w:r w:rsidRPr="00580B1C">
              <w:rPr>
                <w:rFonts w:cs="Arial"/>
                <w:color w:val="15272F"/>
                <w:sz w:val="16"/>
                <w:szCs w:val="16"/>
              </w:rPr>
              <w:t xml:space="preserve">3,022,015 </w:t>
            </w:r>
          </w:p>
        </w:tc>
        <w:tc>
          <w:tcPr>
            <w:tcW w:w="939" w:type="dxa"/>
            <w:tcBorders>
              <w:top w:val="nil"/>
              <w:left w:val="nil"/>
              <w:bottom w:val="nil"/>
              <w:right w:val="single" w:sz="8" w:space="0" w:color="FFFFFF"/>
            </w:tcBorders>
            <w:shd w:val="clear" w:color="000000" w:fill="F2F2F2"/>
            <w:vAlign w:val="center"/>
          </w:tcPr>
          <w:p w14:paraId="0EB35225" w14:textId="0258C17F" w:rsidR="0072141C" w:rsidRPr="00BF4C5C" w:rsidRDefault="0072141C" w:rsidP="0072141C">
            <w:pPr>
              <w:spacing w:before="40" w:after="40" w:line="240" w:lineRule="auto"/>
              <w:jc w:val="right"/>
              <w:rPr>
                <w:rFonts w:eastAsia="Times New Roman" w:cs="Arial"/>
                <w:color w:val="000000"/>
                <w:sz w:val="16"/>
                <w:szCs w:val="16"/>
                <w:lang w:eastAsia="en-AU"/>
              </w:rPr>
            </w:pPr>
            <w:r w:rsidRPr="00AE0C96">
              <w:rPr>
                <w:rFonts w:cs="Arial"/>
                <w:color w:val="15272F"/>
                <w:sz w:val="16"/>
                <w:szCs w:val="16"/>
              </w:rPr>
              <w:t xml:space="preserve">85 </w:t>
            </w:r>
          </w:p>
        </w:tc>
        <w:tc>
          <w:tcPr>
            <w:tcW w:w="928" w:type="dxa"/>
            <w:tcBorders>
              <w:top w:val="single" w:sz="4" w:space="0" w:color="FFFFFF" w:themeColor="background2"/>
              <w:left w:val="nil"/>
              <w:bottom w:val="nil"/>
              <w:right w:val="single" w:sz="8" w:space="0" w:color="FFFFFF"/>
            </w:tcBorders>
            <w:shd w:val="clear" w:color="000000" w:fill="F2F2F2"/>
            <w:vAlign w:val="center"/>
          </w:tcPr>
          <w:p w14:paraId="10631E80" w14:textId="2203CD00" w:rsidR="0072141C" w:rsidRPr="00BF4C5C" w:rsidRDefault="0072141C" w:rsidP="0072141C">
            <w:pPr>
              <w:spacing w:before="40" w:after="40" w:line="240" w:lineRule="auto"/>
              <w:jc w:val="right"/>
              <w:rPr>
                <w:rFonts w:eastAsia="Times New Roman" w:cs="Arial"/>
                <w:color w:val="000000"/>
                <w:sz w:val="16"/>
                <w:szCs w:val="16"/>
                <w:lang w:eastAsia="en-AU"/>
              </w:rPr>
            </w:pPr>
            <w:r w:rsidRPr="00AE0C96">
              <w:rPr>
                <w:rFonts w:cs="Arial"/>
                <w:color w:val="15272F"/>
                <w:sz w:val="16"/>
                <w:szCs w:val="16"/>
              </w:rPr>
              <w:t xml:space="preserve">85 </w:t>
            </w:r>
          </w:p>
        </w:tc>
        <w:tc>
          <w:tcPr>
            <w:tcW w:w="938" w:type="dxa"/>
            <w:tcBorders>
              <w:top w:val="single" w:sz="4" w:space="0" w:color="FFFFFF" w:themeColor="background2"/>
              <w:left w:val="nil"/>
              <w:bottom w:val="nil"/>
              <w:right w:val="single" w:sz="8" w:space="0" w:color="FFFFFF"/>
            </w:tcBorders>
            <w:shd w:val="clear" w:color="000000" w:fill="F2F2F2"/>
            <w:vAlign w:val="center"/>
          </w:tcPr>
          <w:p w14:paraId="4595CBCC" w14:textId="06DC44C2" w:rsidR="0072141C" w:rsidRPr="00BF4C5C" w:rsidRDefault="0072141C" w:rsidP="0072141C">
            <w:pPr>
              <w:spacing w:before="40" w:after="40" w:line="240" w:lineRule="auto"/>
              <w:jc w:val="right"/>
              <w:rPr>
                <w:rFonts w:eastAsia="Times New Roman" w:cs="Arial"/>
                <w:color w:val="1C1C1C"/>
                <w:sz w:val="16"/>
                <w:szCs w:val="16"/>
                <w:lang w:eastAsia="en-AU"/>
              </w:rPr>
            </w:pPr>
            <w:r w:rsidRPr="00AE0C96">
              <w:rPr>
                <w:rFonts w:cs="Arial"/>
                <w:color w:val="15272F"/>
                <w:sz w:val="16"/>
                <w:szCs w:val="16"/>
              </w:rPr>
              <w:t xml:space="preserve">90 </w:t>
            </w:r>
          </w:p>
        </w:tc>
      </w:tr>
      <w:tr w:rsidR="0072141C" w:rsidRPr="00657489" w14:paraId="5C452EB3" w14:textId="77777777" w:rsidTr="00530E79">
        <w:trPr>
          <w:trHeight w:val="300"/>
        </w:trPr>
        <w:tc>
          <w:tcPr>
            <w:tcW w:w="1124" w:type="dxa"/>
            <w:tcBorders>
              <w:top w:val="nil"/>
              <w:left w:val="nil"/>
              <w:bottom w:val="single" w:sz="8" w:space="0" w:color="D9D9D9"/>
              <w:right w:val="single" w:sz="8" w:space="0" w:color="FFFFFF"/>
            </w:tcBorders>
            <w:shd w:val="clear" w:color="auto" w:fill="auto"/>
            <w:vAlign w:val="center"/>
            <w:hideMark/>
          </w:tcPr>
          <w:p w14:paraId="1A9F3A97" w14:textId="77777777" w:rsidR="0072141C" w:rsidRPr="00657489" w:rsidRDefault="0072141C" w:rsidP="0072141C">
            <w:pPr>
              <w:spacing w:before="40" w:after="40" w:line="240" w:lineRule="auto"/>
              <w:rPr>
                <w:rFonts w:eastAsia="Times New Roman" w:cs="Arial"/>
                <w:color w:val="1C1C1C"/>
                <w:sz w:val="16"/>
                <w:szCs w:val="16"/>
                <w:lang w:eastAsia="en-AU"/>
              </w:rPr>
            </w:pPr>
            <w:r w:rsidRPr="00657489">
              <w:rPr>
                <w:rFonts w:eastAsia="Times New Roman" w:cs="Arial"/>
                <w:color w:val="1C1C1C"/>
                <w:sz w:val="16"/>
                <w:szCs w:val="16"/>
                <w:lang w:eastAsia="en-AU"/>
              </w:rPr>
              <w:t>Vic</w:t>
            </w:r>
          </w:p>
        </w:tc>
        <w:tc>
          <w:tcPr>
            <w:tcW w:w="968" w:type="dxa"/>
            <w:tcBorders>
              <w:top w:val="single" w:sz="8" w:space="0" w:color="D9D9D9"/>
              <w:left w:val="nil"/>
              <w:bottom w:val="single" w:sz="8" w:space="0" w:color="D9D9D9"/>
              <w:right w:val="single" w:sz="8" w:space="0" w:color="FFFFFF"/>
            </w:tcBorders>
            <w:shd w:val="clear" w:color="000000" w:fill="F2F2F2"/>
            <w:vAlign w:val="center"/>
            <w:hideMark/>
          </w:tcPr>
          <w:p w14:paraId="69976DD2" w14:textId="786899CC" w:rsidR="0072141C" w:rsidRPr="00C3787D" w:rsidRDefault="0072141C" w:rsidP="0072141C">
            <w:pPr>
              <w:spacing w:before="40" w:after="40" w:line="240" w:lineRule="auto"/>
              <w:jc w:val="right"/>
              <w:rPr>
                <w:rFonts w:eastAsia="Times New Roman" w:cs="Arial"/>
                <w:b/>
                <w:bCs/>
                <w:color w:val="000000"/>
                <w:sz w:val="16"/>
                <w:szCs w:val="16"/>
                <w:u w:val="single"/>
                <w:lang w:eastAsia="en-AU"/>
              </w:rPr>
            </w:pPr>
            <w:r w:rsidRPr="00580B1C">
              <w:rPr>
                <w:rFonts w:cs="Arial"/>
                <w:color w:val="15272F"/>
                <w:sz w:val="16"/>
                <w:szCs w:val="16"/>
              </w:rPr>
              <w:t xml:space="preserve">1,704,061 </w:t>
            </w:r>
          </w:p>
        </w:tc>
        <w:tc>
          <w:tcPr>
            <w:tcW w:w="962" w:type="dxa"/>
            <w:tcBorders>
              <w:top w:val="single" w:sz="8" w:space="0" w:color="D9D9D9"/>
              <w:left w:val="nil"/>
              <w:bottom w:val="single" w:sz="8" w:space="0" w:color="D9D9D9"/>
              <w:right w:val="single" w:sz="8" w:space="0" w:color="FFFFFF"/>
            </w:tcBorders>
            <w:shd w:val="clear" w:color="000000" w:fill="F2F2F2"/>
            <w:vAlign w:val="center"/>
            <w:hideMark/>
          </w:tcPr>
          <w:p w14:paraId="715D0F9E" w14:textId="5FE1181A" w:rsidR="0072141C" w:rsidRPr="00C3787D" w:rsidRDefault="0072141C" w:rsidP="0072141C">
            <w:pPr>
              <w:spacing w:before="40" w:after="40" w:line="240" w:lineRule="auto"/>
              <w:jc w:val="right"/>
              <w:rPr>
                <w:rFonts w:eastAsia="Times New Roman" w:cs="Arial"/>
                <w:b/>
                <w:bCs/>
                <w:color w:val="000000"/>
                <w:sz w:val="16"/>
                <w:szCs w:val="16"/>
                <w:u w:val="single"/>
                <w:lang w:eastAsia="en-AU"/>
              </w:rPr>
            </w:pPr>
            <w:r w:rsidRPr="00580B1C">
              <w:rPr>
                <w:rFonts w:cs="Arial"/>
                <w:color w:val="15272F"/>
                <w:sz w:val="16"/>
                <w:szCs w:val="16"/>
              </w:rPr>
              <w:t xml:space="preserve">1,817,818 </w:t>
            </w:r>
          </w:p>
        </w:tc>
        <w:tc>
          <w:tcPr>
            <w:tcW w:w="928" w:type="dxa"/>
            <w:tcBorders>
              <w:top w:val="single" w:sz="8" w:space="0" w:color="D9D9D9"/>
              <w:left w:val="nil"/>
              <w:bottom w:val="single" w:sz="8" w:space="0" w:color="D9D9D9"/>
              <w:right w:val="single" w:sz="8" w:space="0" w:color="FFFFFF"/>
            </w:tcBorders>
            <w:shd w:val="clear" w:color="000000" w:fill="F2F2F2"/>
            <w:vAlign w:val="center"/>
            <w:hideMark/>
          </w:tcPr>
          <w:p w14:paraId="1A2D03AE" w14:textId="596673FC" w:rsidR="0072141C" w:rsidRPr="00C3787D" w:rsidRDefault="0072141C" w:rsidP="0072141C">
            <w:pPr>
              <w:spacing w:before="40" w:after="40" w:line="240" w:lineRule="auto"/>
              <w:jc w:val="right"/>
              <w:rPr>
                <w:rFonts w:eastAsia="Times New Roman" w:cs="Arial"/>
                <w:b/>
                <w:bCs/>
                <w:color w:val="1C1C1C"/>
                <w:sz w:val="16"/>
                <w:szCs w:val="16"/>
                <w:u w:val="single"/>
                <w:lang w:eastAsia="en-AU"/>
              </w:rPr>
            </w:pPr>
            <w:r w:rsidRPr="00580B1C">
              <w:rPr>
                <w:rFonts w:cs="Arial"/>
                <w:color w:val="15272F"/>
                <w:sz w:val="16"/>
                <w:szCs w:val="16"/>
              </w:rPr>
              <w:t xml:space="preserve">1,870,367 </w:t>
            </w:r>
          </w:p>
        </w:tc>
        <w:tc>
          <w:tcPr>
            <w:tcW w:w="962" w:type="dxa"/>
            <w:tcBorders>
              <w:top w:val="nil"/>
              <w:left w:val="nil"/>
              <w:bottom w:val="single" w:sz="8" w:space="0" w:color="D9D9D9"/>
              <w:right w:val="single" w:sz="8" w:space="0" w:color="FFFFFF"/>
            </w:tcBorders>
            <w:shd w:val="clear" w:color="000000" w:fill="F2F2F2"/>
            <w:vAlign w:val="center"/>
            <w:hideMark/>
          </w:tcPr>
          <w:p w14:paraId="4BF2F79D" w14:textId="4B468318"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1,772,271 </w:t>
            </w:r>
          </w:p>
        </w:tc>
        <w:tc>
          <w:tcPr>
            <w:tcW w:w="928" w:type="dxa"/>
            <w:tcBorders>
              <w:top w:val="nil"/>
              <w:left w:val="nil"/>
              <w:bottom w:val="single" w:sz="8" w:space="0" w:color="D9D9D9"/>
              <w:right w:val="single" w:sz="8" w:space="0" w:color="FFFFFF"/>
            </w:tcBorders>
            <w:shd w:val="clear" w:color="000000" w:fill="F2F2F2"/>
            <w:vAlign w:val="center"/>
            <w:hideMark/>
          </w:tcPr>
          <w:p w14:paraId="43120DDD" w14:textId="6B200788" w:rsidR="0072141C" w:rsidRPr="00BF4C5C" w:rsidRDefault="0072141C" w:rsidP="0072141C">
            <w:pPr>
              <w:spacing w:before="40" w:after="40" w:line="240" w:lineRule="auto"/>
              <w:jc w:val="right"/>
              <w:rPr>
                <w:rFonts w:eastAsia="Times New Roman" w:cs="Arial"/>
                <w:b/>
                <w:bCs/>
                <w:color w:val="1C1C1C"/>
                <w:sz w:val="16"/>
                <w:szCs w:val="16"/>
                <w:u w:val="single"/>
                <w:lang w:eastAsia="en-AU"/>
              </w:rPr>
            </w:pPr>
            <w:r w:rsidRPr="00580B1C">
              <w:rPr>
                <w:rFonts w:cs="Arial"/>
                <w:color w:val="15272F"/>
                <w:sz w:val="16"/>
                <w:szCs w:val="16"/>
              </w:rPr>
              <w:t xml:space="preserve">1,856,242 </w:t>
            </w:r>
          </w:p>
        </w:tc>
        <w:tc>
          <w:tcPr>
            <w:tcW w:w="962" w:type="dxa"/>
            <w:tcBorders>
              <w:top w:val="nil"/>
              <w:left w:val="nil"/>
              <w:bottom w:val="single" w:sz="8" w:space="0" w:color="D9D9D9"/>
              <w:right w:val="single" w:sz="8" w:space="0" w:color="FFFFFF"/>
            </w:tcBorders>
            <w:shd w:val="clear" w:color="000000" w:fill="F2F2F2"/>
            <w:vAlign w:val="center"/>
            <w:hideMark/>
          </w:tcPr>
          <w:p w14:paraId="26AAAA3C" w14:textId="46CDE81D" w:rsidR="0072141C" w:rsidRPr="00BF4C5C" w:rsidRDefault="0072141C" w:rsidP="0072141C">
            <w:pPr>
              <w:spacing w:before="40" w:after="40" w:line="240" w:lineRule="auto"/>
              <w:jc w:val="right"/>
              <w:rPr>
                <w:rFonts w:eastAsia="Times New Roman" w:cs="Arial"/>
                <w:b/>
                <w:bCs/>
                <w:color w:val="1C1C1C"/>
                <w:sz w:val="16"/>
                <w:szCs w:val="16"/>
                <w:u w:val="single"/>
                <w:lang w:eastAsia="en-AU"/>
              </w:rPr>
            </w:pPr>
            <w:r w:rsidRPr="00580B1C">
              <w:rPr>
                <w:rFonts w:cs="Arial"/>
                <w:color w:val="15272F"/>
                <w:sz w:val="16"/>
                <w:szCs w:val="16"/>
              </w:rPr>
              <w:t xml:space="preserve">1,910,712 </w:t>
            </w:r>
          </w:p>
        </w:tc>
        <w:tc>
          <w:tcPr>
            <w:tcW w:w="939" w:type="dxa"/>
            <w:tcBorders>
              <w:top w:val="single" w:sz="8" w:space="0" w:color="D9D9D9"/>
              <w:left w:val="nil"/>
              <w:bottom w:val="single" w:sz="8" w:space="0" w:color="D9D9D9"/>
              <w:right w:val="single" w:sz="8" w:space="0" w:color="FFFFFF"/>
            </w:tcBorders>
            <w:shd w:val="clear" w:color="000000" w:fill="F2F2F2"/>
            <w:vAlign w:val="center"/>
          </w:tcPr>
          <w:p w14:paraId="7C517631" w14:textId="644E762D" w:rsidR="0072141C" w:rsidRPr="00BF4C5C" w:rsidRDefault="0072141C" w:rsidP="0072141C">
            <w:pPr>
              <w:spacing w:before="40" w:after="40" w:line="240" w:lineRule="auto"/>
              <w:jc w:val="right"/>
              <w:rPr>
                <w:rFonts w:eastAsia="Times New Roman" w:cs="Arial"/>
                <w:color w:val="000000"/>
                <w:sz w:val="16"/>
                <w:szCs w:val="16"/>
                <w:lang w:eastAsia="en-AU"/>
              </w:rPr>
            </w:pPr>
            <w:r w:rsidRPr="00AE0C96">
              <w:rPr>
                <w:rFonts w:cs="Arial"/>
                <w:color w:val="15272F"/>
                <w:sz w:val="16"/>
                <w:szCs w:val="16"/>
              </w:rPr>
              <w:t xml:space="preserve">96 </w:t>
            </w:r>
          </w:p>
        </w:tc>
        <w:tc>
          <w:tcPr>
            <w:tcW w:w="928" w:type="dxa"/>
            <w:tcBorders>
              <w:top w:val="single" w:sz="8" w:space="0" w:color="D9D9D9"/>
              <w:left w:val="nil"/>
              <w:bottom w:val="single" w:sz="8" w:space="0" w:color="D9D9D9"/>
              <w:right w:val="single" w:sz="8" w:space="0" w:color="FFFFFF"/>
            </w:tcBorders>
            <w:shd w:val="clear" w:color="000000" w:fill="F2F2F2"/>
            <w:vAlign w:val="center"/>
          </w:tcPr>
          <w:p w14:paraId="5C30310E" w14:textId="31188DCA" w:rsidR="0072141C" w:rsidRPr="00BF4C5C" w:rsidRDefault="0072141C" w:rsidP="0072141C">
            <w:pPr>
              <w:spacing w:before="40" w:after="40" w:line="240" w:lineRule="auto"/>
              <w:jc w:val="right"/>
              <w:rPr>
                <w:rFonts w:eastAsia="Times New Roman" w:cs="Arial"/>
                <w:color w:val="000000"/>
                <w:sz w:val="16"/>
                <w:szCs w:val="16"/>
                <w:lang w:eastAsia="en-AU"/>
              </w:rPr>
            </w:pPr>
            <w:r w:rsidRPr="00AE0C96">
              <w:rPr>
                <w:rFonts w:cs="Arial"/>
                <w:color w:val="15272F"/>
                <w:sz w:val="16"/>
                <w:szCs w:val="16"/>
              </w:rPr>
              <w:t xml:space="preserve">98 </w:t>
            </w:r>
          </w:p>
        </w:tc>
        <w:tc>
          <w:tcPr>
            <w:tcW w:w="938" w:type="dxa"/>
            <w:tcBorders>
              <w:top w:val="single" w:sz="8" w:space="0" w:color="D9D9D9"/>
              <w:left w:val="nil"/>
              <w:bottom w:val="single" w:sz="8" w:space="0" w:color="D9D9D9"/>
              <w:right w:val="single" w:sz="8" w:space="0" w:color="FFFFFF"/>
            </w:tcBorders>
            <w:shd w:val="clear" w:color="000000" w:fill="F2F2F2"/>
            <w:vAlign w:val="center"/>
          </w:tcPr>
          <w:p w14:paraId="3FD6DEA5" w14:textId="16045860" w:rsidR="0072141C" w:rsidRPr="00BF4C5C" w:rsidRDefault="0072141C" w:rsidP="0072141C">
            <w:pPr>
              <w:spacing w:before="40" w:after="40" w:line="240" w:lineRule="auto"/>
              <w:jc w:val="right"/>
              <w:rPr>
                <w:rFonts w:eastAsia="Times New Roman" w:cs="Arial"/>
                <w:color w:val="1C1C1C"/>
                <w:sz w:val="16"/>
                <w:szCs w:val="16"/>
                <w:lang w:eastAsia="en-AU"/>
              </w:rPr>
            </w:pPr>
            <w:r w:rsidRPr="00AE0C96">
              <w:rPr>
                <w:rFonts w:cs="Arial"/>
                <w:color w:val="15272F"/>
                <w:sz w:val="16"/>
                <w:szCs w:val="16"/>
              </w:rPr>
              <w:t xml:space="preserve">98 </w:t>
            </w:r>
          </w:p>
        </w:tc>
      </w:tr>
      <w:tr w:rsidR="0072141C" w:rsidRPr="00657489" w14:paraId="09FD3650" w14:textId="77777777" w:rsidTr="00530E79">
        <w:trPr>
          <w:trHeight w:val="300"/>
        </w:trPr>
        <w:tc>
          <w:tcPr>
            <w:tcW w:w="1124" w:type="dxa"/>
            <w:tcBorders>
              <w:top w:val="nil"/>
              <w:left w:val="nil"/>
              <w:bottom w:val="single" w:sz="8" w:space="0" w:color="D9D9D9"/>
              <w:right w:val="single" w:sz="8" w:space="0" w:color="FFFFFF"/>
            </w:tcBorders>
            <w:shd w:val="clear" w:color="auto" w:fill="auto"/>
            <w:vAlign w:val="center"/>
            <w:hideMark/>
          </w:tcPr>
          <w:p w14:paraId="70BBCE20" w14:textId="77777777" w:rsidR="0072141C" w:rsidRPr="00657489" w:rsidRDefault="0072141C" w:rsidP="0072141C">
            <w:pPr>
              <w:spacing w:before="40" w:after="40" w:line="240" w:lineRule="auto"/>
              <w:rPr>
                <w:rFonts w:eastAsia="Times New Roman" w:cs="Arial"/>
                <w:color w:val="1C1C1C"/>
                <w:sz w:val="16"/>
                <w:szCs w:val="16"/>
                <w:lang w:eastAsia="en-AU"/>
              </w:rPr>
            </w:pPr>
            <w:r w:rsidRPr="00657489">
              <w:rPr>
                <w:rFonts w:eastAsia="Times New Roman" w:cs="Arial"/>
                <w:color w:val="1C1C1C"/>
                <w:sz w:val="16"/>
                <w:szCs w:val="16"/>
                <w:lang w:eastAsia="en-AU"/>
              </w:rPr>
              <w:t>Qld</w:t>
            </w:r>
          </w:p>
        </w:tc>
        <w:tc>
          <w:tcPr>
            <w:tcW w:w="968" w:type="dxa"/>
            <w:tcBorders>
              <w:top w:val="nil"/>
              <w:left w:val="nil"/>
              <w:bottom w:val="nil"/>
              <w:right w:val="single" w:sz="8" w:space="0" w:color="FFFFFF"/>
            </w:tcBorders>
            <w:shd w:val="clear" w:color="000000" w:fill="F2F2F2"/>
            <w:vAlign w:val="center"/>
            <w:hideMark/>
          </w:tcPr>
          <w:p w14:paraId="6FDF965C" w14:textId="3CF5C4C7" w:rsidR="0072141C" w:rsidRPr="00C3787D" w:rsidRDefault="0072141C" w:rsidP="0072141C">
            <w:pPr>
              <w:spacing w:before="40" w:after="40" w:line="240" w:lineRule="auto"/>
              <w:jc w:val="right"/>
              <w:rPr>
                <w:rFonts w:eastAsia="Times New Roman" w:cs="Arial"/>
                <w:color w:val="000000"/>
                <w:sz w:val="16"/>
                <w:szCs w:val="16"/>
                <w:lang w:eastAsia="en-AU"/>
              </w:rPr>
            </w:pPr>
            <w:r w:rsidRPr="00580B1C">
              <w:rPr>
                <w:rFonts w:cs="Arial"/>
                <w:color w:val="15272F"/>
                <w:sz w:val="16"/>
                <w:szCs w:val="16"/>
              </w:rPr>
              <w:t xml:space="preserve">2,297,035 </w:t>
            </w:r>
          </w:p>
        </w:tc>
        <w:tc>
          <w:tcPr>
            <w:tcW w:w="962" w:type="dxa"/>
            <w:tcBorders>
              <w:top w:val="nil"/>
              <w:left w:val="nil"/>
              <w:bottom w:val="nil"/>
              <w:right w:val="single" w:sz="8" w:space="0" w:color="FFFFFF"/>
            </w:tcBorders>
            <w:shd w:val="clear" w:color="000000" w:fill="F2F2F2"/>
            <w:vAlign w:val="center"/>
            <w:hideMark/>
          </w:tcPr>
          <w:p w14:paraId="6F98479F" w14:textId="3B8AE23B" w:rsidR="0072141C" w:rsidRPr="00C3787D" w:rsidRDefault="0072141C" w:rsidP="0072141C">
            <w:pPr>
              <w:spacing w:before="40" w:after="40" w:line="240" w:lineRule="auto"/>
              <w:jc w:val="right"/>
              <w:rPr>
                <w:rFonts w:eastAsia="Times New Roman" w:cs="Arial"/>
                <w:b/>
                <w:bCs/>
                <w:color w:val="000000"/>
                <w:sz w:val="16"/>
                <w:szCs w:val="16"/>
                <w:u w:val="single"/>
                <w:lang w:eastAsia="en-AU"/>
              </w:rPr>
            </w:pPr>
            <w:r w:rsidRPr="00580B1C">
              <w:rPr>
                <w:rFonts w:cs="Arial"/>
                <w:color w:val="15272F"/>
                <w:sz w:val="16"/>
                <w:szCs w:val="16"/>
              </w:rPr>
              <w:t xml:space="preserve">2,163,308 </w:t>
            </w:r>
          </w:p>
        </w:tc>
        <w:tc>
          <w:tcPr>
            <w:tcW w:w="928" w:type="dxa"/>
            <w:tcBorders>
              <w:top w:val="nil"/>
              <w:left w:val="nil"/>
              <w:bottom w:val="nil"/>
              <w:right w:val="single" w:sz="8" w:space="0" w:color="FFFFFF"/>
            </w:tcBorders>
            <w:shd w:val="clear" w:color="000000" w:fill="F2F2F2"/>
            <w:vAlign w:val="center"/>
            <w:hideMark/>
          </w:tcPr>
          <w:p w14:paraId="400096DF" w14:textId="5A15C667" w:rsidR="0072141C" w:rsidRPr="00C3787D" w:rsidRDefault="0072141C" w:rsidP="0072141C">
            <w:pPr>
              <w:spacing w:before="40" w:after="40" w:line="240" w:lineRule="auto"/>
              <w:jc w:val="right"/>
              <w:rPr>
                <w:rFonts w:eastAsia="Times New Roman" w:cs="Arial"/>
                <w:b/>
                <w:bCs/>
                <w:color w:val="1C1C1C"/>
                <w:sz w:val="16"/>
                <w:szCs w:val="16"/>
                <w:u w:val="single"/>
                <w:lang w:eastAsia="en-AU"/>
              </w:rPr>
            </w:pPr>
            <w:r w:rsidRPr="00580B1C">
              <w:rPr>
                <w:rFonts w:cs="Arial"/>
                <w:color w:val="15272F"/>
                <w:sz w:val="16"/>
                <w:szCs w:val="16"/>
              </w:rPr>
              <w:t xml:space="preserve">2,249,422 </w:t>
            </w:r>
          </w:p>
        </w:tc>
        <w:tc>
          <w:tcPr>
            <w:tcW w:w="962" w:type="dxa"/>
            <w:tcBorders>
              <w:top w:val="nil"/>
              <w:left w:val="nil"/>
              <w:bottom w:val="single" w:sz="8" w:space="0" w:color="D9D9D9"/>
              <w:right w:val="single" w:sz="8" w:space="0" w:color="FFFFFF"/>
            </w:tcBorders>
            <w:shd w:val="clear" w:color="000000" w:fill="F2F2F2"/>
            <w:vAlign w:val="center"/>
            <w:hideMark/>
          </w:tcPr>
          <w:p w14:paraId="71A8C971" w14:textId="3FBF141F"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2,397,890 </w:t>
            </w:r>
          </w:p>
        </w:tc>
        <w:tc>
          <w:tcPr>
            <w:tcW w:w="928" w:type="dxa"/>
            <w:tcBorders>
              <w:top w:val="nil"/>
              <w:left w:val="nil"/>
              <w:bottom w:val="single" w:sz="8" w:space="0" w:color="D9D9D9"/>
              <w:right w:val="single" w:sz="8" w:space="0" w:color="FFFFFF"/>
            </w:tcBorders>
            <w:shd w:val="clear" w:color="000000" w:fill="F2F2F2"/>
            <w:vAlign w:val="center"/>
            <w:hideMark/>
          </w:tcPr>
          <w:p w14:paraId="7344EB7C" w14:textId="2073BA69"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2,233,663 </w:t>
            </w:r>
          </w:p>
        </w:tc>
        <w:tc>
          <w:tcPr>
            <w:tcW w:w="962" w:type="dxa"/>
            <w:tcBorders>
              <w:top w:val="nil"/>
              <w:left w:val="nil"/>
              <w:bottom w:val="single" w:sz="8" w:space="0" w:color="D9D9D9"/>
              <w:right w:val="single" w:sz="8" w:space="0" w:color="FFFFFF"/>
            </w:tcBorders>
            <w:shd w:val="clear" w:color="000000" w:fill="F2F2F2"/>
            <w:vAlign w:val="center"/>
            <w:hideMark/>
          </w:tcPr>
          <w:p w14:paraId="360AE291" w14:textId="12C31D1F"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2,271,122 </w:t>
            </w:r>
          </w:p>
        </w:tc>
        <w:tc>
          <w:tcPr>
            <w:tcW w:w="939" w:type="dxa"/>
            <w:tcBorders>
              <w:top w:val="nil"/>
              <w:left w:val="nil"/>
              <w:bottom w:val="nil"/>
              <w:right w:val="single" w:sz="8" w:space="0" w:color="FFFFFF"/>
            </w:tcBorders>
            <w:shd w:val="clear" w:color="000000" w:fill="F2F2F2"/>
            <w:vAlign w:val="center"/>
          </w:tcPr>
          <w:p w14:paraId="5AA2AB84" w14:textId="6240F2F8" w:rsidR="0072141C" w:rsidRPr="00BF4C5C" w:rsidRDefault="0072141C" w:rsidP="0072141C">
            <w:pPr>
              <w:spacing w:before="40" w:after="40" w:line="240" w:lineRule="auto"/>
              <w:jc w:val="right"/>
              <w:rPr>
                <w:rFonts w:eastAsia="Times New Roman" w:cs="Arial"/>
                <w:color w:val="000000"/>
                <w:sz w:val="16"/>
                <w:szCs w:val="16"/>
                <w:lang w:eastAsia="en-AU"/>
              </w:rPr>
            </w:pPr>
            <w:r w:rsidRPr="00AE0C96">
              <w:rPr>
                <w:rFonts w:cs="Arial"/>
                <w:color w:val="15272F"/>
                <w:sz w:val="16"/>
                <w:szCs w:val="16"/>
              </w:rPr>
              <w:t xml:space="preserve">96 </w:t>
            </w:r>
          </w:p>
        </w:tc>
        <w:tc>
          <w:tcPr>
            <w:tcW w:w="928" w:type="dxa"/>
            <w:tcBorders>
              <w:top w:val="nil"/>
              <w:left w:val="nil"/>
              <w:bottom w:val="nil"/>
              <w:right w:val="single" w:sz="8" w:space="0" w:color="FFFFFF"/>
            </w:tcBorders>
            <w:shd w:val="clear" w:color="000000" w:fill="F2F2F2"/>
            <w:vAlign w:val="center"/>
          </w:tcPr>
          <w:p w14:paraId="2D9AD4CD" w14:textId="70B60396" w:rsidR="0072141C" w:rsidRPr="00BF4C5C" w:rsidRDefault="0072141C" w:rsidP="0072141C">
            <w:pPr>
              <w:spacing w:before="40" w:after="40" w:line="240" w:lineRule="auto"/>
              <w:jc w:val="right"/>
              <w:rPr>
                <w:rFonts w:eastAsia="Times New Roman" w:cs="Arial"/>
                <w:color w:val="000000"/>
                <w:sz w:val="16"/>
                <w:szCs w:val="16"/>
                <w:lang w:eastAsia="en-AU"/>
              </w:rPr>
            </w:pPr>
            <w:r w:rsidRPr="00AE0C96">
              <w:rPr>
                <w:rFonts w:cs="Arial"/>
                <w:color w:val="15272F"/>
                <w:sz w:val="16"/>
                <w:szCs w:val="16"/>
              </w:rPr>
              <w:t xml:space="preserve">97 </w:t>
            </w:r>
          </w:p>
        </w:tc>
        <w:tc>
          <w:tcPr>
            <w:tcW w:w="938" w:type="dxa"/>
            <w:tcBorders>
              <w:top w:val="nil"/>
              <w:left w:val="nil"/>
              <w:bottom w:val="nil"/>
              <w:right w:val="single" w:sz="8" w:space="0" w:color="FFFFFF"/>
            </w:tcBorders>
            <w:shd w:val="clear" w:color="000000" w:fill="F2F2F2"/>
            <w:vAlign w:val="center"/>
          </w:tcPr>
          <w:p w14:paraId="27E27AE4" w14:textId="11B47620" w:rsidR="0072141C" w:rsidRPr="00BF4C5C" w:rsidRDefault="0072141C" w:rsidP="0072141C">
            <w:pPr>
              <w:spacing w:before="40" w:after="40" w:line="240" w:lineRule="auto"/>
              <w:jc w:val="right"/>
              <w:rPr>
                <w:rFonts w:eastAsia="Times New Roman" w:cs="Arial"/>
                <w:color w:val="1C1C1C"/>
                <w:sz w:val="16"/>
                <w:szCs w:val="16"/>
                <w:lang w:eastAsia="en-AU"/>
              </w:rPr>
            </w:pPr>
            <w:r w:rsidRPr="00AE0C96">
              <w:rPr>
                <w:rFonts w:cs="Arial"/>
                <w:color w:val="15272F"/>
                <w:sz w:val="16"/>
                <w:szCs w:val="16"/>
              </w:rPr>
              <w:t xml:space="preserve">99 </w:t>
            </w:r>
          </w:p>
        </w:tc>
      </w:tr>
      <w:tr w:rsidR="0072141C" w:rsidRPr="00657489" w14:paraId="5F3798AA" w14:textId="77777777" w:rsidTr="00530E79">
        <w:trPr>
          <w:trHeight w:val="300"/>
        </w:trPr>
        <w:tc>
          <w:tcPr>
            <w:tcW w:w="1124" w:type="dxa"/>
            <w:tcBorders>
              <w:top w:val="nil"/>
              <w:left w:val="nil"/>
              <w:bottom w:val="single" w:sz="8" w:space="0" w:color="D9D9D9"/>
              <w:right w:val="single" w:sz="8" w:space="0" w:color="FFFFFF"/>
            </w:tcBorders>
            <w:shd w:val="clear" w:color="auto" w:fill="auto"/>
            <w:vAlign w:val="center"/>
            <w:hideMark/>
          </w:tcPr>
          <w:p w14:paraId="7CBA3DB3" w14:textId="77777777" w:rsidR="0072141C" w:rsidRPr="00657489" w:rsidRDefault="0072141C" w:rsidP="0072141C">
            <w:pPr>
              <w:spacing w:before="40" w:after="40" w:line="240" w:lineRule="auto"/>
              <w:rPr>
                <w:rFonts w:eastAsia="Times New Roman" w:cs="Arial"/>
                <w:color w:val="1C1C1C"/>
                <w:sz w:val="16"/>
                <w:szCs w:val="16"/>
                <w:lang w:eastAsia="en-AU"/>
              </w:rPr>
            </w:pPr>
            <w:r w:rsidRPr="00657489">
              <w:rPr>
                <w:rFonts w:eastAsia="Times New Roman" w:cs="Arial"/>
                <w:color w:val="1C1C1C"/>
                <w:sz w:val="16"/>
                <w:szCs w:val="16"/>
                <w:lang w:eastAsia="en-AU"/>
              </w:rPr>
              <w:t>SA</w:t>
            </w:r>
          </w:p>
        </w:tc>
        <w:tc>
          <w:tcPr>
            <w:tcW w:w="968" w:type="dxa"/>
            <w:tcBorders>
              <w:top w:val="single" w:sz="8" w:space="0" w:color="D9D9D9"/>
              <w:left w:val="nil"/>
              <w:bottom w:val="single" w:sz="8" w:space="0" w:color="D9D9D9"/>
              <w:right w:val="single" w:sz="8" w:space="0" w:color="FFFFFF"/>
            </w:tcBorders>
            <w:shd w:val="clear" w:color="000000" w:fill="F2F2F2"/>
            <w:vAlign w:val="center"/>
            <w:hideMark/>
          </w:tcPr>
          <w:p w14:paraId="0FDE00F4" w14:textId="41798C26" w:rsidR="0072141C" w:rsidRPr="00C3787D" w:rsidRDefault="0072141C" w:rsidP="0072141C">
            <w:pPr>
              <w:spacing w:before="40" w:after="40" w:line="240" w:lineRule="auto"/>
              <w:jc w:val="right"/>
              <w:rPr>
                <w:rFonts w:eastAsia="Times New Roman" w:cs="Arial"/>
                <w:color w:val="000000"/>
                <w:sz w:val="16"/>
                <w:szCs w:val="16"/>
                <w:lang w:eastAsia="en-AU"/>
              </w:rPr>
            </w:pPr>
            <w:r w:rsidRPr="00580B1C">
              <w:rPr>
                <w:rFonts w:cs="Arial"/>
                <w:color w:val="15272F"/>
                <w:sz w:val="16"/>
                <w:szCs w:val="16"/>
              </w:rPr>
              <w:t xml:space="preserve">576,703 </w:t>
            </w:r>
          </w:p>
        </w:tc>
        <w:tc>
          <w:tcPr>
            <w:tcW w:w="962" w:type="dxa"/>
            <w:tcBorders>
              <w:top w:val="single" w:sz="8" w:space="0" w:color="D9D9D9"/>
              <w:left w:val="nil"/>
              <w:bottom w:val="single" w:sz="8" w:space="0" w:color="D9D9D9"/>
              <w:right w:val="single" w:sz="8" w:space="0" w:color="FFFFFF"/>
            </w:tcBorders>
            <w:shd w:val="clear" w:color="000000" w:fill="F2F2F2"/>
            <w:vAlign w:val="center"/>
            <w:hideMark/>
          </w:tcPr>
          <w:p w14:paraId="52D74D1B" w14:textId="6F025296" w:rsidR="0072141C" w:rsidRPr="00C3787D" w:rsidRDefault="0072141C" w:rsidP="0072141C">
            <w:pPr>
              <w:spacing w:before="40" w:after="40" w:line="240" w:lineRule="auto"/>
              <w:jc w:val="right"/>
              <w:rPr>
                <w:rFonts w:eastAsia="Times New Roman" w:cs="Arial"/>
                <w:color w:val="000000"/>
                <w:sz w:val="16"/>
                <w:szCs w:val="16"/>
                <w:lang w:eastAsia="en-AU"/>
              </w:rPr>
            </w:pPr>
            <w:r w:rsidRPr="00580B1C">
              <w:rPr>
                <w:rFonts w:cs="Arial"/>
                <w:color w:val="15272F"/>
                <w:sz w:val="16"/>
                <w:szCs w:val="16"/>
              </w:rPr>
              <w:t xml:space="preserve">572,455 </w:t>
            </w:r>
          </w:p>
        </w:tc>
        <w:tc>
          <w:tcPr>
            <w:tcW w:w="928" w:type="dxa"/>
            <w:tcBorders>
              <w:top w:val="single" w:sz="8" w:space="0" w:color="D9D9D9"/>
              <w:left w:val="nil"/>
              <w:bottom w:val="single" w:sz="8" w:space="0" w:color="D9D9D9"/>
              <w:right w:val="single" w:sz="8" w:space="0" w:color="FFFFFF"/>
            </w:tcBorders>
            <w:shd w:val="clear" w:color="000000" w:fill="F2F2F2"/>
            <w:vAlign w:val="center"/>
            <w:hideMark/>
          </w:tcPr>
          <w:p w14:paraId="28B5F50E" w14:textId="47273AF4" w:rsidR="0072141C" w:rsidRPr="00C3787D"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597,643 </w:t>
            </w:r>
          </w:p>
        </w:tc>
        <w:tc>
          <w:tcPr>
            <w:tcW w:w="962" w:type="dxa"/>
            <w:tcBorders>
              <w:top w:val="nil"/>
              <w:left w:val="nil"/>
              <w:bottom w:val="single" w:sz="8" w:space="0" w:color="D9D9D9"/>
              <w:right w:val="single" w:sz="8" w:space="0" w:color="FFFFFF"/>
            </w:tcBorders>
            <w:shd w:val="clear" w:color="000000" w:fill="F2F2F2"/>
            <w:vAlign w:val="center"/>
            <w:hideMark/>
          </w:tcPr>
          <w:p w14:paraId="6786D14E" w14:textId="53245B00"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580,575 </w:t>
            </w:r>
          </w:p>
        </w:tc>
        <w:tc>
          <w:tcPr>
            <w:tcW w:w="928" w:type="dxa"/>
            <w:tcBorders>
              <w:top w:val="nil"/>
              <w:left w:val="nil"/>
              <w:bottom w:val="single" w:sz="8" w:space="0" w:color="D9D9D9"/>
              <w:right w:val="single" w:sz="8" w:space="0" w:color="FFFFFF"/>
            </w:tcBorders>
            <w:shd w:val="clear" w:color="000000" w:fill="F2F2F2"/>
            <w:vAlign w:val="center"/>
            <w:hideMark/>
          </w:tcPr>
          <w:p w14:paraId="3A189885" w14:textId="34C403BD"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572,931 </w:t>
            </w:r>
          </w:p>
        </w:tc>
        <w:tc>
          <w:tcPr>
            <w:tcW w:w="962" w:type="dxa"/>
            <w:tcBorders>
              <w:top w:val="nil"/>
              <w:left w:val="nil"/>
              <w:bottom w:val="single" w:sz="8" w:space="0" w:color="D9D9D9"/>
              <w:right w:val="single" w:sz="8" w:space="0" w:color="FFFFFF"/>
            </w:tcBorders>
            <w:shd w:val="clear" w:color="000000" w:fill="F2F2F2"/>
            <w:vAlign w:val="center"/>
            <w:hideMark/>
          </w:tcPr>
          <w:p w14:paraId="5C9FF178" w14:textId="5ED04359" w:rsidR="0072141C" w:rsidRPr="00BF4C5C" w:rsidRDefault="0072141C" w:rsidP="0072141C">
            <w:pPr>
              <w:spacing w:before="40" w:after="40" w:line="240" w:lineRule="auto"/>
              <w:jc w:val="right"/>
              <w:rPr>
                <w:rFonts w:eastAsia="Times New Roman" w:cs="Arial"/>
                <w:b/>
                <w:bCs/>
                <w:color w:val="1C1C1C"/>
                <w:sz w:val="16"/>
                <w:szCs w:val="16"/>
                <w:u w:val="single"/>
                <w:lang w:eastAsia="en-AU"/>
              </w:rPr>
            </w:pPr>
            <w:r w:rsidRPr="00580B1C">
              <w:rPr>
                <w:rFonts w:cs="Arial"/>
                <w:color w:val="15272F"/>
                <w:sz w:val="16"/>
                <w:szCs w:val="16"/>
              </w:rPr>
              <w:t xml:space="preserve">598,666 </w:t>
            </w:r>
          </w:p>
        </w:tc>
        <w:tc>
          <w:tcPr>
            <w:tcW w:w="939" w:type="dxa"/>
            <w:tcBorders>
              <w:top w:val="single" w:sz="8" w:space="0" w:color="D9D9D9"/>
              <w:left w:val="nil"/>
              <w:bottom w:val="single" w:sz="8" w:space="0" w:color="D9D9D9"/>
              <w:right w:val="single" w:sz="8" w:space="0" w:color="FFFFFF"/>
            </w:tcBorders>
            <w:shd w:val="clear" w:color="000000" w:fill="F2F2F2"/>
            <w:vAlign w:val="center"/>
          </w:tcPr>
          <w:p w14:paraId="7EFF698C" w14:textId="76B4976D" w:rsidR="0072141C" w:rsidRPr="00BF4C5C" w:rsidRDefault="0072141C" w:rsidP="0072141C">
            <w:pPr>
              <w:spacing w:before="40" w:after="40" w:line="240" w:lineRule="auto"/>
              <w:jc w:val="right"/>
              <w:rPr>
                <w:rFonts w:eastAsia="Times New Roman" w:cs="Arial"/>
                <w:color w:val="000000"/>
                <w:sz w:val="16"/>
                <w:szCs w:val="16"/>
                <w:lang w:eastAsia="en-AU"/>
              </w:rPr>
            </w:pPr>
            <w:r w:rsidRPr="00AE0C96">
              <w:rPr>
                <w:rFonts w:cs="Arial"/>
                <w:color w:val="15272F"/>
                <w:sz w:val="16"/>
                <w:szCs w:val="16"/>
              </w:rPr>
              <w:t xml:space="preserve">99 </w:t>
            </w:r>
          </w:p>
        </w:tc>
        <w:tc>
          <w:tcPr>
            <w:tcW w:w="928" w:type="dxa"/>
            <w:tcBorders>
              <w:top w:val="single" w:sz="8" w:space="0" w:color="D9D9D9"/>
              <w:left w:val="nil"/>
              <w:bottom w:val="single" w:sz="8" w:space="0" w:color="D9D9D9"/>
              <w:right w:val="single" w:sz="8" w:space="0" w:color="FFFFFF"/>
            </w:tcBorders>
            <w:shd w:val="clear" w:color="000000" w:fill="F2F2F2"/>
            <w:vAlign w:val="center"/>
          </w:tcPr>
          <w:p w14:paraId="278121B6" w14:textId="09223899" w:rsidR="0072141C" w:rsidRPr="00BF4C5C" w:rsidRDefault="0072141C" w:rsidP="0072141C">
            <w:pPr>
              <w:spacing w:before="40" w:after="40" w:line="240" w:lineRule="auto"/>
              <w:jc w:val="right"/>
              <w:rPr>
                <w:rFonts w:eastAsia="Times New Roman" w:cs="Arial"/>
                <w:color w:val="000000"/>
                <w:sz w:val="16"/>
                <w:szCs w:val="16"/>
                <w:lang w:eastAsia="en-AU"/>
              </w:rPr>
            </w:pPr>
            <w:r w:rsidRPr="00AE0C96">
              <w:rPr>
                <w:rFonts w:cs="Arial"/>
                <w:color w:val="15272F"/>
                <w:sz w:val="16"/>
                <w:szCs w:val="16"/>
              </w:rPr>
              <w:t xml:space="preserve">100 </w:t>
            </w:r>
          </w:p>
        </w:tc>
        <w:tc>
          <w:tcPr>
            <w:tcW w:w="938" w:type="dxa"/>
            <w:tcBorders>
              <w:top w:val="single" w:sz="8" w:space="0" w:color="D9D9D9"/>
              <w:left w:val="nil"/>
              <w:bottom w:val="single" w:sz="8" w:space="0" w:color="D9D9D9"/>
              <w:right w:val="single" w:sz="8" w:space="0" w:color="FFFFFF"/>
            </w:tcBorders>
            <w:shd w:val="clear" w:color="000000" w:fill="F2F2F2"/>
            <w:vAlign w:val="center"/>
          </w:tcPr>
          <w:p w14:paraId="1FF714B7" w14:textId="00E1ECC6" w:rsidR="0072141C" w:rsidRPr="00BF4C5C" w:rsidRDefault="0072141C" w:rsidP="0072141C">
            <w:pPr>
              <w:spacing w:before="40" w:after="40" w:line="240" w:lineRule="auto"/>
              <w:jc w:val="right"/>
              <w:rPr>
                <w:rFonts w:eastAsia="Times New Roman" w:cs="Arial"/>
                <w:color w:val="1C1C1C"/>
                <w:sz w:val="16"/>
                <w:szCs w:val="16"/>
                <w:lang w:eastAsia="en-AU"/>
              </w:rPr>
            </w:pPr>
            <w:r w:rsidRPr="00AE0C96">
              <w:rPr>
                <w:rFonts w:cs="Arial"/>
                <w:color w:val="15272F"/>
                <w:sz w:val="16"/>
                <w:szCs w:val="16"/>
              </w:rPr>
              <w:t xml:space="preserve">100 </w:t>
            </w:r>
          </w:p>
        </w:tc>
      </w:tr>
      <w:tr w:rsidR="0072141C" w:rsidRPr="00657489" w14:paraId="7CDD1915" w14:textId="77777777" w:rsidTr="00530E79">
        <w:trPr>
          <w:trHeight w:val="300"/>
        </w:trPr>
        <w:tc>
          <w:tcPr>
            <w:tcW w:w="1124" w:type="dxa"/>
            <w:tcBorders>
              <w:top w:val="nil"/>
              <w:left w:val="nil"/>
              <w:bottom w:val="nil"/>
              <w:right w:val="single" w:sz="8" w:space="0" w:color="FFFFFF"/>
            </w:tcBorders>
            <w:shd w:val="clear" w:color="auto" w:fill="auto"/>
            <w:vAlign w:val="center"/>
            <w:hideMark/>
          </w:tcPr>
          <w:p w14:paraId="60C4AA43" w14:textId="77777777" w:rsidR="0072141C" w:rsidRPr="00657489" w:rsidRDefault="0072141C" w:rsidP="0072141C">
            <w:pPr>
              <w:spacing w:before="40" w:after="40" w:line="240" w:lineRule="auto"/>
              <w:rPr>
                <w:rFonts w:eastAsia="Times New Roman" w:cs="Arial"/>
                <w:color w:val="1C1C1C"/>
                <w:sz w:val="16"/>
                <w:szCs w:val="16"/>
                <w:lang w:eastAsia="en-AU"/>
              </w:rPr>
            </w:pPr>
            <w:r w:rsidRPr="00657489">
              <w:rPr>
                <w:rFonts w:eastAsia="Times New Roman" w:cs="Arial"/>
                <w:color w:val="1C1C1C"/>
                <w:sz w:val="16"/>
                <w:szCs w:val="16"/>
                <w:lang w:eastAsia="en-AU"/>
              </w:rPr>
              <w:t>WA</w:t>
            </w:r>
          </w:p>
        </w:tc>
        <w:tc>
          <w:tcPr>
            <w:tcW w:w="968" w:type="dxa"/>
            <w:tcBorders>
              <w:top w:val="nil"/>
              <w:left w:val="nil"/>
              <w:bottom w:val="nil"/>
              <w:right w:val="single" w:sz="8" w:space="0" w:color="FFFFFF"/>
            </w:tcBorders>
            <w:shd w:val="clear" w:color="000000" w:fill="F2F2F2"/>
            <w:vAlign w:val="center"/>
            <w:hideMark/>
          </w:tcPr>
          <w:p w14:paraId="73C4BE14" w14:textId="09C6FE5D" w:rsidR="0072141C" w:rsidRPr="00C3787D" w:rsidRDefault="0072141C" w:rsidP="0072141C">
            <w:pPr>
              <w:spacing w:before="40" w:after="40" w:line="240" w:lineRule="auto"/>
              <w:jc w:val="right"/>
              <w:rPr>
                <w:rFonts w:eastAsia="Times New Roman" w:cs="Arial"/>
                <w:color w:val="000000"/>
                <w:sz w:val="16"/>
                <w:szCs w:val="16"/>
                <w:lang w:eastAsia="en-AU"/>
              </w:rPr>
            </w:pPr>
            <w:r w:rsidRPr="00580B1C">
              <w:rPr>
                <w:rFonts w:cs="Arial"/>
                <w:color w:val="15272F"/>
                <w:sz w:val="16"/>
                <w:szCs w:val="16"/>
              </w:rPr>
              <w:t xml:space="preserve">763,051 </w:t>
            </w:r>
          </w:p>
        </w:tc>
        <w:tc>
          <w:tcPr>
            <w:tcW w:w="962" w:type="dxa"/>
            <w:tcBorders>
              <w:top w:val="nil"/>
              <w:left w:val="nil"/>
              <w:bottom w:val="nil"/>
              <w:right w:val="single" w:sz="8" w:space="0" w:color="FFFFFF"/>
            </w:tcBorders>
            <w:shd w:val="clear" w:color="000000" w:fill="F2F2F2"/>
            <w:vAlign w:val="center"/>
            <w:hideMark/>
          </w:tcPr>
          <w:p w14:paraId="5DBCFB20" w14:textId="3218FAF2" w:rsidR="0072141C" w:rsidRPr="00C3787D" w:rsidRDefault="0072141C" w:rsidP="0072141C">
            <w:pPr>
              <w:spacing w:before="40" w:after="40" w:line="240" w:lineRule="auto"/>
              <w:jc w:val="right"/>
              <w:rPr>
                <w:rFonts w:eastAsia="Times New Roman" w:cs="Arial"/>
                <w:color w:val="000000"/>
                <w:sz w:val="16"/>
                <w:szCs w:val="16"/>
                <w:lang w:eastAsia="en-AU"/>
              </w:rPr>
            </w:pPr>
            <w:r w:rsidRPr="00580B1C">
              <w:rPr>
                <w:rFonts w:cs="Arial"/>
                <w:color w:val="15272F"/>
                <w:sz w:val="16"/>
                <w:szCs w:val="16"/>
              </w:rPr>
              <w:t xml:space="preserve">765,477 </w:t>
            </w:r>
          </w:p>
        </w:tc>
        <w:tc>
          <w:tcPr>
            <w:tcW w:w="928" w:type="dxa"/>
            <w:tcBorders>
              <w:top w:val="nil"/>
              <w:left w:val="nil"/>
              <w:bottom w:val="nil"/>
              <w:right w:val="single" w:sz="8" w:space="0" w:color="FFFFFF"/>
            </w:tcBorders>
            <w:shd w:val="clear" w:color="000000" w:fill="F2F2F2"/>
            <w:vAlign w:val="center"/>
            <w:hideMark/>
          </w:tcPr>
          <w:p w14:paraId="35FAF030" w14:textId="035FE27F" w:rsidR="0072141C" w:rsidRPr="00C3787D"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775,837 </w:t>
            </w:r>
          </w:p>
        </w:tc>
        <w:tc>
          <w:tcPr>
            <w:tcW w:w="962" w:type="dxa"/>
            <w:tcBorders>
              <w:top w:val="nil"/>
              <w:left w:val="nil"/>
              <w:bottom w:val="single" w:sz="8" w:space="0" w:color="D9D9D9"/>
              <w:right w:val="single" w:sz="8" w:space="0" w:color="FFFFFF"/>
            </w:tcBorders>
            <w:shd w:val="clear" w:color="000000" w:fill="F2F2F2"/>
            <w:vAlign w:val="center"/>
            <w:hideMark/>
          </w:tcPr>
          <w:p w14:paraId="76DD3B0C" w14:textId="76451B54"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767,873 </w:t>
            </w:r>
          </w:p>
        </w:tc>
        <w:tc>
          <w:tcPr>
            <w:tcW w:w="928" w:type="dxa"/>
            <w:tcBorders>
              <w:top w:val="nil"/>
              <w:left w:val="nil"/>
              <w:bottom w:val="single" w:sz="8" w:space="0" w:color="D9D9D9"/>
              <w:right w:val="single" w:sz="8" w:space="0" w:color="FFFFFF"/>
            </w:tcBorders>
            <w:shd w:val="clear" w:color="000000" w:fill="F2F2F2"/>
            <w:vAlign w:val="center"/>
            <w:hideMark/>
          </w:tcPr>
          <w:p w14:paraId="202F44DB" w14:textId="54365695"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768,875 </w:t>
            </w:r>
          </w:p>
        </w:tc>
        <w:tc>
          <w:tcPr>
            <w:tcW w:w="962" w:type="dxa"/>
            <w:tcBorders>
              <w:top w:val="nil"/>
              <w:left w:val="nil"/>
              <w:bottom w:val="single" w:sz="8" w:space="0" w:color="D9D9D9"/>
              <w:right w:val="single" w:sz="8" w:space="0" w:color="FFFFFF"/>
            </w:tcBorders>
            <w:shd w:val="clear" w:color="000000" w:fill="F2F2F2"/>
            <w:vAlign w:val="center"/>
            <w:hideMark/>
          </w:tcPr>
          <w:p w14:paraId="50714506" w14:textId="43A47B41"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777,152 </w:t>
            </w:r>
          </w:p>
        </w:tc>
        <w:tc>
          <w:tcPr>
            <w:tcW w:w="939" w:type="dxa"/>
            <w:tcBorders>
              <w:top w:val="nil"/>
              <w:left w:val="nil"/>
              <w:bottom w:val="nil"/>
              <w:right w:val="single" w:sz="8" w:space="0" w:color="FFFFFF"/>
            </w:tcBorders>
            <w:shd w:val="clear" w:color="000000" w:fill="F2F2F2"/>
            <w:vAlign w:val="center"/>
          </w:tcPr>
          <w:p w14:paraId="2471CB40" w14:textId="18194063" w:rsidR="0072141C" w:rsidRPr="00BF4C5C" w:rsidRDefault="0072141C" w:rsidP="0072141C">
            <w:pPr>
              <w:spacing w:before="40" w:after="40" w:line="240" w:lineRule="auto"/>
              <w:jc w:val="right"/>
              <w:rPr>
                <w:rFonts w:eastAsia="Times New Roman" w:cs="Arial"/>
                <w:color w:val="000000"/>
                <w:sz w:val="16"/>
                <w:szCs w:val="16"/>
                <w:lang w:eastAsia="en-AU"/>
              </w:rPr>
            </w:pPr>
            <w:r w:rsidRPr="00AE0C96">
              <w:rPr>
                <w:rFonts w:cs="Arial"/>
                <w:color w:val="15272F"/>
                <w:sz w:val="16"/>
                <w:szCs w:val="16"/>
              </w:rPr>
              <w:t xml:space="preserve">99 </w:t>
            </w:r>
          </w:p>
        </w:tc>
        <w:tc>
          <w:tcPr>
            <w:tcW w:w="928" w:type="dxa"/>
            <w:tcBorders>
              <w:top w:val="nil"/>
              <w:left w:val="nil"/>
              <w:bottom w:val="nil"/>
              <w:right w:val="single" w:sz="8" w:space="0" w:color="FFFFFF"/>
            </w:tcBorders>
            <w:shd w:val="clear" w:color="000000" w:fill="F2F2F2"/>
            <w:vAlign w:val="center"/>
          </w:tcPr>
          <w:p w14:paraId="3C8F2872" w14:textId="1BC7CC4A" w:rsidR="0072141C" w:rsidRPr="00BF4C5C" w:rsidRDefault="0072141C" w:rsidP="0072141C">
            <w:pPr>
              <w:spacing w:before="40" w:after="40" w:line="240" w:lineRule="auto"/>
              <w:jc w:val="right"/>
              <w:rPr>
                <w:rFonts w:eastAsia="Times New Roman" w:cs="Arial"/>
                <w:color w:val="000000"/>
                <w:sz w:val="16"/>
                <w:szCs w:val="16"/>
                <w:lang w:eastAsia="en-AU"/>
              </w:rPr>
            </w:pPr>
            <w:r w:rsidRPr="00AE0C96">
              <w:rPr>
                <w:rFonts w:cs="Arial"/>
                <w:color w:val="15272F"/>
                <w:sz w:val="16"/>
                <w:szCs w:val="16"/>
              </w:rPr>
              <w:t xml:space="preserve">100 </w:t>
            </w:r>
          </w:p>
        </w:tc>
        <w:tc>
          <w:tcPr>
            <w:tcW w:w="938" w:type="dxa"/>
            <w:tcBorders>
              <w:top w:val="nil"/>
              <w:left w:val="nil"/>
              <w:bottom w:val="nil"/>
              <w:right w:val="single" w:sz="8" w:space="0" w:color="FFFFFF"/>
            </w:tcBorders>
            <w:shd w:val="clear" w:color="000000" w:fill="F2F2F2"/>
            <w:vAlign w:val="center"/>
          </w:tcPr>
          <w:p w14:paraId="5B0F8138" w14:textId="5AF500CF" w:rsidR="0072141C" w:rsidRPr="00BF4C5C" w:rsidRDefault="0072141C" w:rsidP="0072141C">
            <w:pPr>
              <w:spacing w:before="40" w:after="40" w:line="240" w:lineRule="auto"/>
              <w:jc w:val="right"/>
              <w:rPr>
                <w:rFonts w:eastAsia="Times New Roman" w:cs="Arial"/>
                <w:color w:val="1C1C1C"/>
                <w:sz w:val="16"/>
                <w:szCs w:val="16"/>
                <w:lang w:eastAsia="en-AU"/>
              </w:rPr>
            </w:pPr>
            <w:r w:rsidRPr="00AE0C96">
              <w:rPr>
                <w:rFonts w:cs="Arial"/>
                <w:color w:val="15272F"/>
                <w:sz w:val="16"/>
                <w:szCs w:val="16"/>
              </w:rPr>
              <w:t xml:space="preserve">100 </w:t>
            </w:r>
          </w:p>
        </w:tc>
      </w:tr>
      <w:tr w:rsidR="0072141C" w:rsidRPr="00657489" w14:paraId="62EB0236" w14:textId="77777777" w:rsidTr="00530E79">
        <w:trPr>
          <w:trHeight w:val="300"/>
        </w:trPr>
        <w:tc>
          <w:tcPr>
            <w:tcW w:w="1124" w:type="dxa"/>
            <w:tcBorders>
              <w:top w:val="single" w:sz="8" w:space="0" w:color="D9D9D9"/>
              <w:left w:val="nil"/>
              <w:bottom w:val="single" w:sz="8" w:space="0" w:color="D9D9D9"/>
              <w:right w:val="single" w:sz="8" w:space="0" w:color="FFFFFF"/>
            </w:tcBorders>
            <w:shd w:val="clear" w:color="auto" w:fill="auto"/>
            <w:vAlign w:val="center"/>
            <w:hideMark/>
          </w:tcPr>
          <w:p w14:paraId="49182F5E" w14:textId="77777777" w:rsidR="0072141C" w:rsidRPr="00657489" w:rsidRDefault="0072141C" w:rsidP="0072141C">
            <w:pPr>
              <w:spacing w:before="40" w:after="40" w:line="240" w:lineRule="auto"/>
              <w:rPr>
                <w:rFonts w:eastAsia="Times New Roman" w:cs="Arial"/>
                <w:color w:val="1C1C1C"/>
                <w:sz w:val="16"/>
                <w:szCs w:val="16"/>
                <w:lang w:eastAsia="en-AU"/>
              </w:rPr>
            </w:pPr>
            <w:r w:rsidRPr="00657489">
              <w:rPr>
                <w:rFonts w:eastAsia="Times New Roman" w:cs="Arial"/>
                <w:color w:val="1C1C1C"/>
                <w:sz w:val="16"/>
                <w:szCs w:val="16"/>
                <w:lang w:eastAsia="en-AU"/>
              </w:rPr>
              <w:t>Tas</w:t>
            </w:r>
          </w:p>
        </w:tc>
        <w:tc>
          <w:tcPr>
            <w:tcW w:w="968" w:type="dxa"/>
            <w:tcBorders>
              <w:top w:val="single" w:sz="8" w:space="0" w:color="D9D9D9"/>
              <w:left w:val="nil"/>
              <w:bottom w:val="single" w:sz="8" w:space="0" w:color="D9D9D9"/>
              <w:right w:val="single" w:sz="8" w:space="0" w:color="FFFFFF"/>
            </w:tcBorders>
            <w:shd w:val="clear" w:color="000000" w:fill="F2F2F2"/>
            <w:vAlign w:val="center"/>
            <w:hideMark/>
          </w:tcPr>
          <w:p w14:paraId="3FDE02FD" w14:textId="1F74D7DA" w:rsidR="0072141C" w:rsidRPr="00C3787D" w:rsidRDefault="0072141C" w:rsidP="0072141C">
            <w:pPr>
              <w:spacing w:before="40" w:after="40" w:line="240" w:lineRule="auto"/>
              <w:jc w:val="right"/>
              <w:rPr>
                <w:rFonts w:eastAsia="Times New Roman" w:cs="Arial"/>
                <w:color w:val="000000"/>
                <w:sz w:val="16"/>
                <w:szCs w:val="16"/>
                <w:lang w:eastAsia="en-AU"/>
              </w:rPr>
            </w:pPr>
            <w:r w:rsidRPr="00580B1C">
              <w:rPr>
                <w:rFonts w:cs="Arial"/>
                <w:color w:val="15272F"/>
                <w:sz w:val="16"/>
                <w:szCs w:val="16"/>
              </w:rPr>
              <w:t xml:space="preserve">170,287 </w:t>
            </w:r>
          </w:p>
        </w:tc>
        <w:tc>
          <w:tcPr>
            <w:tcW w:w="962" w:type="dxa"/>
            <w:tcBorders>
              <w:top w:val="single" w:sz="8" w:space="0" w:color="D9D9D9"/>
              <w:left w:val="nil"/>
              <w:bottom w:val="single" w:sz="8" w:space="0" w:color="D9D9D9"/>
              <w:right w:val="single" w:sz="8" w:space="0" w:color="FFFFFF"/>
            </w:tcBorders>
            <w:shd w:val="clear" w:color="000000" w:fill="F2F2F2"/>
            <w:vAlign w:val="center"/>
            <w:hideMark/>
          </w:tcPr>
          <w:p w14:paraId="43257595" w14:textId="60898296" w:rsidR="0072141C" w:rsidRPr="00C3787D" w:rsidRDefault="0072141C" w:rsidP="0072141C">
            <w:pPr>
              <w:spacing w:before="40" w:after="40" w:line="240" w:lineRule="auto"/>
              <w:jc w:val="right"/>
              <w:rPr>
                <w:rFonts w:eastAsia="Times New Roman" w:cs="Arial"/>
                <w:color w:val="000000"/>
                <w:sz w:val="16"/>
                <w:szCs w:val="16"/>
                <w:lang w:eastAsia="en-AU"/>
              </w:rPr>
            </w:pPr>
            <w:r w:rsidRPr="00580B1C">
              <w:rPr>
                <w:rFonts w:cs="Arial"/>
                <w:color w:val="15272F"/>
                <w:sz w:val="16"/>
                <w:szCs w:val="16"/>
              </w:rPr>
              <w:t xml:space="preserve">173,276 </w:t>
            </w:r>
          </w:p>
        </w:tc>
        <w:tc>
          <w:tcPr>
            <w:tcW w:w="928" w:type="dxa"/>
            <w:tcBorders>
              <w:top w:val="single" w:sz="8" w:space="0" w:color="D9D9D9"/>
              <w:left w:val="nil"/>
              <w:bottom w:val="single" w:sz="8" w:space="0" w:color="D9D9D9"/>
              <w:right w:val="single" w:sz="8" w:space="0" w:color="FFFFFF"/>
            </w:tcBorders>
            <w:shd w:val="clear" w:color="000000" w:fill="F2F2F2"/>
            <w:vAlign w:val="center"/>
            <w:hideMark/>
          </w:tcPr>
          <w:p w14:paraId="0F1CAE86" w14:textId="16639DC5" w:rsidR="0072141C" w:rsidRPr="00C3787D"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173,888 </w:t>
            </w:r>
          </w:p>
        </w:tc>
        <w:tc>
          <w:tcPr>
            <w:tcW w:w="962" w:type="dxa"/>
            <w:tcBorders>
              <w:top w:val="nil"/>
              <w:left w:val="nil"/>
              <w:bottom w:val="single" w:sz="8" w:space="0" w:color="D9D9D9"/>
              <w:right w:val="single" w:sz="8" w:space="0" w:color="FFFFFF"/>
            </w:tcBorders>
            <w:shd w:val="clear" w:color="000000" w:fill="F2F2F2"/>
            <w:vAlign w:val="center"/>
            <w:hideMark/>
          </w:tcPr>
          <w:p w14:paraId="5A5FF28A" w14:textId="042CDB72"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170,287 </w:t>
            </w:r>
          </w:p>
        </w:tc>
        <w:tc>
          <w:tcPr>
            <w:tcW w:w="928" w:type="dxa"/>
            <w:tcBorders>
              <w:top w:val="nil"/>
              <w:left w:val="nil"/>
              <w:bottom w:val="single" w:sz="8" w:space="0" w:color="D9D9D9"/>
              <w:right w:val="single" w:sz="8" w:space="0" w:color="FFFFFF"/>
            </w:tcBorders>
            <w:shd w:val="clear" w:color="000000" w:fill="F2F2F2"/>
            <w:vAlign w:val="center"/>
            <w:hideMark/>
          </w:tcPr>
          <w:p w14:paraId="2DE88A40" w14:textId="47EB5A83"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173,276 </w:t>
            </w:r>
          </w:p>
        </w:tc>
        <w:tc>
          <w:tcPr>
            <w:tcW w:w="962" w:type="dxa"/>
            <w:tcBorders>
              <w:top w:val="nil"/>
              <w:left w:val="nil"/>
              <w:bottom w:val="single" w:sz="8" w:space="0" w:color="D9D9D9"/>
              <w:right w:val="single" w:sz="8" w:space="0" w:color="FFFFFF"/>
            </w:tcBorders>
            <w:shd w:val="clear" w:color="000000" w:fill="F2F2F2"/>
            <w:vAlign w:val="center"/>
            <w:hideMark/>
          </w:tcPr>
          <w:p w14:paraId="4D0C853A" w14:textId="2AFC32FA"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173,888 </w:t>
            </w:r>
          </w:p>
        </w:tc>
        <w:tc>
          <w:tcPr>
            <w:tcW w:w="939" w:type="dxa"/>
            <w:tcBorders>
              <w:top w:val="single" w:sz="8" w:space="0" w:color="D9D9D9"/>
              <w:left w:val="nil"/>
              <w:bottom w:val="single" w:sz="8" w:space="0" w:color="D9D9D9"/>
              <w:right w:val="single" w:sz="8" w:space="0" w:color="FFFFFF"/>
            </w:tcBorders>
            <w:shd w:val="clear" w:color="000000" w:fill="F2F2F2"/>
            <w:vAlign w:val="center"/>
          </w:tcPr>
          <w:p w14:paraId="745FE2F3" w14:textId="283C5D10" w:rsidR="0072141C" w:rsidRPr="00BF4C5C" w:rsidRDefault="0072141C" w:rsidP="0072141C">
            <w:pPr>
              <w:spacing w:before="40" w:after="40" w:line="240" w:lineRule="auto"/>
              <w:jc w:val="right"/>
              <w:rPr>
                <w:rFonts w:eastAsia="Times New Roman" w:cs="Arial"/>
                <w:b/>
                <w:bCs/>
                <w:color w:val="000000"/>
                <w:sz w:val="16"/>
                <w:szCs w:val="16"/>
                <w:u w:val="single"/>
                <w:lang w:eastAsia="en-AU"/>
              </w:rPr>
            </w:pPr>
            <w:r w:rsidRPr="00AE0C96">
              <w:rPr>
                <w:rFonts w:cs="Arial"/>
                <w:color w:val="15272F"/>
                <w:sz w:val="16"/>
                <w:szCs w:val="16"/>
              </w:rPr>
              <w:t xml:space="preserve">100 </w:t>
            </w:r>
          </w:p>
        </w:tc>
        <w:tc>
          <w:tcPr>
            <w:tcW w:w="928" w:type="dxa"/>
            <w:tcBorders>
              <w:top w:val="single" w:sz="8" w:space="0" w:color="D9D9D9"/>
              <w:left w:val="nil"/>
              <w:bottom w:val="single" w:sz="8" w:space="0" w:color="D9D9D9"/>
              <w:right w:val="single" w:sz="8" w:space="0" w:color="FFFFFF"/>
            </w:tcBorders>
            <w:shd w:val="clear" w:color="000000" w:fill="F2F2F2"/>
            <w:vAlign w:val="center"/>
          </w:tcPr>
          <w:p w14:paraId="1D927F2A" w14:textId="2ECB0A27" w:rsidR="0072141C" w:rsidRPr="00BF4C5C" w:rsidRDefault="0072141C" w:rsidP="0072141C">
            <w:pPr>
              <w:spacing w:before="40" w:after="40" w:line="240" w:lineRule="auto"/>
              <w:jc w:val="right"/>
              <w:rPr>
                <w:rFonts w:eastAsia="Times New Roman" w:cs="Arial"/>
                <w:b/>
                <w:bCs/>
                <w:color w:val="000000"/>
                <w:sz w:val="16"/>
                <w:szCs w:val="16"/>
                <w:u w:val="single"/>
                <w:lang w:eastAsia="en-AU"/>
              </w:rPr>
            </w:pPr>
            <w:r w:rsidRPr="00AE0C96">
              <w:rPr>
                <w:rFonts w:cs="Arial"/>
                <w:color w:val="15272F"/>
                <w:sz w:val="16"/>
                <w:szCs w:val="16"/>
              </w:rPr>
              <w:t xml:space="preserve">100 </w:t>
            </w:r>
          </w:p>
        </w:tc>
        <w:tc>
          <w:tcPr>
            <w:tcW w:w="938" w:type="dxa"/>
            <w:tcBorders>
              <w:top w:val="single" w:sz="8" w:space="0" w:color="D9D9D9"/>
              <w:left w:val="nil"/>
              <w:bottom w:val="single" w:sz="8" w:space="0" w:color="D9D9D9"/>
              <w:right w:val="single" w:sz="8" w:space="0" w:color="FFFFFF"/>
            </w:tcBorders>
            <w:shd w:val="clear" w:color="000000" w:fill="F2F2F2"/>
            <w:vAlign w:val="center"/>
          </w:tcPr>
          <w:p w14:paraId="18251D8A" w14:textId="3E513DC1" w:rsidR="0072141C" w:rsidRPr="00BF4C5C" w:rsidRDefault="0072141C" w:rsidP="0072141C">
            <w:pPr>
              <w:spacing w:before="40" w:after="40" w:line="240" w:lineRule="auto"/>
              <w:jc w:val="right"/>
              <w:rPr>
                <w:rFonts w:eastAsia="Times New Roman" w:cs="Arial"/>
                <w:b/>
                <w:bCs/>
                <w:color w:val="1C1C1C"/>
                <w:sz w:val="16"/>
                <w:szCs w:val="16"/>
                <w:u w:val="single"/>
                <w:lang w:eastAsia="en-AU"/>
              </w:rPr>
            </w:pPr>
            <w:r w:rsidRPr="00AE0C96">
              <w:rPr>
                <w:rFonts w:cs="Arial"/>
                <w:color w:val="15272F"/>
                <w:sz w:val="16"/>
                <w:szCs w:val="16"/>
              </w:rPr>
              <w:t xml:space="preserve">100 </w:t>
            </w:r>
          </w:p>
        </w:tc>
      </w:tr>
      <w:tr w:rsidR="0072141C" w:rsidRPr="00657489" w14:paraId="19485ED7" w14:textId="77777777" w:rsidTr="00530E79">
        <w:trPr>
          <w:trHeight w:val="300"/>
        </w:trPr>
        <w:tc>
          <w:tcPr>
            <w:tcW w:w="1124" w:type="dxa"/>
            <w:tcBorders>
              <w:top w:val="nil"/>
              <w:left w:val="nil"/>
              <w:bottom w:val="nil"/>
              <w:right w:val="single" w:sz="8" w:space="0" w:color="FFFFFF"/>
            </w:tcBorders>
            <w:shd w:val="clear" w:color="auto" w:fill="auto"/>
            <w:vAlign w:val="center"/>
            <w:hideMark/>
          </w:tcPr>
          <w:p w14:paraId="6CC0AB9B" w14:textId="77777777" w:rsidR="0072141C" w:rsidRPr="00657489" w:rsidRDefault="0072141C" w:rsidP="0072141C">
            <w:pPr>
              <w:spacing w:before="40" w:after="40" w:line="240" w:lineRule="auto"/>
              <w:rPr>
                <w:rFonts w:eastAsia="Times New Roman" w:cs="Arial"/>
                <w:color w:val="1C1C1C"/>
                <w:sz w:val="16"/>
                <w:szCs w:val="16"/>
                <w:lang w:eastAsia="en-AU"/>
              </w:rPr>
            </w:pPr>
            <w:r w:rsidRPr="00657489">
              <w:rPr>
                <w:rFonts w:eastAsia="Times New Roman" w:cs="Arial"/>
                <w:color w:val="1C1C1C"/>
                <w:sz w:val="16"/>
                <w:szCs w:val="16"/>
                <w:lang w:eastAsia="en-AU"/>
              </w:rPr>
              <w:t>NT</w:t>
            </w:r>
          </w:p>
        </w:tc>
        <w:tc>
          <w:tcPr>
            <w:tcW w:w="968" w:type="dxa"/>
            <w:tcBorders>
              <w:top w:val="nil"/>
              <w:left w:val="nil"/>
              <w:bottom w:val="nil"/>
              <w:right w:val="single" w:sz="8" w:space="0" w:color="FFFFFF"/>
            </w:tcBorders>
            <w:shd w:val="clear" w:color="000000" w:fill="F2F2F2"/>
            <w:vAlign w:val="center"/>
            <w:hideMark/>
          </w:tcPr>
          <w:p w14:paraId="368438EB" w14:textId="32EBB165" w:rsidR="0072141C" w:rsidRPr="00C3787D" w:rsidRDefault="0072141C" w:rsidP="0072141C">
            <w:pPr>
              <w:spacing w:before="40" w:after="40" w:line="240" w:lineRule="auto"/>
              <w:jc w:val="right"/>
              <w:rPr>
                <w:rFonts w:eastAsia="Times New Roman" w:cs="Arial"/>
                <w:color w:val="000000"/>
                <w:sz w:val="16"/>
                <w:szCs w:val="16"/>
                <w:lang w:eastAsia="en-AU"/>
              </w:rPr>
            </w:pPr>
            <w:r w:rsidRPr="00580B1C">
              <w:rPr>
                <w:rFonts w:cs="Arial"/>
                <w:color w:val="15272F"/>
                <w:sz w:val="16"/>
                <w:szCs w:val="16"/>
              </w:rPr>
              <w:t xml:space="preserve">177,652 </w:t>
            </w:r>
          </w:p>
        </w:tc>
        <w:tc>
          <w:tcPr>
            <w:tcW w:w="962" w:type="dxa"/>
            <w:tcBorders>
              <w:top w:val="nil"/>
              <w:left w:val="nil"/>
              <w:bottom w:val="nil"/>
              <w:right w:val="single" w:sz="8" w:space="0" w:color="FFFFFF"/>
            </w:tcBorders>
            <w:shd w:val="clear" w:color="000000" w:fill="F2F2F2"/>
            <w:vAlign w:val="center"/>
            <w:hideMark/>
          </w:tcPr>
          <w:p w14:paraId="09886086" w14:textId="170139F3" w:rsidR="0072141C" w:rsidRPr="00C3787D" w:rsidRDefault="0072141C" w:rsidP="0072141C">
            <w:pPr>
              <w:spacing w:before="40" w:after="40" w:line="240" w:lineRule="auto"/>
              <w:jc w:val="right"/>
              <w:rPr>
                <w:rFonts w:eastAsia="Times New Roman" w:cs="Arial"/>
                <w:b/>
                <w:bCs/>
                <w:color w:val="000000"/>
                <w:sz w:val="16"/>
                <w:szCs w:val="16"/>
                <w:u w:val="single"/>
                <w:lang w:eastAsia="en-AU"/>
              </w:rPr>
            </w:pPr>
            <w:r w:rsidRPr="00580B1C">
              <w:rPr>
                <w:rFonts w:cs="Arial"/>
                <w:color w:val="15272F"/>
                <w:sz w:val="16"/>
                <w:szCs w:val="16"/>
              </w:rPr>
              <w:t xml:space="preserve">171,415 </w:t>
            </w:r>
          </w:p>
        </w:tc>
        <w:tc>
          <w:tcPr>
            <w:tcW w:w="928" w:type="dxa"/>
            <w:tcBorders>
              <w:top w:val="nil"/>
              <w:left w:val="nil"/>
              <w:bottom w:val="nil"/>
              <w:right w:val="single" w:sz="8" w:space="0" w:color="FFFFFF"/>
            </w:tcBorders>
            <w:shd w:val="clear" w:color="000000" w:fill="F2F2F2"/>
            <w:vAlign w:val="center"/>
            <w:hideMark/>
          </w:tcPr>
          <w:p w14:paraId="4FEB9D4A" w14:textId="2518D2FB" w:rsidR="0072141C" w:rsidRPr="00C3787D"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181,786 </w:t>
            </w:r>
          </w:p>
        </w:tc>
        <w:tc>
          <w:tcPr>
            <w:tcW w:w="962" w:type="dxa"/>
            <w:tcBorders>
              <w:top w:val="nil"/>
              <w:left w:val="nil"/>
              <w:bottom w:val="single" w:sz="8" w:space="0" w:color="D9D9D9"/>
              <w:right w:val="single" w:sz="8" w:space="0" w:color="FFFFFF"/>
            </w:tcBorders>
            <w:shd w:val="clear" w:color="000000" w:fill="F2F2F2"/>
            <w:vAlign w:val="center"/>
            <w:hideMark/>
          </w:tcPr>
          <w:p w14:paraId="1CFE0AF5" w14:textId="4DBAE8CF"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177,699 </w:t>
            </w:r>
          </w:p>
        </w:tc>
        <w:tc>
          <w:tcPr>
            <w:tcW w:w="928" w:type="dxa"/>
            <w:tcBorders>
              <w:top w:val="nil"/>
              <w:left w:val="nil"/>
              <w:bottom w:val="single" w:sz="8" w:space="0" w:color="D9D9D9"/>
              <w:right w:val="single" w:sz="8" w:space="0" w:color="FFFFFF"/>
            </w:tcBorders>
            <w:shd w:val="clear" w:color="000000" w:fill="F2F2F2"/>
            <w:vAlign w:val="center"/>
            <w:hideMark/>
          </w:tcPr>
          <w:p w14:paraId="58F72222" w14:textId="168222EC"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171,416 </w:t>
            </w:r>
          </w:p>
        </w:tc>
        <w:tc>
          <w:tcPr>
            <w:tcW w:w="962" w:type="dxa"/>
            <w:tcBorders>
              <w:top w:val="nil"/>
              <w:left w:val="nil"/>
              <w:bottom w:val="single" w:sz="8" w:space="0" w:color="D9D9D9"/>
              <w:right w:val="single" w:sz="8" w:space="0" w:color="FFFFFF"/>
            </w:tcBorders>
            <w:shd w:val="clear" w:color="000000" w:fill="F2F2F2"/>
            <w:vAlign w:val="center"/>
            <w:hideMark/>
          </w:tcPr>
          <w:p w14:paraId="1BE556FC" w14:textId="1982636C"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181,815 </w:t>
            </w:r>
          </w:p>
        </w:tc>
        <w:tc>
          <w:tcPr>
            <w:tcW w:w="939" w:type="dxa"/>
            <w:tcBorders>
              <w:top w:val="nil"/>
              <w:left w:val="nil"/>
              <w:bottom w:val="nil"/>
              <w:right w:val="single" w:sz="8" w:space="0" w:color="FFFFFF"/>
            </w:tcBorders>
            <w:shd w:val="clear" w:color="000000" w:fill="F2F2F2"/>
            <w:vAlign w:val="center"/>
          </w:tcPr>
          <w:p w14:paraId="4846B2D9" w14:textId="3A2CD5BD" w:rsidR="0072141C" w:rsidRPr="00BF4C5C" w:rsidRDefault="0072141C" w:rsidP="0072141C">
            <w:pPr>
              <w:spacing w:before="40" w:after="40" w:line="240" w:lineRule="auto"/>
              <w:jc w:val="right"/>
              <w:rPr>
                <w:rFonts w:eastAsia="Times New Roman" w:cs="Arial"/>
                <w:color w:val="000000"/>
                <w:sz w:val="16"/>
                <w:szCs w:val="16"/>
                <w:lang w:eastAsia="en-AU"/>
              </w:rPr>
            </w:pPr>
            <w:r w:rsidRPr="00AE0C96">
              <w:rPr>
                <w:rFonts w:cs="Arial"/>
                <w:color w:val="15272F"/>
                <w:sz w:val="16"/>
                <w:szCs w:val="16"/>
              </w:rPr>
              <w:t xml:space="preserve">100 </w:t>
            </w:r>
          </w:p>
        </w:tc>
        <w:tc>
          <w:tcPr>
            <w:tcW w:w="928" w:type="dxa"/>
            <w:tcBorders>
              <w:top w:val="nil"/>
              <w:left w:val="nil"/>
              <w:bottom w:val="nil"/>
              <w:right w:val="single" w:sz="8" w:space="0" w:color="FFFFFF"/>
            </w:tcBorders>
            <w:shd w:val="clear" w:color="000000" w:fill="F2F2F2"/>
            <w:vAlign w:val="center"/>
          </w:tcPr>
          <w:p w14:paraId="5B481C9A" w14:textId="651093A4" w:rsidR="0072141C" w:rsidRPr="00BF4C5C" w:rsidRDefault="0072141C" w:rsidP="0072141C">
            <w:pPr>
              <w:spacing w:before="40" w:after="40" w:line="240" w:lineRule="auto"/>
              <w:jc w:val="right"/>
              <w:rPr>
                <w:rFonts w:eastAsia="Times New Roman" w:cs="Arial"/>
                <w:color w:val="000000"/>
                <w:sz w:val="16"/>
                <w:szCs w:val="16"/>
                <w:lang w:eastAsia="en-AU"/>
              </w:rPr>
            </w:pPr>
            <w:r w:rsidRPr="00AE0C96">
              <w:rPr>
                <w:rFonts w:cs="Arial"/>
                <w:color w:val="15272F"/>
                <w:sz w:val="16"/>
                <w:szCs w:val="16"/>
              </w:rPr>
              <w:t xml:space="preserve">100 </w:t>
            </w:r>
          </w:p>
        </w:tc>
        <w:tc>
          <w:tcPr>
            <w:tcW w:w="938" w:type="dxa"/>
            <w:tcBorders>
              <w:top w:val="nil"/>
              <w:left w:val="nil"/>
              <w:bottom w:val="nil"/>
              <w:right w:val="single" w:sz="8" w:space="0" w:color="FFFFFF"/>
            </w:tcBorders>
            <w:shd w:val="clear" w:color="000000" w:fill="F2F2F2"/>
            <w:vAlign w:val="center"/>
          </w:tcPr>
          <w:p w14:paraId="787E1DC1" w14:textId="47FCEE91" w:rsidR="0072141C" w:rsidRPr="00BF4C5C" w:rsidRDefault="0072141C" w:rsidP="0072141C">
            <w:pPr>
              <w:spacing w:before="40" w:after="40" w:line="240" w:lineRule="auto"/>
              <w:jc w:val="right"/>
              <w:rPr>
                <w:rFonts w:eastAsia="Times New Roman" w:cs="Arial"/>
                <w:color w:val="1C1C1C"/>
                <w:sz w:val="16"/>
                <w:szCs w:val="16"/>
                <w:lang w:eastAsia="en-AU"/>
              </w:rPr>
            </w:pPr>
            <w:r w:rsidRPr="00AE0C96">
              <w:rPr>
                <w:rFonts w:cs="Arial"/>
                <w:color w:val="15272F"/>
                <w:sz w:val="16"/>
                <w:szCs w:val="16"/>
              </w:rPr>
              <w:t xml:space="preserve">100 </w:t>
            </w:r>
          </w:p>
        </w:tc>
      </w:tr>
      <w:tr w:rsidR="0072141C" w:rsidRPr="00657489" w14:paraId="16014B68" w14:textId="77777777" w:rsidTr="00530E79">
        <w:trPr>
          <w:trHeight w:val="300"/>
        </w:trPr>
        <w:tc>
          <w:tcPr>
            <w:tcW w:w="1124" w:type="dxa"/>
            <w:tcBorders>
              <w:top w:val="single" w:sz="8" w:space="0" w:color="D9D9D9"/>
              <w:left w:val="nil"/>
              <w:bottom w:val="single" w:sz="8" w:space="0" w:color="D9D9D9"/>
              <w:right w:val="single" w:sz="8" w:space="0" w:color="FFFFFF"/>
            </w:tcBorders>
            <w:shd w:val="clear" w:color="auto" w:fill="auto"/>
            <w:vAlign w:val="center"/>
            <w:hideMark/>
          </w:tcPr>
          <w:p w14:paraId="086B1CF9" w14:textId="77777777" w:rsidR="0072141C" w:rsidRPr="00657489" w:rsidRDefault="0072141C" w:rsidP="0072141C">
            <w:pPr>
              <w:spacing w:before="40" w:after="40" w:line="240" w:lineRule="auto"/>
              <w:rPr>
                <w:rFonts w:eastAsia="Times New Roman" w:cs="Arial"/>
                <w:color w:val="1C1C1C"/>
                <w:sz w:val="16"/>
                <w:szCs w:val="16"/>
                <w:lang w:eastAsia="en-AU"/>
              </w:rPr>
            </w:pPr>
            <w:r w:rsidRPr="00657489">
              <w:rPr>
                <w:rFonts w:eastAsia="Times New Roman" w:cs="Arial"/>
                <w:color w:val="1C1C1C"/>
                <w:sz w:val="16"/>
                <w:szCs w:val="16"/>
                <w:lang w:eastAsia="en-AU"/>
              </w:rPr>
              <w:t>ACT</w:t>
            </w:r>
          </w:p>
        </w:tc>
        <w:tc>
          <w:tcPr>
            <w:tcW w:w="968" w:type="dxa"/>
            <w:tcBorders>
              <w:top w:val="single" w:sz="8" w:space="0" w:color="D9D9D9"/>
              <w:left w:val="nil"/>
              <w:bottom w:val="single" w:sz="8" w:space="0" w:color="D9D9D9"/>
              <w:right w:val="single" w:sz="8" w:space="0" w:color="FFFFFF"/>
            </w:tcBorders>
            <w:shd w:val="clear" w:color="000000" w:fill="F2F2F2"/>
            <w:vAlign w:val="center"/>
            <w:hideMark/>
          </w:tcPr>
          <w:p w14:paraId="10433F25" w14:textId="38B20D02" w:rsidR="0072141C" w:rsidRPr="00C3787D" w:rsidRDefault="0072141C" w:rsidP="0072141C">
            <w:pPr>
              <w:spacing w:before="40" w:after="40" w:line="240" w:lineRule="auto"/>
              <w:jc w:val="right"/>
              <w:rPr>
                <w:rFonts w:eastAsia="Times New Roman" w:cs="Arial"/>
                <w:b/>
                <w:bCs/>
                <w:color w:val="1C1C1C"/>
                <w:sz w:val="16"/>
                <w:szCs w:val="16"/>
                <w:u w:val="single"/>
                <w:lang w:eastAsia="en-AU"/>
              </w:rPr>
            </w:pPr>
            <w:r w:rsidRPr="00580B1C">
              <w:rPr>
                <w:rFonts w:cs="Arial"/>
                <w:color w:val="15272F"/>
                <w:sz w:val="16"/>
                <w:szCs w:val="16"/>
              </w:rPr>
              <w:t xml:space="preserve">153,456 </w:t>
            </w:r>
          </w:p>
        </w:tc>
        <w:tc>
          <w:tcPr>
            <w:tcW w:w="962" w:type="dxa"/>
            <w:tcBorders>
              <w:top w:val="single" w:sz="8" w:space="0" w:color="D9D9D9"/>
              <w:left w:val="nil"/>
              <w:bottom w:val="single" w:sz="8" w:space="0" w:color="D9D9D9"/>
              <w:right w:val="single" w:sz="8" w:space="0" w:color="FFFFFF"/>
            </w:tcBorders>
            <w:shd w:val="clear" w:color="000000" w:fill="F2F2F2"/>
            <w:vAlign w:val="center"/>
            <w:hideMark/>
          </w:tcPr>
          <w:p w14:paraId="7EDA3B3D" w14:textId="21A9D933" w:rsidR="0072141C" w:rsidRPr="00C3787D" w:rsidRDefault="0072141C" w:rsidP="0072141C">
            <w:pPr>
              <w:spacing w:before="40" w:after="40" w:line="240" w:lineRule="auto"/>
              <w:jc w:val="right"/>
              <w:rPr>
                <w:rFonts w:eastAsia="Times New Roman" w:cs="Arial"/>
                <w:b/>
                <w:bCs/>
                <w:color w:val="1C1C1C"/>
                <w:sz w:val="16"/>
                <w:szCs w:val="16"/>
                <w:u w:val="single"/>
                <w:lang w:eastAsia="en-AU"/>
              </w:rPr>
            </w:pPr>
            <w:r w:rsidRPr="00580B1C">
              <w:rPr>
                <w:rFonts w:cs="Arial"/>
                <w:color w:val="15272F"/>
                <w:sz w:val="16"/>
                <w:szCs w:val="16"/>
              </w:rPr>
              <w:t xml:space="preserve">143,351 </w:t>
            </w:r>
          </w:p>
        </w:tc>
        <w:tc>
          <w:tcPr>
            <w:tcW w:w="928" w:type="dxa"/>
            <w:tcBorders>
              <w:top w:val="single" w:sz="8" w:space="0" w:color="D9D9D9"/>
              <w:left w:val="nil"/>
              <w:bottom w:val="single" w:sz="8" w:space="0" w:color="D9D9D9"/>
              <w:right w:val="single" w:sz="8" w:space="0" w:color="FFFFFF"/>
            </w:tcBorders>
            <w:shd w:val="clear" w:color="000000" w:fill="F2F2F2"/>
            <w:vAlign w:val="center"/>
            <w:hideMark/>
          </w:tcPr>
          <w:p w14:paraId="151F9A55" w14:textId="0BFE3A58" w:rsidR="0072141C" w:rsidRPr="00C3787D"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   </w:t>
            </w:r>
          </w:p>
        </w:tc>
        <w:tc>
          <w:tcPr>
            <w:tcW w:w="962" w:type="dxa"/>
            <w:tcBorders>
              <w:top w:val="nil"/>
              <w:left w:val="nil"/>
              <w:bottom w:val="single" w:sz="8" w:space="0" w:color="D9D9D9"/>
              <w:right w:val="single" w:sz="8" w:space="0" w:color="FFFFFF"/>
            </w:tcBorders>
            <w:shd w:val="clear" w:color="000000" w:fill="F2F2F2"/>
            <w:vAlign w:val="center"/>
            <w:hideMark/>
          </w:tcPr>
          <w:p w14:paraId="78707C6D" w14:textId="4D591168" w:rsidR="0072141C" w:rsidRPr="00BF4C5C" w:rsidRDefault="0072141C" w:rsidP="0072141C">
            <w:pPr>
              <w:spacing w:before="40" w:after="40" w:line="240" w:lineRule="auto"/>
              <w:jc w:val="right"/>
              <w:rPr>
                <w:rFonts w:eastAsia="Times New Roman" w:cs="Arial"/>
                <w:b/>
                <w:bCs/>
                <w:color w:val="1C1C1C"/>
                <w:sz w:val="16"/>
                <w:szCs w:val="16"/>
                <w:u w:val="single"/>
                <w:lang w:eastAsia="en-AU"/>
              </w:rPr>
            </w:pPr>
            <w:r w:rsidRPr="00580B1C">
              <w:rPr>
                <w:rFonts w:cs="Arial"/>
                <w:color w:val="15272F"/>
                <w:sz w:val="16"/>
                <w:szCs w:val="16"/>
              </w:rPr>
              <w:t xml:space="preserve">153,716 </w:t>
            </w:r>
          </w:p>
        </w:tc>
        <w:tc>
          <w:tcPr>
            <w:tcW w:w="928" w:type="dxa"/>
            <w:tcBorders>
              <w:top w:val="nil"/>
              <w:left w:val="nil"/>
              <w:bottom w:val="single" w:sz="8" w:space="0" w:color="D9D9D9"/>
              <w:right w:val="single" w:sz="8" w:space="0" w:color="FFFFFF"/>
            </w:tcBorders>
            <w:shd w:val="clear" w:color="000000" w:fill="F2F2F2"/>
            <w:vAlign w:val="center"/>
            <w:hideMark/>
          </w:tcPr>
          <w:p w14:paraId="0E6261BA" w14:textId="6CFDAFB9" w:rsidR="0072141C" w:rsidRPr="00BF4C5C" w:rsidRDefault="0072141C" w:rsidP="0072141C">
            <w:pPr>
              <w:spacing w:before="40" w:after="40" w:line="240" w:lineRule="auto"/>
              <w:jc w:val="right"/>
              <w:rPr>
                <w:rFonts w:eastAsia="Times New Roman" w:cs="Arial"/>
                <w:b/>
                <w:bCs/>
                <w:color w:val="1C1C1C"/>
                <w:sz w:val="16"/>
                <w:szCs w:val="16"/>
                <w:u w:val="single"/>
                <w:lang w:eastAsia="en-AU"/>
              </w:rPr>
            </w:pPr>
            <w:r w:rsidRPr="00580B1C">
              <w:rPr>
                <w:rFonts w:cs="Arial"/>
                <w:color w:val="15272F"/>
                <w:sz w:val="16"/>
                <w:szCs w:val="16"/>
              </w:rPr>
              <w:t xml:space="preserve">143,700 </w:t>
            </w:r>
          </w:p>
        </w:tc>
        <w:tc>
          <w:tcPr>
            <w:tcW w:w="962" w:type="dxa"/>
            <w:tcBorders>
              <w:top w:val="nil"/>
              <w:left w:val="nil"/>
              <w:bottom w:val="single" w:sz="8" w:space="0" w:color="D9D9D9"/>
              <w:right w:val="single" w:sz="8" w:space="0" w:color="FFFFFF"/>
            </w:tcBorders>
            <w:shd w:val="clear" w:color="000000" w:fill="F2F2F2"/>
            <w:vAlign w:val="center"/>
            <w:hideMark/>
          </w:tcPr>
          <w:p w14:paraId="6F4BE76C" w14:textId="5B4B5074" w:rsidR="0072141C" w:rsidRPr="00BF4C5C" w:rsidRDefault="0072141C" w:rsidP="0072141C">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145,707 </w:t>
            </w:r>
          </w:p>
        </w:tc>
        <w:tc>
          <w:tcPr>
            <w:tcW w:w="939" w:type="dxa"/>
            <w:tcBorders>
              <w:top w:val="single" w:sz="8" w:space="0" w:color="D9D9D9"/>
              <w:left w:val="nil"/>
              <w:bottom w:val="single" w:sz="8" w:space="0" w:color="D9D9D9"/>
              <w:right w:val="single" w:sz="8" w:space="0" w:color="FFFFFF"/>
            </w:tcBorders>
            <w:shd w:val="clear" w:color="000000" w:fill="F2F2F2"/>
            <w:vAlign w:val="center"/>
          </w:tcPr>
          <w:p w14:paraId="4DFA05AE" w14:textId="735A62E8" w:rsidR="0072141C" w:rsidRPr="00BF4C5C" w:rsidRDefault="0072141C" w:rsidP="0072141C">
            <w:pPr>
              <w:spacing w:before="40" w:after="40" w:line="240" w:lineRule="auto"/>
              <w:jc w:val="right"/>
              <w:rPr>
                <w:rFonts w:eastAsia="Times New Roman" w:cs="Arial"/>
                <w:color w:val="1C1C1C"/>
                <w:sz w:val="16"/>
                <w:szCs w:val="16"/>
                <w:lang w:eastAsia="en-AU"/>
              </w:rPr>
            </w:pPr>
            <w:r w:rsidRPr="00AE0C96">
              <w:rPr>
                <w:rFonts w:cs="Arial"/>
                <w:color w:val="15272F"/>
                <w:sz w:val="16"/>
                <w:szCs w:val="16"/>
              </w:rPr>
              <w:t xml:space="preserve">100 </w:t>
            </w:r>
          </w:p>
        </w:tc>
        <w:tc>
          <w:tcPr>
            <w:tcW w:w="928" w:type="dxa"/>
            <w:tcBorders>
              <w:top w:val="single" w:sz="8" w:space="0" w:color="D9D9D9"/>
              <w:left w:val="nil"/>
              <w:bottom w:val="single" w:sz="8" w:space="0" w:color="D9D9D9"/>
              <w:right w:val="single" w:sz="8" w:space="0" w:color="FFFFFF"/>
            </w:tcBorders>
            <w:shd w:val="clear" w:color="000000" w:fill="F2F2F2"/>
            <w:vAlign w:val="center"/>
          </w:tcPr>
          <w:p w14:paraId="0BB8D056" w14:textId="6D914647" w:rsidR="0072141C" w:rsidRPr="00BF4C5C" w:rsidRDefault="0072141C" w:rsidP="0072141C">
            <w:pPr>
              <w:spacing w:before="40" w:after="40" w:line="240" w:lineRule="auto"/>
              <w:jc w:val="right"/>
              <w:rPr>
                <w:rFonts w:eastAsia="Times New Roman" w:cs="Arial"/>
                <w:color w:val="1C1C1C"/>
                <w:sz w:val="16"/>
                <w:szCs w:val="16"/>
                <w:lang w:eastAsia="en-AU"/>
              </w:rPr>
            </w:pPr>
            <w:r w:rsidRPr="00AE0C96">
              <w:rPr>
                <w:rFonts w:cs="Arial"/>
                <w:color w:val="15272F"/>
                <w:sz w:val="16"/>
                <w:szCs w:val="16"/>
              </w:rPr>
              <w:t xml:space="preserve">100 </w:t>
            </w:r>
          </w:p>
        </w:tc>
        <w:tc>
          <w:tcPr>
            <w:tcW w:w="938" w:type="dxa"/>
            <w:tcBorders>
              <w:top w:val="single" w:sz="8" w:space="0" w:color="D9D9D9"/>
              <w:left w:val="nil"/>
              <w:bottom w:val="single" w:sz="8" w:space="0" w:color="D9D9D9"/>
              <w:right w:val="single" w:sz="8" w:space="0" w:color="FFFFFF"/>
            </w:tcBorders>
            <w:shd w:val="clear" w:color="000000" w:fill="F2F2F2"/>
            <w:vAlign w:val="center"/>
          </w:tcPr>
          <w:p w14:paraId="4C1D2AD7" w14:textId="7942167D" w:rsidR="0072141C" w:rsidRPr="00BF4C5C" w:rsidRDefault="0072141C" w:rsidP="0072141C">
            <w:pPr>
              <w:spacing w:before="40" w:after="40" w:line="240" w:lineRule="auto"/>
              <w:jc w:val="right"/>
              <w:rPr>
                <w:rFonts w:eastAsia="Times New Roman" w:cs="Arial"/>
                <w:color w:val="1C1C1C"/>
                <w:sz w:val="16"/>
                <w:szCs w:val="16"/>
                <w:lang w:eastAsia="en-AU"/>
              </w:rPr>
            </w:pPr>
            <w:r w:rsidRPr="00AE0C96">
              <w:rPr>
                <w:rFonts w:cs="Arial"/>
                <w:color w:val="15272F"/>
                <w:sz w:val="16"/>
                <w:szCs w:val="16"/>
              </w:rPr>
              <w:t xml:space="preserve">-   </w:t>
            </w:r>
          </w:p>
        </w:tc>
      </w:tr>
      <w:tr w:rsidR="0072141C" w:rsidRPr="00657489" w14:paraId="27E1EC88" w14:textId="77777777" w:rsidTr="00530E79">
        <w:trPr>
          <w:trHeight w:val="285"/>
        </w:trPr>
        <w:tc>
          <w:tcPr>
            <w:tcW w:w="1124" w:type="dxa"/>
            <w:tcBorders>
              <w:top w:val="nil"/>
              <w:left w:val="nil"/>
              <w:bottom w:val="nil"/>
              <w:right w:val="single" w:sz="8" w:space="0" w:color="FFFFFF"/>
            </w:tcBorders>
            <w:shd w:val="clear" w:color="000000" w:fill="DFEBF1"/>
            <w:vAlign w:val="center"/>
            <w:hideMark/>
          </w:tcPr>
          <w:p w14:paraId="4AB68B54" w14:textId="77777777" w:rsidR="0072141C" w:rsidRPr="00657489" w:rsidRDefault="0072141C" w:rsidP="0072141C">
            <w:pPr>
              <w:spacing w:before="40" w:after="40" w:line="240" w:lineRule="auto"/>
              <w:rPr>
                <w:rFonts w:eastAsia="Times New Roman" w:cs="Arial"/>
                <w:b/>
                <w:bCs/>
                <w:color w:val="1C1C1C"/>
                <w:sz w:val="16"/>
                <w:szCs w:val="16"/>
                <w:lang w:eastAsia="en-AU"/>
              </w:rPr>
            </w:pPr>
            <w:r w:rsidRPr="00657489">
              <w:rPr>
                <w:rFonts w:eastAsia="Times New Roman" w:cs="Arial"/>
                <w:b/>
                <w:bCs/>
                <w:color w:val="1C1C1C"/>
                <w:sz w:val="16"/>
                <w:szCs w:val="16"/>
                <w:lang w:eastAsia="en-AU"/>
              </w:rPr>
              <w:t>National</w:t>
            </w:r>
          </w:p>
        </w:tc>
        <w:tc>
          <w:tcPr>
            <w:tcW w:w="968" w:type="dxa"/>
            <w:tcBorders>
              <w:top w:val="nil"/>
              <w:left w:val="nil"/>
              <w:bottom w:val="nil"/>
              <w:right w:val="single" w:sz="8" w:space="0" w:color="FFFFFF"/>
            </w:tcBorders>
            <w:shd w:val="clear" w:color="000000" w:fill="DFEBF1"/>
            <w:vAlign w:val="center"/>
            <w:hideMark/>
          </w:tcPr>
          <w:p w14:paraId="580BF858" w14:textId="201369CD" w:rsidR="0072141C" w:rsidRPr="00C3787D" w:rsidRDefault="0072141C" w:rsidP="0072141C">
            <w:pPr>
              <w:spacing w:before="40" w:after="40" w:line="240" w:lineRule="auto"/>
              <w:jc w:val="right"/>
              <w:rPr>
                <w:rFonts w:eastAsia="Times New Roman" w:cs="Arial"/>
                <w:b/>
                <w:bCs/>
                <w:color w:val="1C1C1C"/>
                <w:sz w:val="16"/>
                <w:szCs w:val="16"/>
                <w:lang w:eastAsia="en-AU"/>
              </w:rPr>
            </w:pPr>
            <w:r w:rsidRPr="00580B1C">
              <w:rPr>
                <w:rFonts w:cs="Arial"/>
                <w:b/>
                <w:bCs/>
                <w:color w:val="15272F"/>
                <w:sz w:val="16"/>
                <w:szCs w:val="16"/>
              </w:rPr>
              <w:t xml:space="preserve">8,362,442 </w:t>
            </w:r>
          </w:p>
        </w:tc>
        <w:tc>
          <w:tcPr>
            <w:tcW w:w="962" w:type="dxa"/>
            <w:tcBorders>
              <w:top w:val="nil"/>
              <w:left w:val="nil"/>
              <w:bottom w:val="nil"/>
              <w:right w:val="single" w:sz="8" w:space="0" w:color="FFFFFF"/>
            </w:tcBorders>
            <w:shd w:val="clear" w:color="000000" w:fill="DFEBF1"/>
            <w:vAlign w:val="center"/>
            <w:hideMark/>
          </w:tcPr>
          <w:p w14:paraId="5E433836" w14:textId="23CEB212" w:rsidR="0072141C" w:rsidRPr="00C3787D" w:rsidRDefault="0072141C" w:rsidP="0072141C">
            <w:pPr>
              <w:spacing w:before="40" w:after="40" w:line="240" w:lineRule="auto"/>
              <w:jc w:val="right"/>
              <w:rPr>
                <w:rFonts w:eastAsia="Times New Roman" w:cs="Arial"/>
                <w:b/>
                <w:bCs/>
                <w:color w:val="1C1C1C"/>
                <w:sz w:val="16"/>
                <w:szCs w:val="16"/>
                <w:lang w:eastAsia="en-AU"/>
              </w:rPr>
            </w:pPr>
            <w:r w:rsidRPr="00580B1C">
              <w:rPr>
                <w:rFonts w:cs="Arial"/>
                <w:b/>
                <w:bCs/>
                <w:color w:val="15272F"/>
                <w:sz w:val="16"/>
                <w:szCs w:val="16"/>
              </w:rPr>
              <w:t xml:space="preserve">8,270,175 </w:t>
            </w:r>
          </w:p>
        </w:tc>
        <w:tc>
          <w:tcPr>
            <w:tcW w:w="928" w:type="dxa"/>
            <w:tcBorders>
              <w:top w:val="nil"/>
              <w:left w:val="nil"/>
              <w:bottom w:val="nil"/>
              <w:right w:val="single" w:sz="8" w:space="0" w:color="FFFFFF"/>
            </w:tcBorders>
            <w:shd w:val="clear" w:color="000000" w:fill="DFEBF1"/>
            <w:vAlign w:val="center"/>
            <w:hideMark/>
          </w:tcPr>
          <w:p w14:paraId="53D04D34" w14:textId="4B9212C9" w:rsidR="0072141C" w:rsidRPr="00C3787D" w:rsidRDefault="0072141C" w:rsidP="0072141C">
            <w:pPr>
              <w:spacing w:before="40" w:after="40" w:line="240" w:lineRule="auto"/>
              <w:jc w:val="right"/>
              <w:rPr>
                <w:rFonts w:eastAsia="Times New Roman" w:cs="Arial"/>
                <w:b/>
                <w:bCs/>
                <w:color w:val="1C1C1C"/>
                <w:sz w:val="16"/>
                <w:szCs w:val="16"/>
                <w:lang w:eastAsia="en-AU"/>
              </w:rPr>
            </w:pPr>
            <w:r w:rsidRPr="00580B1C">
              <w:rPr>
                <w:rFonts w:cs="Arial"/>
                <w:b/>
                <w:bCs/>
                <w:color w:val="15272F"/>
                <w:sz w:val="16"/>
                <w:szCs w:val="16"/>
              </w:rPr>
              <w:t xml:space="preserve">8,574,940 </w:t>
            </w:r>
          </w:p>
        </w:tc>
        <w:tc>
          <w:tcPr>
            <w:tcW w:w="962" w:type="dxa"/>
            <w:tcBorders>
              <w:top w:val="nil"/>
              <w:left w:val="nil"/>
              <w:bottom w:val="nil"/>
              <w:right w:val="single" w:sz="8" w:space="0" w:color="FFFFFF"/>
            </w:tcBorders>
            <w:shd w:val="clear" w:color="000000" w:fill="DFEBF1"/>
            <w:vAlign w:val="center"/>
            <w:hideMark/>
          </w:tcPr>
          <w:p w14:paraId="792E98B5" w14:textId="7765AD9F" w:rsidR="0072141C" w:rsidRPr="00580B1C" w:rsidRDefault="0072141C" w:rsidP="0072141C">
            <w:pPr>
              <w:spacing w:before="40" w:after="40" w:line="240" w:lineRule="auto"/>
              <w:jc w:val="right"/>
              <w:rPr>
                <w:rFonts w:eastAsia="Times New Roman" w:cs="Arial"/>
                <w:b/>
                <w:bCs/>
                <w:color w:val="1C1C1C"/>
                <w:sz w:val="16"/>
                <w:szCs w:val="16"/>
                <w:lang w:eastAsia="en-AU"/>
              </w:rPr>
            </w:pPr>
            <w:r w:rsidRPr="00580B1C">
              <w:rPr>
                <w:rFonts w:cs="Arial"/>
                <w:b/>
                <w:bCs/>
                <w:color w:val="15272F"/>
                <w:sz w:val="16"/>
                <w:szCs w:val="16"/>
              </w:rPr>
              <w:t xml:space="preserve">8,979,021 </w:t>
            </w:r>
          </w:p>
        </w:tc>
        <w:tc>
          <w:tcPr>
            <w:tcW w:w="928" w:type="dxa"/>
            <w:tcBorders>
              <w:top w:val="nil"/>
              <w:left w:val="nil"/>
              <w:bottom w:val="nil"/>
              <w:right w:val="single" w:sz="8" w:space="0" w:color="FFFFFF"/>
            </w:tcBorders>
            <w:shd w:val="clear" w:color="000000" w:fill="DFEBF1"/>
            <w:vAlign w:val="center"/>
            <w:hideMark/>
          </w:tcPr>
          <w:p w14:paraId="0BA54946" w14:textId="12C2A27A" w:rsidR="0072141C" w:rsidRPr="00580B1C" w:rsidRDefault="0072141C" w:rsidP="0072141C">
            <w:pPr>
              <w:spacing w:before="40" w:after="40" w:line="240" w:lineRule="auto"/>
              <w:jc w:val="right"/>
              <w:rPr>
                <w:rFonts w:eastAsia="Times New Roman" w:cs="Arial"/>
                <w:b/>
                <w:bCs/>
                <w:color w:val="1C1C1C"/>
                <w:sz w:val="16"/>
                <w:szCs w:val="16"/>
                <w:lang w:eastAsia="en-AU"/>
              </w:rPr>
            </w:pPr>
            <w:r w:rsidRPr="00580B1C">
              <w:rPr>
                <w:rFonts w:cs="Arial"/>
                <w:b/>
                <w:bCs/>
                <w:color w:val="15272F"/>
                <w:sz w:val="16"/>
                <w:szCs w:val="16"/>
              </w:rPr>
              <w:t xml:space="preserve">8,830,614 </w:t>
            </w:r>
          </w:p>
        </w:tc>
        <w:tc>
          <w:tcPr>
            <w:tcW w:w="962" w:type="dxa"/>
            <w:tcBorders>
              <w:top w:val="nil"/>
              <w:left w:val="nil"/>
              <w:bottom w:val="nil"/>
              <w:right w:val="single" w:sz="8" w:space="0" w:color="FFFFFF"/>
            </w:tcBorders>
            <w:shd w:val="clear" w:color="000000" w:fill="DFEBF1"/>
            <w:vAlign w:val="center"/>
            <w:hideMark/>
          </w:tcPr>
          <w:p w14:paraId="5EF8BD19" w14:textId="4FDFE395" w:rsidR="0072141C" w:rsidRPr="00580B1C" w:rsidRDefault="0072141C" w:rsidP="0072141C">
            <w:pPr>
              <w:spacing w:before="40" w:after="40" w:line="240" w:lineRule="auto"/>
              <w:jc w:val="right"/>
              <w:rPr>
                <w:rFonts w:eastAsia="Times New Roman" w:cs="Arial"/>
                <w:b/>
                <w:bCs/>
                <w:color w:val="1C1C1C"/>
                <w:sz w:val="16"/>
                <w:szCs w:val="16"/>
                <w:lang w:eastAsia="en-AU"/>
              </w:rPr>
            </w:pPr>
            <w:r w:rsidRPr="00580B1C">
              <w:rPr>
                <w:rFonts w:cs="Arial"/>
                <w:b/>
                <w:bCs/>
                <w:color w:val="15272F"/>
                <w:sz w:val="16"/>
                <w:szCs w:val="16"/>
              </w:rPr>
              <w:t xml:space="preserve">9,081,077 </w:t>
            </w:r>
          </w:p>
        </w:tc>
        <w:tc>
          <w:tcPr>
            <w:tcW w:w="939" w:type="dxa"/>
            <w:tcBorders>
              <w:top w:val="nil"/>
              <w:left w:val="nil"/>
              <w:bottom w:val="nil"/>
              <w:right w:val="single" w:sz="8" w:space="0" w:color="FFFFFF"/>
            </w:tcBorders>
            <w:shd w:val="clear" w:color="000000" w:fill="DFEBF1"/>
            <w:vAlign w:val="center"/>
          </w:tcPr>
          <w:p w14:paraId="077B4A8B" w14:textId="5B2AACFC" w:rsidR="0072141C" w:rsidRPr="00580B1C" w:rsidRDefault="0072141C" w:rsidP="0072141C">
            <w:pPr>
              <w:spacing w:before="40" w:after="40" w:line="240" w:lineRule="auto"/>
              <w:jc w:val="right"/>
              <w:rPr>
                <w:rFonts w:eastAsia="Times New Roman" w:cs="Arial"/>
                <w:b/>
                <w:bCs/>
                <w:color w:val="1C1C1C"/>
                <w:sz w:val="16"/>
                <w:szCs w:val="16"/>
                <w:lang w:eastAsia="en-AU"/>
              </w:rPr>
            </w:pPr>
            <w:r w:rsidRPr="00580B1C">
              <w:rPr>
                <w:rFonts w:cs="Arial"/>
                <w:b/>
                <w:bCs/>
                <w:color w:val="15272F"/>
                <w:sz w:val="16"/>
                <w:szCs w:val="16"/>
              </w:rPr>
              <w:t xml:space="preserve">93 </w:t>
            </w:r>
          </w:p>
        </w:tc>
        <w:tc>
          <w:tcPr>
            <w:tcW w:w="928" w:type="dxa"/>
            <w:tcBorders>
              <w:top w:val="nil"/>
              <w:left w:val="nil"/>
              <w:bottom w:val="nil"/>
              <w:right w:val="single" w:sz="8" w:space="0" w:color="FFFFFF"/>
            </w:tcBorders>
            <w:shd w:val="clear" w:color="000000" w:fill="DFEBF1"/>
            <w:vAlign w:val="center"/>
          </w:tcPr>
          <w:p w14:paraId="1FE75D89" w14:textId="0F3B21EE" w:rsidR="0072141C" w:rsidRPr="00580B1C" w:rsidRDefault="0072141C" w:rsidP="0072141C">
            <w:pPr>
              <w:spacing w:before="40" w:after="40" w:line="240" w:lineRule="auto"/>
              <w:jc w:val="right"/>
              <w:rPr>
                <w:rFonts w:eastAsia="Times New Roman" w:cs="Arial"/>
                <w:b/>
                <w:bCs/>
                <w:color w:val="1C1C1C"/>
                <w:sz w:val="16"/>
                <w:szCs w:val="16"/>
                <w:lang w:eastAsia="en-AU"/>
              </w:rPr>
            </w:pPr>
            <w:r w:rsidRPr="00580B1C">
              <w:rPr>
                <w:rFonts w:cs="Arial"/>
                <w:b/>
                <w:bCs/>
                <w:color w:val="15272F"/>
                <w:sz w:val="16"/>
                <w:szCs w:val="16"/>
              </w:rPr>
              <w:t xml:space="preserve">94 </w:t>
            </w:r>
          </w:p>
        </w:tc>
        <w:tc>
          <w:tcPr>
            <w:tcW w:w="938" w:type="dxa"/>
            <w:tcBorders>
              <w:top w:val="nil"/>
              <w:left w:val="nil"/>
              <w:bottom w:val="nil"/>
              <w:right w:val="single" w:sz="8" w:space="0" w:color="FFFFFF"/>
            </w:tcBorders>
            <w:shd w:val="clear" w:color="000000" w:fill="DFEBF1"/>
            <w:vAlign w:val="center"/>
          </w:tcPr>
          <w:p w14:paraId="09FC1C9A" w14:textId="6A916DE4" w:rsidR="0072141C" w:rsidRPr="00580B1C" w:rsidRDefault="0072141C" w:rsidP="0072141C">
            <w:pPr>
              <w:spacing w:before="40" w:after="40" w:line="240" w:lineRule="auto"/>
              <w:jc w:val="right"/>
              <w:rPr>
                <w:rFonts w:eastAsia="Times New Roman" w:cs="Arial"/>
                <w:b/>
                <w:bCs/>
                <w:color w:val="1C1C1C"/>
                <w:sz w:val="16"/>
                <w:szCs w:val="16"/>
                <w:lang w:eastAsia="en-AU"/>
              </w:rPr>
            </w:pPr>
            <w:r w:rsidRPr="00580B1C">
              <w:rPr>
                <w:rFonts w:cs="Arial"/>
                <w:b/>
                <w:bCs/>
                <w:color w:val="15272F"/>
                <w:sz w:val="16"/>
                <w:szCs w:val="16"/>
              </w:rPr>
              <w:t xml:space="preserve">94 </w:t>
            </w:r>
          </w:p>
        </w:tc>
      </w:tr>
    </w:tbl>
    <w:p w14:paraId="6126CC7B" w14:textId="4E95882A" w:rsidR="00BF2F93" w:rsidRPr="00CE058E" w:rsidRDefault="00BF2F93" w:rsidP="00EE17B7">
      <w:pPr>
        <w:pStyle w:val="Heading2"/>
      </w:pPr>
      <w:bookmarkStart w:id="228" w:name="_Toc144967662"/>
      <w:bookmarkStart w:id="229" w:name="_Toc151129708"/>
      <w:bookmarkStart w:id="230" w:name="_Toc158882559"/>
      <w:bookmarkStart w:id="231" w:name="_Toc158882620"/>
      <w:bookmarkEnd w:id="220"/>
      <w:bookmarkEnd w:id="227"/>
      <w:r w:rsidRPr="00CE058E">
        <w:t>Emergency department presentations</w:t>
      </w:r>
      <w:bookmarkEnd w:id="221"/>
      <w:bookmarkEnd w:id="228"/>
      <w:bookmarkEnd w:id="229"/>
      <w:bookmarkEnd w:id="230"/>
      <w:bookmarkEnd w:id="231"/>
    </w:p>
    <w:p w14:paraId="6F8E34D4" w14:textId="46B35803" w:rsidR="009D7C3E" w:rsidRPr="00303546" w:rsidRDefault="00062409" w:rsidP="009D7C3E">
      <w:pPr>
        <w:spacing w:line="276" w:lineRule="auto"/>
        <w:rPr>
          <w:rFonts w:cs="Arial"/>
        </w:rPr>
      </w:pPr>
      <w:r w:rsidRPr="00303546">
        <w:rPr>
          <w:rFonts w:cs="Arial"/>
        </w:rPr>
        <w:fldChar w:fldCharType="begin"/>
      </w:r>
      <w:r w:rsidRPr="00303546">
        <w:rPr>
          <w:rFonts w:cs="Arial"/>
        </w:rPr>
        <w:instrText xml:space="preserve"> REF _Ref185841244 \h </w:instrText>
      </w:r>
      <w:r w:rsidRPr="00303546">
        <w:rPr>
          <w:rFonts w:cs="Arial"/>
        </w:rPr>
      </w:r>
      <w:r w:rsidRPr="00303546">
        <w:rPr>
          <w:rFonts w:cs="Arial"/>
        </w:rPr>
        <w:fldChar w:fldCharType="separate"/>
      </w:r>
      <w:r w:rsidR="00A9792C">
        <w:rPr>
          <w:lang w:val="en-PH"/>
        </w:rPr>
        <w:t xml:space="preserve">Figure </w:t>
      </w:r>
      <w:r w:rsidR="00A9792C">
        <w:rPr>
          <w:noProof/>
          <w:lang w:val="en-PH"/>
        </w:rPr>
        <w:t>15</w:t>
      </w:r>
      <w:r w:rsidRPr="00303546">
        <w:rPr>
          <w:rFonts w:cs="Arial"/>
        </w:rPr>
        <w:fldChar w:fldCharType="end"/>
      </w:r>
      <w:r w:rsidR="009D7C3E" w:rsidRPr="00303546">
        <w:rPr>
          <w:rFonts w:cs="Arial"/>
        </w:rPr>
        <w:t xml:space="preserve"> shows the number of </w:t>
      </w:r>
      <w:r w:rsidR="0047116F" w:rsidRPr="00303546">
        <w:rPr>
          <w:rFonts w:cs="Arial"/>
        </w:rPr>
        <w:t>ED</w:t>
      </w:r>
      <w:r w:rsidR="009D7C3E" w:rsidRPr="00303546">
        <w:rPr>
          <w:rFonts w:cs="Arial"/>
        </w:rPr>
        <w:t xml:space="preserve"> </w:t>
      </w:r>
      <w:r w:rsidR="0006444E" w:rsidRPr="00303546">
        <w:rPr>
          <w:rFonts w:cs="Arial"/>
        </w:rPr>
        <w:t xml:space="preserve">patient </w:t>
      </w:r>
      <w:r w:rsidR="009D7C3E" w:rsidRPr="00303546">
        <w:rPr>
          <w:rFonts w:cs="Arial"/>
        </w:rPr>
        <w:t>presentations reported in the cost data</w:t>
      </w:r>
      <w:r w:rsidR="0047116F" w:rsidRPr="00303546">
        <w:rPr>
          <w:rFonts w:cs="Arial"/>
        </w:rPr>
        <w:t xml:space="preserve"> compared to ABF data</w:t>
      </w:r>
      <w:r w:rsidR="009D7C3E" w:rsidRPr="00303546">
        <w:rPr>
          <w:rFonts w:cs="Arial"/>
        </w:rPr>
        <w:t xml:space="preserve"> from </w:t>
      </w:r>
      <w:r w:rsidR="00E137A0" w:rsidRPr="00303546">
        <w:rPr>
          <w:rFonts w:cs="Arial"/>
        </w:rPr>
        <w:t>2020-21</w:t>
      </w:r>
      <w:r w:rsidR="009D7C3E" w:rsidRPr="00303546">
        <w:rPr>
          <w:rFonts w:cs="Arial"/>
        </w:rPr>
        <w:t xml:space="preserve"> to </w:t>
      </w:r>
      <w:r w:rsidR="00930B24" w:rsidRPr="00303546">
        <w:rPr>
          <w:rFonts w:cstheme="majorBidi"/>
          <w:lang w:val="en-PH"/>
        </w:rPr>
        <w:t>2022-23</w:t>
      </w:r>
      <w:r w:rsidR="009D7C3E" w:rsidRPr="00303546">
        <w:rPr>
          <w:rFonts w:cs="Arial"/>
        </w:rPr>
        <w:t xml:space="preserve">. In </w:t>
      </w:r>
      <w:r w:rsidR="00930B24" w:rsidRPr="00303546">
        <w:rPr>
          <w:rFonts w:cstheme="majorBidi"/>
          <w:lang w:val="en-PH"/>
        </w:rPr>
        <w:t>2022-23</w:t>
      </w:r>
      <w:r w:rsidR="009D7C3E" w:rsidRPr="00303546">
        <w:rPr>
          <w:rFonts w:cs="Arial"/>
        </w:rPr>
        <w:t xml:space="preserve">, there were </w:t>
      </w:r>
      <w:r w:rsidR="001B2DB9" w:rsidRPr="00303546">
        <w:rPr>
          <w:rFonts w:cs="Arial"/>
        </w:rPr>
        <w:t>8.6</w:t>
      </w:r>
      <w:r w:rsidR="009D7C3E" w:rsidRPr="00303546">
        <w:rPr>
          <w:rFonts w:cs="Arial"/>
        </w:rPr>
        <w:t xml:space="preserve"> million </w:t>
      </w:r>
      <w:r w:rsidR="0047116F" w:rsidRPr="00303546">
        <w:rPr>
          <w:rFonts w:cs="Arial"/>
        </w:rPr>
        <w:t>ED</w:t>
      </w:r>
      <w:r w:rsidR="009D7C3E" w:rsidRPr="00303546">
        <w:rPr>
          <w:rFonts w:cs="Arial"/>
        </w:rPr>
        <w:t xml:space="preserve"> </w:t>
      </w:r>
      <w:r w:rsidR="00EF65CE" w:rsidRPr="00303546">
        <w:rPr>
          <w:rFonts w:cs="Arial"/>
        </w:rPr>
        <w:t xml:space="preserve">patient </w:t>
      </w:r>
      <w:r w:rsidR="009D7C3E" w:rsidRPr="00303546">
        <w:rPr>
          <w:rFonts w:cs="Arial"/>
        </w:rPr>
        <w:t xml:space="preserve">presentations nationally, a </w:t>
      </w:r>
      <w:r w:rsidR="001B2DB9" w:rsidRPr="00303546">
        <w:rPr>
          <w:rFonts w:cs="Arial"/>
        </w:rPr>
        <w:t>4</w:t>
      </w:r>
      <w:r w:rsidR="00897090" w:rsidRPr="00303546">
        <w:rPr>
          <w:rFonts w:cs="Arial"/>
        </w:rPr>
        <w:t>%</w:t>
      </w:r>
      <w:r w:rsidR="009D7C3E" w:rsidRPr="00303546">
        <w:rPr>
          <w:rFonts w:cs="Arial"/>
        </w:rPr>
        <w:t xml:space="preserve"> </w:t>
      </w:r>
      <w:r w:rsidR="001B2DB9" w:rsidRPr="00303546">
        <w:rPr>
          <w:rFonts w:cs="Arial"/>
        </w:rPr>
        <w:t>in</w:t>
      </w:r>
      <w:r w:rsidR="009D7C3E" w:rsidRPr="00303546">
        <w:rPr>
          <w:rFonts w:cs="Arial"/>
        </w:rPr>
        <w:t xml:space="preserve">crease to the </w:t>
      </w:r>
      <w:r w:rsidR="005A6441" w:rsidRPr="00303546">
        <w:rPr>
          <w:rFonts w:cs="Arial"/>
        </w:rPr>
        <w:t>2021-22</w:t>
      </w:r>
      <w:r w:rsidR="009D7C3E" w:rsidRPr="00303546">
        <w:rPr>
          <w:rFonts w:cs="Arial"/>
        </w:rPr>
        <w:t xml:space="preserve"> figure of 8.</w:t>
      </w:r>
      <w:r w:rsidR="00314411" w:rsidRPr="00303546">
        <w:rPr>
          <w:rFonts w:cs="Arial"/>
        </w:rPr>
        <w:t>3</w:t>
      </w:r>
      <w:r w:rsidR="009D7C3E" w:rsidRPr="00303546">
        <w:rPr>
          <w:rFonts w:cs="Arial"/>
        </w:rPr>
        <w:t xml:space="preserve"> million. The national </w:t>
      </w:r>
      <w:r w:rsidR="001B2DB9" w:rsidRPr="00303546">
        <w:rPr>
          <w:rFonts w:cs="Arial"/>
        </w:rPr>
        <w:t>in</w:t>
      </w:r>
      <w:r w:rsidR="009D7C3E" w:rsidRPr="00303546">
        <w:rPr>
          <w:rFonts w:cs="Arial"/>
        </w:rPr>
        <w:t xml:space="preserve">crease in </w:t>
      </w:r>
      <w:r w:rsidR="00D44093" w:rsidRPr="00303546">
        <w:rPr>
          <w:rFonts w:cs="Arial"/>
        </w:rPr>
        <w:t xml:space="preserve">patient </w:t>
      </w:r>
      <w:r w:rsidR="009D7C3E" w:rsidRPr="00303546">
        <w:rPr>
          <w:rFonts w:cs="Arial"/>
        </w:rPr>
        <w:t xml:space="preserve">presentations was driven by </w:t>
      </w:r>
      <w:r w:rsidR="00314411" w:rsidRPr="00303546">
        <w:rPr>
          <w:rFonts w:cs="Arial"/>
        </w:rPr>
        <w:t>New South Wales</w:t>
      </w:r>
      <w:r w:rsidR="0047116F" w:rsidRPr="00303546">
        <w:rPr>
          <w:rFonts w:cs="Arial"/>
        </w:rPr>
        <w:t xml:space="preserve"> (NSW)</w:t>
      </w:r>
      <w:r w:rsidR="009D7C3E" w:rsidRPr="00303546">
        <w:rPr>
          <w:rFonts w:cs="Arial"/>
        </w:rPr>
        <w:t xml:space="preserve">, </w:t>
      </w:r>
      <w:r w:rsidR="001B2DB9" w:rsidRPr="00303546">
        <w:rPr>
          <w:rFonts w:cs="Arial"/>
        </w:rPr>
        <w:t>in</w:t>
      </w:r>
      <w:r w:rsidR="009D7C3E" w:rsidRPr="00303546">
        <w:rPr>
          <w:rFonts w:cs="Arial"/>
        </w:rPr>
        <w:t xml:space="preserve">creasing </w:t>
      </w:r>
      <w:r w:rsidR="0047116F" w:rsidRPr="00303546">
        <w:rPr>
          <w:rFonts w:cs="Arial"/>
        </w:rPr>
        <w:t xml:space="preserve">by </w:t>
      </w:r>
      <w:r w:rsidR="001B2DB9" w:rsidRPr="00303546">
        <w:rPr>
          <w:rFonts w:cs="Arial"/>
          <w:bCs/>
        </w:rPr>
        <w:t xml:space="preserve">262,922 </w:t>
      </w:r>
      <w:r w:rsidR="009D7C3E" w:rsidRPr="00303546">
        <w:rPr>
          <w:rFonts w:cs="Arial"/>
          <w:bCs/>
        </w:rPr>
        <w:t>presentations (</w:t>
      </w:r>
      <w:r w:rsidR="009D7C3E" w:rsidRPr="00303546">
        <w:rPr>
          <w:rFonts w:cs="Arial"/>
        </w:rPr>
        <w:t xml:space="preserve">or </w:t>
      </w:r>
      <w:r w:rsidR="001B2DB9" w:rsidRPr="00303546">
        <w:rPr>
          <w:rFonts w:cs="Arial"/>
        </w:rPr>
        <w:t>11</w:t>
      </w:r>
      <w:r w:rsidR="00897090" w:rsidRPr="00303546">
        <w:rPr>
          <w:rFonts w:cs="Arial"/>
        </w:rPr>
        <w:t>%</w:t>
      </w:r>
      <w:r w:rsidR="009D7C3E" w:rsidRPr="00303546">
        <w:rPr>
          <w:rFonts w:cs="Arial"/>
        </w:rPr>
        <w:t xml:space="preserve">). </w:t>
      </w:r>
      <w:r w:rsidR="00EE17B7" w:rsidRPr="00303546">
        <w:rPr>
          <w:rFonts w:cs="Arial"/>
        </w:rPr>
        <w:t>T</w:t>
      </w:r>
      <w:r w:rsidR="009D7C3E" w:rsidRPr="00303546">
        <w:rPr>
          <w:rFonts w:cs="Arial"/>
        </w:rPr>
        <w:t xml:space="preserve">he number of </w:t>
      </w:r>
      <w:r w:rsidR="00EA0D3E" w:rsidRPr="00303546">
        <w:rPr>
          <w:rFonts w:cs="Arial"/>
        </w:rPr>
        <w:t xml:space="preserve">patient </w:t>
      </w:r>
      <w:r w:rsidR="00621475" w:rsidRPr="00303546">
        <w:rPr>
          <w:rFonts w:cs="Arial"/>
        </w:rPr>
        <w:t>presentations</w:t>
      </w:r>
      <w:r w:rsidR="009D7C3E" w:rsidRPr="00303546">
        <w:rPr>
          <w:rFonts w:cs="Arial"/>
        </w:rPr>
        <w:t xml:space="preserve"> at the jurisdictional level range</w:t>
      </w:r>
      <w:r w:rsidR="003B117A" w:rsidRPr="00303546">
        <w:rPr>
          <w:rFonts w:cs="Arial"/>
        </w:rPr>
        <w:t>d</w:t>
      </w:r>
      <w:r w:rsidR="009D7C3E" w:rsidRPr="00303546">
        <w:rPr>
          <w:rFonts w:cs="Arial"/>
        </w:rPr>
        <w:t xml:space="preserve"> from 1</w:t>
      </w:r>
      <w:r w:rsidR="00EE17B7" w:rsidRPr="00303546">
        <w:rPr>
          <w:rFonts w:cs="Arial"/>
        </w:rPr>
        <w:t xml:space="preserve">73,888 </w:t>
      </w:r>
      <w:r w:rsidR="009D7C3E" w:rsidRPr="00303546">
        <w:rPr>
          <w:rFonts w:cs="Arial"/>
        </w:rPr>
        <w:t>(</w:t>
      </w:r>
      <w:r w:rsidR="00D73D2D" w:rsidRPr="00303546">
        <w:rPr>
          <w:rFonts w:cs="Arial"/>
        </w:rPr>
        <w:t>Tasmania</w:t>
      </w:r>
      <w:r w:rsidR="009D7C3E" w:rsidRPr="00303546">
        <w:rPr>
          <w:rFonts w:cs="Arial"/>
        </w:rPr>
        <w:t>) to 2.</w:t>
      </w:r>
      <w:r w:rsidR="001B2DB9" w:rsidRPr="00303546">
        <w:rPr>
          <w:rFonts w:cs="Arial"/>
        </w:rPr>
        <w:t>7</w:t>
      </w:r>
      <w:r w:rsidR="009D7C3E" w:rsidRPr="00303546">
        <w:rPr>
          <w:rFonts w:cs="Arial"/>
        </w:rPr>
        <w:t xml:space="preserve"> million (</w:t>
      </w:r>
      <w:r w:rsidR="0047116F" w:rsidRPr="00303546">
        <w:rPr>
          <w:rFonts w:cs="Arial"/>
        </w:rPr>
        <w:t>NSW</w:t>
      </w:r>
      <w:r w:rsidR="009D7C3E" w:rsidRPr="00303546">
        <w:rPr>
          <w:rFonts w:cs="Arial"/>
        </w:rPr>
        <w:t>).</w:t>
      </w:r>
    </w:p>
    <w:p w14:paraId="6E9814F0" w14:textId="5E51056F" w:rsidR="00BF2F93" w:rsidRDefault="00062409" w:rsidP="00303546">
      <w:pPr>
        <w:pStyle w:val="TableFigureheading"/>
        <w:rPr>
          <w:lang w:val="en-PH"/>
        </w:rPr>
      </w:pPr>
      <w:bookmarkStart w:id="232" w:name="_Ref185841244"/>
      <w:bookmarkStart w:id="233" w:name="_Toc151116351"/>
      <w:bookmarkStart w:id="234" w:name="_Toc187312111"/>
      <w:r>
        <w:rPr>
          <w:lang w:val="en-PH"/>
        </w:rPr>
        <w:t xml:space="preserve">Figure </w:t>
      </w:r>
      <w:r>
        <w:rPr>
          <w:lang w:val="en-PH"/>
        </w:rPr>
        <w:fldChar w:fldCharType="begin"/>
      </w:r>
      <w:r>
        <w:rPr>
          <w:lang w:val="en-PH"/>
        </w:rPr>
        <w:instrText xml:space="preserve"> SEQ Figure \* ARABIC </w:instrText>
      </w:r>
      <w:r>
        <w:rPr>
          <w:lang w:val="en-PH"/>
        </w:rPr>
        <w:fldChar w:fldCharType="separate"/>
      </w:r>
      <w:r w:rsidR="00A9792C">
        <w:rPr>
          <w:noProof/>
          <w:lang w:val="en-PH"/>
        </w:rPr>
        <w:t>15</w:t>
      </w:r>
      <w:r>
        <w:rPr>
          <w:lang w:val="en-PH"/>
        </w:rPr>
        <w:fldChar w:fldCharType="end"/>
      </w:r>
      <w:bookmarkEnd w:id="232"/>
      <w:r w:rsidR="00BF2F93" w:rsidRPr="0093558C">
        <w:rPr>
          <w:lang w:val="en-PH"/>
        </w:rPr>
        <w:t xml:space="preserve">: </w:t>
      </w:r>
      <w:r w:rsidR="00C840FE">
        <w:rPr>
          <w:lang w:val="en-PH"/>
        </w:rPr>
        <w:t xml:space="preserve">ED </w:t>
      </w:r>
      <w:r w:rsidR="00D33D40">
        <w:rPr>
          <w:lang w:val="en-PH"/>
        </w:rPr>
        <w:t xml:space="preserve">presentations </w:t>
      </w:r>
      <w:r w:rsidR="00686BAF">
        <w:rPr>
          <w:lang w:val="en-PH"/>
        </w:rPr>
        <w:t xml:space="preserve">in </w:t>
      </w:r>
      <w:r w:rsidR="00AC2824">
        <w:rPr>
          <w:lang w:val="en-PH"/>
        </w:rPr>
        <w:t>ABF and NHCDC</w:t>
      </w:r>
      <w:r w:rsidR="00AC2824" w:rsidRPr="0093558C">
        <w:rPr>
          <w:lang w:val="en-PH"/>
        </w:rPr>
        <w:t xml:space="preserve">, </w:t>
      </w:r>
      <w:r w:rsidR="00AC2824" w:rsidRPr="00D73FCC">
        <w:rPr>
          <w:lang w:val="en-PH"/>
        </w:rPr>
        <w:t>2020-21</w:t>
      </w:r>
      <w:r w:rsidR="00AC2824" w:rsidRPr="0093558C">
        <w:rPr>
          <w:lang w:val="en-PH"/>
        </w:rPr>
        <w:t xml:space="preserve"> to </w:t>
      </w:r>
      <w:r w:rsidR="00AC2824" w:rsidRPr="008B2CD8">
        <w:rPr>
          <w:lang w:val="en-PH"/>
        </w:rPr>
        <w:t>202</w:t>
      </w:r>
      <w:r w:rsidR="00AC2824">
        <w:rPr>
          <w:lang w:val="en-PH"/>
        </w:rPr>
        <w:t>2</w:t>
      </w:r>
      <w:r w:rsidR="00AC2824" w:rsidRPr="008B2CD8">
        <w:rPr>
          <w:lang w:val="en-PH"/>
        </w:rPr>
        <w:t>-2</w:t>
      </w:r>
      <w:r w:rsidR="00AC2824">
        <w:rPr>
          <w:lang w:val="en-PH"/>
        </w:rPr>
        <w:t>3</w:t>
      </w:r>
      <w:bookmarkEnd w:id="233"/>
      <w:bookmarkEnd w:id="234"/>
    </w:p>
    <w:p w14:paraId="10C772BD" w14:textId="77BB9A9A" w:rsidR="006B08B9" w:rsidRDefault="006B08B9" w:rsidP="00A32EB6">
      <w:pPr>
        <w:rPr>
          <w:rFonts w:cstheme="majorBidi"/>
          <w:color w:val="104F99" w:themeColor="accent2"/>
          <w:lang w:val="en-PH"/>
        </w:rPr>
      </w:pPr>
      <w:r>
        <w:rPr>
          <w:noProof/>
        </w:rPr>
        <w:drawing>
          <wp:inline distT="0" distB="0" distL="0" distR="0" wp14:anchorId="7326FE0D" wp14:editId="6460D292">
            <wp:extent cx="6188710" cy="2381885"/>
            <wp:effectExtent l="0" t="0" r="0" b="0"/>
            <wp:docPr id="1634787155" name="Chart 1">
              <a:extLst xmlns:a="http://schemas.openxmlformats.org/drawingml/2006/main">
                <a:ext uri="{FF2B5EF4-FFF2-40B4-BE49-F238E27FC236}">
                  <a16:creationId xmlns:a16="http://schemas.microsoft.com/office/drawing/2014/main" id="{0D75339D-380C-D14D-6B97-77E4F49F0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697FC02" w14:textId="76FDA802" w:rsidR="00BF2F93" w:rsidRPr="00CE058E" w:rsidRDefault="00BF2F93" w:rsidP="00576AC3">
      <w:pPr>
        <w:pStyle w:val="Heading2"/>
      </w:pPr>
      <w:bookmarkStart w:id="235" w:name="_Toc144215457"/>
      <w:bookmarkStart w:id="236" w:name="_Toc144967663"/>
      <w:bookmarkStart w:id="237" w:name="_Toc151129710"/>
      <w:bookmarkStart w:id="238" w:name="_Toc158882561"/>
      <w:bookmarkStart w:id="239" w:name="_Toc158882622"/>
      <w:r w:rsidRPr="00CE058E">
        <w:lastRenderedPageBreak/>
        <w:t xml:space="preserve">Emergency department </w:t>
      </w:r>
      <w:r w:rsidR="007F7EEF">
        <w:t>expenditure</w:t>
      </w:r>
      <w:bookmarkEnd w:id="235"/>
      <w:bookmarkEnd w:id="236"/>
      <w:bookmarkEnd w:id="237"/>
      <w:bookmarkEnd w:id="238"/>
      <w:bookmarkEnd w:id="239"/>
    </w:p>
    <w:p w14:paraId="48F7C9FC" w14:textId="7B6E7730" w:rsidR="00C41AF1" w:rsidRPr="00303546" w:rsidRDefault="0037633A" w:rsidP="00A47745">
      <w:pPr>
        <w:spacing w:line="276" w:lineRule="auto"/>
        <w:rPr>
          <w:rFonts w:cs="Arial"/>
        </w:rPr>
      </w:pPr>
      <w:r w:rsidRPr="00303546">
        <w:rPr>
          <w:rFonts w:cs="Arial"/>
        </w:rPr>
        <w:t xml:space="preserve">In </w:t>
      </w:r>
      <w:r w:rsidR="00930B24" w:rsidRPr="00303546">
        <w:rPr>
          <w:rFonts w:cstheme="majorBidi"/>
          <w:lang w:val="en-PH"/>
        </w:rPr>
        <w:t>2022-23</w:t>
      </w:r>
      <w:r w:rsidRPr="00303546">
        <w:rPr>
          <w:rFonts w:cs="Arial"/>
        </w:rPr>
        <w:t xml:space="preserve">, the </w:t>
      </w:r>
      <w:r w:rsidR="0047116F" w:rsidRPr="00303546">
        <w:rPr>
          <w:rFonts w:cs="Arial"/>
        </w:rPr>
        <w:t>ED</w:t>
      </w:r>
      <w:r w:rsidRPr="00303546">
        <w:rPr>
          <w:rFonts w:cs="Arial"/>
        </w:rPr>
        <w:t xml:space="preserve"> </w:t>
      </w:r>
      <w:r w:rsidR="00FA05F7" w:rsidRPr="00303546">
        <w:rPr>
          <w:rFonts w:cs="Arial"/>
        </w:rPr>
        <w:t xml:space="preserve">cost </w:t>
      </w:r>
      <w:r w:rsidR="00AF2519" w:rsidRPr="00303546">
        <w:rPr>
          <w:rFonts w:cs="Arial"/>
        </w:rPr>
        <w:t xml:space="preserve">reported in the NHCDC was </w:t>
      </w:r>
      <w:r w:rsidRPr="00303546">
        <w:rPr>
          <w:rFonts w:cs="Arial"/>
        </w:rPr>
        <w:t>$</w:t>
      </w:r>
      <w:r w:rsidR="001B2DB9" w:rsidRPr="00303546">
        <w:rPr>
          <w:rFonts w:cs="Arial"/>
        </w:rPr>
        <w:t>8.4</w:t>
      </w:r>
      <w:r w:rsidR="00314411" w:rsidRPr="00303546">
        <w:rPr>
          <w:rFonts w:cs="Arial"/>
        </w:rPr>
        <w:t xml:space="preserve"> </w:t>
      </w:r>
      <w:r w:rsidRPr="00303546">
        <w:rPr>
          <w:rFonts w:cs="Arial"/>
        </w:rPr>
        <w:t>billion</w:t>
      </w:r>
      <w:r w:rsidR="00AF2519" w:rsidRPr="00303546">
        <w:rPr>
          <w:rFonts w:cs="Arial"/>
        </w:rPr>
        <w:t xml:space="preserve"> nationally</w:t>
      </w:r>
      <w:r w:rsidRPr="00303546">
        <w:rPr>
          <w:rFonts w:cs="Arial"/>
        </w:rPr>
        <w:t>.</w:t>
      </w:r>
      <w:r w:rsidR="00AF2519" w:rsidRPr="00303546">
        <w:rPr>
          <w:rFonts w:cs="Arial"/>
        </w:rPr>
        <w:t xml:space="preserve"> </w:t>
      </w:r>
      <w:r w:rsidR="0045643E" w:rsidRPr="00303546">
        <w:rPr>
          <w:rFonts w:cs="Arial"/>
        </w:rPr>
        <w:fldChar w:fldCharType="begin"/>
      </w:r>
      <w:r w:rsidR="0045643E" w:rsidRPr="00303546">
        <w:rPr>
          <w:rFonts w:cs="Arial"/>
        </w:rPr>
        <w:instrText xml:space="preserve"> REF _Ref185841413 \h </w:instrText>
      </w:r>
      <w:r w:rsidR="0045643E" w:rsidRPr="00303546">
        <w:rPr>
          <w:rFonts w:cs="Arial"/>
        </w:rPr>
      </w:r>
      <w:r w:rsidR="0045643E" w:rsidRPr="00303546">
        <w:rPr>
          <w:rFonts w:cs="Arial"/>
        </w:rPr>
        <w:fldChar w:fldCharType="separate"/>
      </w:r>
      <w:r w:rsidR="00A9792C">
        <w:rPr>
          <w:lang w:val="en-PH"/>
        </w:rPr>
        <w:t xml:space="preserve">Figure </w:t>
      </w:r>
      <w:r w:rsidR="00A9792C">
        <w:rPr>
          <w:noProof/>
          <w:lang w:val="en-PH"/>
        </w:rPr>
        <w:t>16</w:t>
      </w:r>
      <w:r w:rsidR="0045643E" w:rsidRPr="00303546">
        <w:rPr>
          <w:rFonts w:cs="Arial"/>
        </w:rPr>
        <w:fldChar w:fldCharType="end"/>
      </w:r>
      <w:r w:rsidRPr="00303546">
        <w:rPr>
          <w:rFonts w:cs="Arial"/>
        </w:rPr>
        <w:t xml:space="preserve"> shows the cost of </w:t>
      </w:r>
      <w:r w:rsidR="0047116F" w:rsidRPr="00303546">
        <w:rPr>
          <w:rFonts w:cs="Arial"/>
        </w:rPr>
        <w:t>ED</w:t>
      </w:r>
      <w:r w:rsidRPr="00303546">
        <w:rPr>
          <w:rFonts w:cs="Arial"/>
        </w:rPr>
        <w:t xml:space="preserve"> presentations by jurisdiction from </w:t>
      </w:r>
      <w:r w:rsidR="00E137A0" w:rsidRPr="00303546">
        <w:rPr>
          <w:rFonts w:cs="Arial"/>
        </w:rPr>
        <w:t>2020-21</w:t>
      </w:r>
      <w:r w:rsidRPr="00303546">
        <w:rPr>
          <w:rFonts w:cs="Arial"/>
        </w:rPr>
        <w:t xml:space="preserve"> to </w:t>
      </w:r>
      <w:r w:rsidR="00930B24" w:rsidRPr="00303546">
        <w:rPr>
          <w:rFonts w:cstheme="majorBidi"/>
          <w:lang w:val="en-PH"/>
        </w:rPr>
        <w:t>2022-23</w:t>
      </w:r>
      <w:r w:rsidRPr="00303546">
        <w:rPr>
          <w:rFonts w:cs="Arial"/>
        </w:rPr>
        <w:t xml:space="preserve">. </w:t>
      </w:r>
      <w:r w:rsidR="00EE17B7" w:rsidRPr="00303546">
        <w:rPr>
          <w:rFonts w:cs="Arial"/>
        </w:rPr>
        <w:t>The</w:t>
      </w:r>
      <w:r w:rsidRPr="00303546">
        <w:rPr>
          <w:rFonts w:cs="Arial"/>
        </w:rPr>
        <w:t xml:space="preserve"> cost of </w:t>
      </w:r>
      <w:r w:rsidR="0047116F" w:rsidRPr="00303546">
        <w:rPr>
          <w:rFonts w:cs="Arial"/>
        </w:rPr>
        <w:t>ED</w:t>
      </w:r>
      <w:r w:rsidRPr="00303546">
        <w:rPr>
          <w:rFonts w:cs="Arial"/>
        </w:rPr>
        <w:t xml:space="preserve"> presentations increased $</w:t>
      </w:r>
      <w:r w:rsidR="001B2DB9" w:rsidRPr="00303546">
        <w:rPr>
          <w:rFonts w:cs="Arial"/>
        </w:rPr>
        <w:t>1.0</w:t>
      </w:r>
      <w:r w:rsidRPr="00303546">
        <w:rPr>
          <w:rFonts w:cs="Arial"/>
        </w:rPr>
        <w:t xml:space="preserve"> </w:t>
      </w:r>
      <w:r w:rsidR="001B2DB9" w:rsidRPr="00303546">
        <w:rPr>
          <w:rFonts w:cs="Arial"/>
        </w:rPr>
        <w:t>b</w:t>
      </w:r>
      <w:r w:rsidRPr="00303546">
        <w:rPr>
          <w:rFonts w:cs="Arial"/>
        </w:rPr>
        <w:t>illion nationally, a</w:t>
      </w:r>
      <w:r w:rsidR="001B2DB9" w:rsidRPr="00303546">
        <w:rPr>
          <w:rFonts w:cs="Arial"/>
        </w:rPr>
        <w:t xml:space="preserve"> 14</w:t>
      </w:r>
      <w:r w:rsidR="00897090" w:rsidRPr="00303546">
        <w:rPr>
          <w:rFonts w:cs="Arial"/>
        </w:rPr>
        <w:t>%</w:t>
      </w:r>
      <w:r w:rsidRPr="00303546">
        <w:rPr>
          <w:rFonts w:cs="Arial"/>
        </w:rPr>
        <w:t xml:space="preserve"> increase to the </w:t>
      </w:r>
      <w:r w:rsidR="005A6441" w:rsidRPr="00303546">
        <w:rPr>
          <w:rFonts w:cs="Arial"/>
        </w:rPr>
        <w:t>2021-22</w:t>
      </w:r>
      <w:r w:rsidRPr="00303546">
        <w:rPr>
          <w:rFonts w:cs="Arial"/>
        </w:rPr>
        <w:t xml:space="preserve"> figure of $</w:t>
      </w:r>
      <w:r w:rsidR="001B2DB9" w:rsidRPr="00303546">
        <w:rPr>
          <w:rFonts w:cs="Arial"/>
        </w:rPr>
        <w:t>7.4</w:t>
      </w:r>
      <w:r w:rsidRPr="00303546">
        <w:rPr>
          <w:rFonts w:cs="Arial"/>
        </w:rPr>
        <w:t xml:space="preserve"> billion. The national increase in the cost was driven by </w:t>
      </w:r>
      <w:r w:rsidR="0047116F" w:rsidRPr="00303546">
        <w:rPr>
          <w:rFonts w:cs="Arial"/>
        </w:rPr>
        <w:t>NSW</w:t>
      </w:r>
      <w:r w:rsidRPr="00303546">
        <w:rPr>
          <w:rFonts w:cs="Arial"/>
        </w:rPr>
        <w:t>, increasing $</w:t>
      </w:r>
      <w:r w:rsidR="001B2DB9" w:rsidRPr="00303546">
        <w:rPr>
          <w:rFonts w:cs="Arial"/>
        </w:rPr>
        <w:t>363.5</w:t>
      </w:r>
      <w:r w:rsidRPr="00303546">
        <w:rPr>
          <w:rFonts w:cs="Arial"/>
        </w:rPr>
        <w:t xml:space="preserve"> million (or 16</w:t>
      </w:r>
      <w:r w:rsidR="00897090" w:rsidRPr="00303546">
        <w:rPr>
          <w:rFonts w:cs="Arial"/>
        </w:rPr>
        <w:t>%</w:t>
      </w:r>
      <w:r w:rsidRPr="00303546">
        <w:rPr>
          <w:rFonts w:cs="Arial"/>
        </w:rPr>
        <w:t xml:space="preserve">) from </w:t>
      </w:r>
      <w:r w:rsidR="005A6441" w:rsidRPr="00303546">
        <w:rPr>
          <w:rFonts w:cs="Arial"/>
        </w:rPr>
        <w:t>2021</w:t>
      </w:r>
      <w:r w:rsidR="003A6538" w:rsidRPr="00303546">
        <w:rPr>
          <w:rFonts w:cs="Arial"/>
        </w:rPr>
        <w:noBreakHyphen/>
      </w:r>
      <w:r w:rsidR="005A6441" w:rsidRPr="00303546">
        <w:rPr>
          <w:rFonts w:cs="Arial"/>
        </w:rPr>
        <w:t>22</w:t>
      </w:r>
      <w:r w:rsidRPr="00303546">
        <w:rPr>
          <w:rFonts w:cs="Arial"/>
        </w:rPr>
        <w:t xml:space="preserve"> to </w:t>
      </w:r>
      <w:r w:rsidR="00930B24" w:rsidRPr="00303546">
        <w:rPr>
          <w:rFonts w:cstheme="majorBidi"/>
          <w:lang w:val="en-PH"/>
        </w:rPr>
        <w:t>2022</w:t>
      </w:r>
      <w:r w:rsidR="003A6538" w:rsidRPr="00303546">
        <w:rPr>
          <w:rFonts w:cstheme="majorBidi"/>
          <w:lang w:val="en-PH"/>
        </w:rPr>
        <w:noBreakHyphen/>
      </w:r>
      <w:r w:rsidR="00930B24" w:rsidRPr="00303546">
        <w:rPr>
          <w:rFonts w:cstheme="majorBidi"/>
          <w:lang w:val="en-PH"/>
        </w:rPr>
        <w:t>23</w:t>
      </w:r>
      <w:r w:rsidRPr="00303546">
        <w:rPr>
          <w:rFonts w:cs="Arial"/>
        </w:rPr>
        <w:t xml:space="preserve">. In </w:t>
      </w:r>
      <w:r w:rsidR="00930B24" w:rsidRPr="00303546">
        <w:rPr>
          <w:rFonts w:cstheme="majorBidi"/>
          <w:lang w:val="en-PH"/>
        </w:rPr>
        <w:t>2022-23</w:t>
      </w:r>
      <w:r w:rsidRPr="00303546">
        <w:rPr>
          <w:rFonts w:cs="Arial"/>
        </w:rPr>
        <w:t xml:space="preserve">, </w:t>
      </w:r>
      <w:r w:rsidR="00C41AF1" w:rsidRPr="00303546">
        <w:rPr>
          <w:rFonts w:cs="Arial"/>
        </w:rPr>
        <w:t>the cost at the jurisdictional level range</w:t>
      </w:r>
      <w:r w:rsidRPr="00303546">
        <w:rPr>
          <w:rFonts w:cs="Arial"/>
        </w:rPr>
        <w:t>d</w:t>
      </w:r>
      <w:r w:rsidR="00C41AF1" w:rsidRPr="00303546">
        <w:rPr>
          <w:rFonts w:cs="Arial"/>
        </w:rPr>
        <w:t xml:space="preserve"> from </w:t>
      </w:r>
      <w:r w:rsidR="38225AF2" w:rsidRPr="00303546">
        <w:rPr>
          <w:rFonts w:cs="Arial"/>
        </w:rPr>
        <w:t>$</w:t>
      </w:r>
      <w:r w:rsidR="001075E4" w:rsidRPr="00303546">
        <w:rPr>
          <w:rFonts w:cs="Arial"/>
        </w:rPr>
        <w:t>193.2</w:t>
      </w:r>
      <w:r w:rsidR="38225AF2" w:rsidRPr="00303546">
        <w:rPr>
          <w:rFonts w:cs="Arial"/>
        </w:rPr>
        <w:t xml:space="preserve"> million</w:t>
      </w:r>
      <w:r w:rsidR="00C41AF1" w:rsidRPr="00303546">
        <w:rPr>
          <w:rFonts w:cs="Arial"/>
        </w:rPr>
        <w:t xml:space="preserve"> (</w:t>
      </w:r>
      <w:r w:rsidR="001075E4" w:rsidRPr="00303546">
        <w:rPr>
          <w:rFonts w:cs="Arial"/>
        </w:rPr>
        <w:t>NT</w:t>
      </w:r>
      <w:r w:rsidR="00C41AF1" w:rsidRPr="00303546">
        <w:rPr>
          <w:rFonts w:cs="Arial"/>
        </w:rPr>
        <w:t xml:space="preserve">) to </w:t>
      </w:r>
      <w:r w:rsidR="5EE28726" w:rsidRPr="00303546">
        <w:rPr>
          <w:rFonts w:cs="Arial"/>
        </w:rPr>
        <w:t>$</w:t>
      </w:r>
      <w:r w:rsidR="001B2DB9" w:rsidRPr="00303546">
        <w:rPr>
          <w:rFonts w:cs="Arial"/>
        </w:rPr>
        <w:t>2.6</w:t>
      </w:r>
      <w:r w:rsidR="5EE28726" w:rsidRPr="00303546">
        <w:rPr>
          <w:rFonts w:cs="Arial"/>
        </w:rPr>
        <w:t xml:space="preserve"> billion</w:t>
      </w:r>
      <w:r w:rsidR="00C41AF1" w:rsidRPr="00303546">
        <w:rPr>
          <w:rFonts w:cs="Arial"/>
        </w:rPr>
        <w:t xml:space="preserve"> (</w:t>
      </w:r>
      <w:r w:rsidR="0047116F" w:rsidRPr="00303546">
        <w:rPr>
          <w:rFonts w:cs="Arial"/>
        </w:rPr>
        <w:t>NSW</w:t>
      </w:r>
      <w:r w:rsidR="00C41AF1" w:rsidRPr="00303546">
        <w:rPr>
          <w:rFonts w:cs="Arial"/>
        </w:rPr>
        <w:t>).</w:t>
      </w:r>
    </w:p>
    <w:p w14:paraId="03C895A8" w14:textId="6F930983" w:rsidR="00BF2F93" w:rsidRPr="0093558C" w:rsidRDefault="0045643E" w:rsidP="00303546">
      <w:pPr>
        <w:pStyle w:val="TableFigureheading"/>
        <w:rPr>
          <w:lang w:val="en-PH"/>
        </w:rPr>
      </w:pPr>
      <w:bookmarkStart w:id="240" w:name="_Ref185841413"/>
      <w:bookmarkStart w:id="241" w:name="_Toc151116352"/>
      <w:bookmarkStart w:id="242" w:name="_Toc187312112"/>
      <w:r>
        <w:rPr>
          <w:lang w:val="en-PH"/>
        </w:rPr>
        <w:t xml:space="preserve">Figure </w:t>
      </w:r>
      <w:r>
        <w:rPr>
          <w:lang w:val="en-PH"/>
        </w:rPr>
        <w:fldChar w:fldCharType="begin"/>
      </w:r>
      <w:r>
        <w:rPr>
          <w:lang w:val="en-PH"/>
        </w:rPr>
        <w:instrText xml:space="preserve"> SEQ Figure \* ARABIC </w:instrText>
      </w:r>
      <w:r>
        <w:rPr>
          <w:lang w:val="en-PH"/>
        </w:rPr>
        <w:fldChar w:fldCharType="separate"/>
      </w:r>
      <w:r w:rsidR="00A9792C">
        <w:rPr>
          <w:noProof/>
          <w:lang w:val="en-PH"/>
        </w:rPr>
        <w:t>16</w:t>
      </w:r>
      <w:r>
        <w:rPr>
          <w:lang w:val="en-PH"/>
        </w:rPr>
        <w:fldChar w:fldCharType="end"/>
      </w:r>
      <w:bookmarkEnd w:id="240"/>
      <w:r w:rsidR="00BF2F93" w:rsidRPr="0093558C">
        <w:rPr>
          <w:lang w:val="en-PH"/>
        </w:rPr>
        <w:t xml:space="preserve">: </w:t>
      </w:r>
      <w:r w:rsidR="008E2EFF">
        <w:rPr>
          <w:lang w:val="en-PH"/>
        </w:rPr>
        <w:t>Cost of ED presentations by jurisdiction</w:t>
      </w:r>
      <w:r w:rsidR="00BF2F93" w:rsidRPr="0093558C">
        <w:rPr>
          <w:lang w:val="en-PH"/>
        </w:rPr>
        <w:t xml:space="preserve">, </w:t>
      </w:r>
      <w:r w:rsidR="00E137A0" w:rsidRPr="00D73FCC">
        <w:rPr>
          <w:lang w:val="en-PH"/>
        </w:rPr>
        <w:t>2020-21</w:t>
      </w:r>
      <w:r w:rsidR="00BF2F93" w:rsidRPr="0093558C">
        <w:rPr>
          <w:lang w:val="en-PH"/>
        </w:rPr>
        <w:t xml:space="preserve"> to </w:t>
      </w:r>
      <w:r w:rsidR="00930B24" w:rsidRPr="008B2CD8">
        <w:rPr>
          <w:lang w:val="en-PH"/>
        </w:rPr>
        <w:t>202</w:t>
      </w:r>
      <w:r w:rsidR="00930B24">
        <w:rPr>
          <w:lang w:val="en-PH"/>
        </w:rPr>
        <w:t>2</w:t>
      </w:r>
      <w:r w:rsidR="00930B24" w:rsidRPr="008B2CD8">
        <w:rPr>
          <w:lang w:val="en-PH"/>
        </w:rPr>
        <w:t>-2</w:t>
      </w:r>
      <w:r w:rsidR="00930B24">
        <w:rPr>
          <w:lang w:val="en-PH"/>
        </w:rPr>
        <w:t>3</w:t>
      </w:r>
      <w:bookmarkEnd w:id="241"/>
      <w:bookmarkEnd w:id="242"/>
    </w:p>
    <w:p w14:paraId="5465C72C" w14:textId="44A91C5C" w:rsidR="001B2DB9" w:rsidRPr="00CE058E" w:rsidRDefault="001B2DB9" w:rsidP="0007638E">
      <w:pPr>
        <w:spacing w:after="0"/>
        <w:jc w:val="center"/>
        <w:rPr>
          <w:rFonts w:cs="Arial"/>
        </w:rPr>
      </w:pPr>
      <w:r>
        <w:rPr>
          <w:noProof/>
        </w:rPr>
        <w:drawing>
          <wp:inline distT="0" distB="0" distL="0" distR="0" wp14:anchorId="44E64FF0" wp14:editId="42056783">
            <wp:extent cx="6188400" cy="2340000"/>
            <wp:effectExtent l="0" t="0" r="0" b="0"/>
            <wp:docPr id="1608809658" name="Chart 1">
              <a:extLst xmlns:a="http://schemas.openxmlformats.org/drawingml/2006/main">
                <a:ext uri="{FF2B5EF4-FFF2-40B4-BE49-F238E27FC236}">
                  <a16:creationId xmlns:a16="http://schemas.microsoft.com/office/drawing/2014/main" id="{713A7133-2553-4948-A00C-B7B5B5EDF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40B5AA8" w14:textId="7004D18B" w:rsidR="00BF2F93" w:rsidRPr="00CE058E" w:rsidRDefault="00BF2F93" w:rsidP="007B41F8">
      <w:pPr>
        <w:pStyle w:val="Heading2"/>
      </w:pPr>
      <w:bookmarkStart w:id="243" w:name="_Toc151129712"/>
      <w:bookmarkStart w:id="244" w:name="_Toc158882563"/>
      <w:bookmarkStart w:id="245" w:name="_Toc158882624"/>
      <w:r w:rsidRPr="00CE058E">
        <w:t>Emergency department average cost</w:t>
      </w:r>
      <w:bookmarkEnd w:id="243"/>
      <w:bookmarkEnd w:id="244"/>
      <w:bookmarkEnd w:id="245"/>
    </w:p>
    <w:p w14:paraId="3355011A" w14:textId="7E029C77" w:rsidR="003520D6" w:rsidRPr="00303546" w:rsidRDefault="00B0316A" w:rsidP="00070481">
      <w:pPr>
        <w:spacing w:line="276" w:lineRule="auto"/>
        <w:rPr>
          <w:rFonts w:cs="Arial"/>
        </w:rPr>
      </w:pPr>
      <w:r w:rsidRPr="00303546">
        <w:rPr>
          <w:rStyle w:val="Cross-referenceChar"/>
        </w:rPr>
        <w:fldChar w:fldCharType="begin"/>
      </w:r>
      <w:r w:rsidRPr="00303546">
        <w:rPr>
          <w:rStyle w:val="Cross-referenceChar"/>
        </w:rPr>
        <w:instrText xml:space="preserve"> REF _Ref185841640 \h </w:instrText>
      </w:r>
      <w:r w:rsidR="00A9792C">
        <w:rPr>
          <w:rStyle w:val="Cross-referenceChar"/>
        </w:rPr>
        <w:instrText xml:space="preserve"> \* MERGEFORMAT </w:instrText>
      </w:r>
      <w:r w:rsidRPr="00303546">
        <w:rPr>
          <w:rStyle w:val="Cross-referenceChar"/>
        </w:rPr>
      </w:r>
      <w:r w:rsidRPr="00303546">
        <w:rPr>
          <w:rStyle w:val="Cross-referenceChar"/>
        </w:rPr>
        <w:fldChar w:fldCharType="separate"/>
      </w:r>
      <w:r w:rsidR="00A9792C" w:rsidRPr="00303546">
        <w:rPr>
          <w:rStyle w:val="Cross-referenceChar"/>
        </w:rPr>
        <w:t>Figure 17</w:t>
      </w:r>
      <w:r w:rsidRPr="00303546">
        <w:rPr>
          <w:rStyle w:val="Cross-referenceChar"/>
        </w:rPr>
        <w:fldChar w:fldCharType="end"/>
      </w:r>
      <w:r w:rsidR="003520D6" w:rsidRPr="00303546">
        <w:rPr>
          <w:rFonts w:cs="Arial"/>
        </w:rPr>
        <w:t xml:space="preserve"> shows the average cost of </w:t>
      </w:r>
      <w:r w:rsidR="0047116F" w:rsidRPr="00303546">
        <w:rPr>
          <w:rFonts w:cs="Arial"/>
        </w:rPr>
        <w:t>ED</w:t>
      </w:r>
      <w:r w:rsidR="003520D6" w:rsidRPr="00303546">
        <w:rPr>
          <w:rFonts w:cs="Arial"/>
        </w:rPr>
        <w:t xml:space="preserve"> </w:t>
      </w:r>
      <w:r w:rsidR="00273925" w:rsidRPr="00303546">
        <w:rPr>
          <w:rFonts w:cs="Arial"/>
        </w:rPr>
        <w:t xml:space="preserve">patient </w:t>
      </w:r>
      <w:r w:rsidR="003520D6" w:rsidRPr="00303546">
        <w:rPr>
          <w:rFonts w:cs="Arial"/>
        </w:rPr>
        <w:t xml:space="preserve">presentations reported in the cost data from </w:t>
      </w:r>
      <w:r w:rsidR="00E137A0" w:rsidRPr="00303546">
        <w:rPr>
          <w:rFonts w:cs="Arial"/>
        </w:rPr>
        <w:t>2020-21</w:t>
      </w:r>
      <w:r w:rsidR="003520D6" w:rsidRPr="00303546">
        <w:rPr>
          <w:rFonts w:cs="Arial"/>
        </w:rPr>
        <w:t xml:space="preserve"> to</w:t>
      </w:r>
      <w:r w:rsidR="003A6538" w:rsidRPr="00303546">
        <w:rPr>
          <w:rFonts w:cs="Arial"/>
        </w:rPr>
        <w:t xml:space="preserve"> </w:t>
      </w:r>
      <w:r w:rsidR="00930B24" w:rsidRPr="00303546">
        <w:rPr>
          <w:rFonts w:cstheme="majorBidi"/>
          <w:lang w:val="en-PH"/>
        </w:rPr>
        <w:t>2022</w:t>
      </w:r>
      <w:r w:rsidR="003A6538" w:rsidRPr="00303546">
        <w:rPr>
          <w:rFonts w:cstheme="majorBidi"/>
          <w:lang w:val="en-PH"/>
        </w:rPr>
        <w:noBreakHyphen/>
      </w:r>
      <w:r w:rsidR="00930B24" w:rsidRPr="00303546">
        <w:rPr>
          <w:rFonts w:cstheme="majorBidi"/>
          <w:lang w:val="en-PH"/>
        </w:rPr>
        <w:t>23</w:t>
      </w:r>
      <w:r w:rsidR="003520D6" w:rsidRPr="00303546">
        <w:rPr>
          <w:rFonts w:cs="Arial"/>
        </w:rPr>
        <w:t xml:space="preserve">. In </w:t>
      </w:r>
      <w:r w:rsidR="00930B24" w:rsidRPr="00303546">
        <w:rPr>
          <w:rFonts w:cstheme="majorBidi"/>
          <w:lang w:val="en-PH"/>
        </w:rPr>
        <w:t>2022-23</w:t>
      </w:r>
      <w:r w:rsidR="003520D6" w:rsidRPr="00303546">
        <w:rPr>
          <w:rFonts w:cs="Arial"/>
        </w:rPr>
        <w:t xml:space="preserve">, the national average cost per </w:t>
      </w:r>
      <w:r w:rsidR="00C904C5" w:rsidRPr="00303546">
        <w:rPr>
          <w:rFonts w:cs="Arial"/>
        </w:rPr>
        <w:t>ED</w:t>
      </w:r>
      <w:r w:rsidR="003520D6" w:rsidRPr="00303546">
        <w:rPr>
          <w:rFonts w:cs="Arial"/>
        </w:rPr>
        <w:t xml:space="preserve"> </w:t>
      </w:r>
      <w:r w:rsidR="000C074C">
        <w:rPr>
          <w:rFonts w:cs="Arial"/>
        </w:rPr>
        <w:t xml:space="preserve">patient </w:t>
      </w:r>
      <w:r w:rsidR="003520D6" w:rsidRPr="00303546">
        <w:rPr>
          <w:rFonts w:cs="Arial"/>
        </w:rPr>
        <w:t>presentation was $</w:t>
      </w:r>
      <w:r w:rsidR="00081D6C" w:rsidRPr="00303546">
        <w:rPr>
          <w:rFonts w:cs="Arial"/>
        </w:rPr>
        <w:t>980</w:t>
      </w:r>
      <w:r w:rsidR="003520D6" w:rsidRPr="00303546">
        <w:rPr>
          <w:rFonts w:cs="Arial"/>
        </w:rPr>
        <w:t>, a 1</w:t>
      </w:r>
      <w:r w:rsidR="00081D6C" w:rsidRPr="00303546">
        <w:rPr>
          <w:rFonts w:cs="Arial"/>
        </w:rPr>
        <w:t>0</w:t>
      </w:r>
      <w:r w:rsidR="00897090" w:rsidRPr="00303546">
        <w:rPr>
          <w:rFonts w:cs="Arial"/>
        </w:rPr>
        <w:t>%</w:t>
      </w:r>
      <w:r w:rsidR="003520D6" w:rsidRPr="00303546">
        <w:rPr>
          <w:rFonts w:cs="Arial"/>
        </w:rPr>
        <w:t xml:space="preserve"> increase from the </w:t>
      </w:r>
      <w:r w:rsidR="005A6441" w:rsidRPr="00303546">
        <w:rPr>
          <w:rFonts w:cs="Arial"/>
        </w:rPr>
        <w:t>2021</w:t>
      </w:r>
      <w:r w:rsidR="003A6538" w:rsidRPr="00303546">
        <w:rPr>
          <w:rFonts w:cs="Arial"/>
        </w:rPr>
        <w:noBreakHyphen/>
      </w:r>
      <w:r w:rsidR="005A6441" w:rsidRPr="00303546">
        <w:rPr>
          <w:rFonts w:cs="Arial"/>
        </w:rPr>
        <w:t>22</w:t>
      </w:r>
      <w:r w:rsidR="003520D6" w:rsidRPr="00303546">
        <w:rPr>
          <w:rFonts w:cs="Arial"/>
        </w:rPr>
        <w:t xml:space="preserve"> figure of $</w:t>
      </w:r>
      <w:r w:rsidR="00314411" w:rsidRPr="00303546">
        <w:rPr>
          <w:rFonts w:cs="Arial"/>
        </w:rPr>
        <w:t>891</w:t>
      </w:r>
      <w:r w:rsidR="003520D6" w:rsidRPr="00303546">
        <w:rPr>
          <w:rFonts w:cs="Arial"/>
        </w:rPr>
        <w:t xml:space="preserve">. In </w:t>
      </w:r>
      <w:r w:rsidR="00930B24" w:rsidRPr="00303546">
        <w:rPr>
          <w:rFonts w:cstheme="majorBidi"/>
          <w:lang w:val="en-PH"/>
        </w:rPr>
        <w:t>2022-23</w:t>
      </w:r>
      <w:r w:rsidR="003520D6" w:rsidRPr="00303546">
        <w:rPr>
          <w:rFonts w:cs="Arial"/>
        </w:rPr>
        <w:t>, the average cost per</w:t>
      </w:r>
      <w:r w:rsidR="008D4446">
        <w:rPr>
          <w:rFonts w:cs="Arial"/>
        </w:rPr>
        <w:t xml:space="preserve"> patient</w:t>
      </w:r>
      <w:r w:rsidR="003520D6" w:rsidRPr="00303546">
        <w:rPr>
          <w:rFonts w:cs="Arial"/>
        </w:rPr>
        <w:t xml:space="preserve"> </w:t>
      </w:r>
      <w:r w:rsidR="00FF1A99" w:rsidRPr="00303546">
        <w:rPr>
          <w:rFonts w:cs="Arial"/>
        </w:rPr>
        <w:t xml:space="preserve">presentation </w:t>
      </w:r>
      <w:r w:rsidR="003520D6" w:rsidRPr="00303546">
        <w:rPr>
          <w:rFonts w:cs="Arial"/>
        </w:rPr>
        <w:t>at the jurisdictional level ranged from</w:t>
      </w:r>
      <w:r w:rsidR="00FF1A99" w:rsidRPr="00303546">
        <w:rPr>
          <w:rFonts w:cs="Arial"/>
        </w:rPr>
        <w:t xml:space="preserve"> $</w:t>
      </w:r>
      <w:r w:rsidR="00314411" w:rsidRPr="00303546">
        <w:rPr>
          <w:rFonts w:cs="Arial"/>
        </w:rPr>
        <w:t xml:space="preserve">858 </w:t>
      </w:r>
      <w:r w:rsidR="00FF1A99" w:rsidRPr="00303546">
        <w:rPr>
          <w:rFonts w:cs="Arial"/>
        </w:rPr>
        <w:t>(</w:t>
      </w:r>
      <w:r w:rsidR="00C904C5" w:rsidRPr="00303546">
        <w:rPr>
          <w:rFonts w:cs="Arial"/>
        </w:rPr>
        <w:t>Queensland</w:t>
      </w:r>
      <w:r w:rsidR="00FF1A99" w:rsidRPr="00303546">
        <w:rPr>
          <w:rFonts w:cs="Arial"/>
        </w:rPr>
        <w:t>) to $</w:t>
      </w:r>
      <w:r w:rsidR="00314411" w:rsidRPr="00303546">
        <w:rPr>
          <w:rFonts w:cs="Arial"/>
        </w:rPr>
        <w:t xml:space="preserve">1,373 </w:t>
      </w:r>
      <w:r w:rsidR="00FF1A99" w:rsidRPr="00303546">
        <w:rPr>
          <w:rFonts w:cs="Arial"/>
        </w:rPr>
        <w:t>(Tas</w:t>
      </w:r>
      <w:r w:rsidR="00C904C5" w:rsidRPr="00303546">
        <w:rPr>
          <w:rFonts w:cs="Arial"/>
        </w:rPr>
        <w:t>mania</w:t>
      </w:r>
      <w:r w:rsidR="00FF1A99" w:rsidRPr="00303546">
        <w:rPr>
          <w:rFonts w:cs="Arial"/>
        </w:rPr>
        <w:t>)</w:t>
      </w:r>
      <w:r w:rsidR="003520D6" w:rsidRPr="00303546">
        <w:rPr>
          <w:rFonts w:cs="Arial"/>
        </w:rPr>
        <w:t>.</w:t>
      </w:r>
    </w:p>
    <w:p w14:paraId="47684E86" w14:textId="76E0DA5A" w:rsidR="00BF2F93" w:rsidRPr="0093558C" w:rsidRDefault="00B0316A" w:rsidP="00303546">
      <w:pPr>
        <w:pStyle w:val="TableFigureheading"/>
        <w:rPr>
          <w:rFonts w:cstheme="majorBidi"/>
          <w:szCs w:val="22"/>
          <w:lang w:val="en-PH"/>
        </w:rPr>
      </w:pPr>
      <w:bookmarkStart w:id="246" w:name="_Ref185841640"/>
      <w:bookmarkStart w:id="247" w:name="_Toc151116353"/>
      <w:bookmarkStart w:id="248" w:name="_Toc187312113"/>
      <w:r w:rsidRPr="00303546">
        <w:rPr>
          <w:rStyle w:val="TableFigureheadingChar"/>
        </w:rPr>
        <w:t xml:space="preserve">Figure </w:t>
      </w:r>
      <w:r w:rsidRPr="00303546">
        <w:rPr>
          <w:rStyle w:val="TableFigureheadingChar"/>
        </w:rPr>
        <w:fldChar w:fldCharType="begin"/>
      </w:r>
      <w:r w:rsidRPr="00303546">
        <w:rPr>
          <w:rStyle w:val="TableFigureheadingChar"/>
        </w:rPr>
        <w:instrText xml:space="preserve"> SEQ Figure \* ARABIC </w:instrText>
      </w:r>
      <w:r w:rsidRPr="00303546">
        <w:rPr>
          <w:rStyle w:val="TableFigureheadingChar"/>
        </w:rPr>
        <w:fldChar w:fldCharType="separate"/>
      </w:r>
      <w:r w:rsidR="00A9792C">
        <w:rPr>
          <w:rStyle w:val="TableFigureheadingChar"/>
          <w:noProof/>
        </w:rPr>
        <w:t>17</w:t>
      </w:r>
      <w:r w:rsidRPr="00303546">
        <w:rPr>
          <w:rStyle w:val="TableFigureheadingChar"/>
        </w:rPr>
        <w:fldChar w:fldCharType="end"/>
      </w:r>
      <w:bookmarkEnd w:id="246"/>
      <w:r w:rsidR="00BF2F93" w:rsidRPr="00303546">
        <w:rPr>
          <w:rStyle w:val="TableFigureheadingChar"/>
        </w:rPr>
        <w:t xml:space="preserve">: </w:t>
      </w:r>
      <w:r w:rsidR="00075916">
        <w:rPr>
          <w:rFonts w:cstheme="majorBidi"/>
          <w:szCs w:val="22"/>
          <w:lang w:val="en-PH"/>
        </w:rPr>
        <w:t>A</w:t>
      </w:r>
      <w:r w:rsidR="00BF2F93" w:rsidRPr="0093558C">
        <w:rPr>
          <w:rFonts w:cstheme="majorBidi"/>
          <w:szCs w:val="22"/>
          <w:lang w:val="en-PH"/>
        </w:rPr>
        <w:t>verage cost</w:t>
      </w:r>
      <w:r w:rsidR="008C70B1">
        <w:rPr>
          <w:rFonts w:cstheme="majorBidi"/>
          <w:szCs w:val="22"/>
          <w:lang w:val="en-PH"/>
        </w:rPr>
        <w:t xml:space="preserve"> </w:t>
      </w:r>
      <w:r w:rsidR="007609F2">
        <w:rPr>
          <w:rFonts w:cstheme="majorBidi"/>
          <w:szCs w:val="22"/>
          <w:lang w:val="en-PH"/>
        </w:rPr>
        <w:t>per</w:t>
      </w:r>
      <w:r w:rsidR="008C70B1">
        <w:rPr>
          <w:rFonts w:cstheme="majorBidi"/>
          <w:szCs w:val="22"/>
          <w:lang w:val="en-PH"/>
        </w:rPr>
        <w:t xml:space="preserve"> ED presentations</w:t>
      </w:r>
      <w:r w:rsidR="00FE5963">
        <w:rPr>
          <w:rFonts w:cstheme="majorBidi"/>
          <w:szCs w:val="22"/>
          <w:lang w:val="en-PH"/>
        </w:rPr>
        <w:t xml:space="preserve"> by jurisdiction</w:t>
      </w:r>
      <w:r w:rsidR="00BF2F93" w:rsidRPr="0093558C">
        <w:rPr>
          <w:rFonts w:cstheme="majorBidi"/>
          <w:szCs w:val="22"/>
          <w:lang w:val="en-PH"/>
        </w:rPr>
        <w:t xml:space="preserve">, </w:t>
      </w:r>
      <w:r w:rsidR="00E137A0" w:rsidRPr="00D73FCC">
        <w:rPr>
          <w:rFonts w:cstheme="majorBidi"/>
          <w:szCs w:val="22"/>
          <w:lang w:val="en-PH"/>
        </w:rPr>
        <w:t>2020-21</w:t>
      </w:r>
      <w:r w:rsidR="00BF2F93" w:rsidRPr="0093558C">
        <w:rPr>
          <w:rFonts w:cstheme="majorBidi"/>
          <w:szCs w:val="22"/>
          <w:lang w:val="en-PH"/>
        </w:rPr>
        <w:t xml:space="preserve"> to </w:t>
      </w:r>
      <w:r w:rsidR="00930B24" w:rsidRPr="008B2CD8">
        <w:rPr>
          <w:rFonts w:cstheme="majorBidi"/>
          <w:szCs w:val="22"/>
          <w:lang w:val="en-PH"/>
        </w:rPr>
        <w:t>202</w:t>
      </w:r>
      <w:r w:rsidR="00930B24">
        <w:rPr>
          <w:rFonts w:cstheme="majorBidi"/>
          <w:szCs w:val="22"/>
          <w:lang w:val="en-PH"/>
        </w:rPr>
        <w:t>2</w:t>
      </w:r>
      <w:r w:rsidR="00930B24" w:rsidRPr="008B2CD8">
        <w:rPr>
          <w:rFonts w:cstheme="majorBidi"/>
          <w:szCs w:val="22"/>
          <w:lang w:val="en-PH"/>
        </w:rPr>
        <w:t>-2</w:t>
      </w:r>
      <w:r w:rsidR="00930B24">
        <w:rPr>
          <w:rFonts w:cstheme="majorBidi"/>
          <w:szCs w:val="22"/>
          <w:lang w:val="en-PH"/>
        </w:rPr>
        <w:t>3</w:t>
      </w:r>
      <w:bookmarkEnd w:id="247"/>
      <w:bookmarkEnd w:id="248"/>
    </w:p>
    <w:p w14:paraId="42E1152D" w14:textId="2CC420AD" w:rsidR="006B08B9" w:rsidRDefault="006B08B9" w:rsidP="00A47745">
      <w:pPr>
        <w:jc w:val="center"/>
      </w:pPr>
      <w:r>
        <w:rPr>
          <w:noProof/>
        </w:rPr>
        <w:drawing>
          <wp:inline distT="0" distB="0" distL="0" distR="0" wp14:anchorId="3EEECFA6" wp14:editId="38CA3FFC">
            <wp:extent cx="6188710" cy="2520000"/>
            <wp:effectExtent l="0" t="0" r="0" b="0"/>
            <wp:docPr id="711356109" name="Chart 1">
              <a:extLst xmlns:a="http://schemas.openxmlformats.org/drawingml/2006/main">
                <a:ext uri="{FF2B5EF4-FFF2-40B4-BE49-F238E27FC236}">
                  <a16:creationId xmlns:a16="http://schemas.microsoft.com/office/drawing/2014/main" id="{08899E14-354C-43EC-A091-31D6963A44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BF59A92" w14:textId="5597E3FB" w:rsidR="00DC7A99" w:rsidRDefault="00DC7A99" w:rsidP="00DC7A99">
      <w:pPr>
        <w:pStyle w:val="Heading3"/>
        <w:rPr>
          <w:sz w:val="28"/>
          <w:szCs w:val="28"/>
        </w:rPr>
      </w:pPr>
      <w:r>
        <w:rPr>
          <w:sz w:val="28"/>
          <w:szCs w:val="28"/>
        </w:rPr>
        <w:lastRenderedPageBreak/>
        <w:t>Emergency department</w:t>
      </w:r>
      <w:r w:rsidRPr="000F21B4">
        <w:rPr>
          <w:sz w:val="28"/>
          <w:szCs w:val="28"/>
        </w:rPr>
        <w:t xml:space="preserve"> cost buckets</w:t>
      </w:r>
    </w:p>
    <w:p w14:paraId="188EC3B4" w14:textId="3B1CB307" w:rsidR="00C169FC" w:rsidRPr="00223677" w:rsidRDefault="00E537E7" w:rsidP="00223677">
      <w:r>
        <w:rPr>
          <w:rFonts w:cs="Arial"/>
        </w:rPr>
        <w:fldChar w:fldCharType="begin"/>
      </w:r>
      <w:r>
        <w:rPr>
          <w:rFonts w:cs="Arial"/>
        </w:rPr>
        <w:instrText xml:space="preserve"> REF _Ref185841730 \h </w:instrText>
      </w:r>
      <w:r>
        <w:rPr>
          <w:rFonts w:cs="Arial"/>
        </w:rPr>
      </w:r>
      <w:r>
        <w:rPr>
          <w:rFonts w:cs="Arial"/>
        </w:rPr>
        <w:fldChar w:fldCharType="separate"/>
      </w:r>
      <w:r w:rsidR="00A9792C">
        <w:rPr>
          <w:lang w:val="en-PH"/>
        </w:rPr>
        <w:t xml:space="preserve">Figure </w:t>
      </w:r>
      <w:r w:rsidR="00A9792C">
        <w:rPr>
          <w:noProof/>
          <w:lang w:val="en-PH"/>
        </w:rPr>
        <w:t>18</w:t>
      </w:r>
      <w:r>
        <w:rPr>
          <w:rFonts w:cs="Arial"/>
        </w:rPr>
        <w:fldChar w:fldCharType="end"/>
      </w:r>
      <w:r w:rsidR="00C169FC" w:rsidRPr="00E537E7">
        <w:rPr>
          <w:rFonts w:cs="Arial"/>
        </w:rPr>
        <w:t xml:space="preserve"> shows the </w:t>
      </w:r>
      <w:r w:rsidR="00C904C5" w:rsidRPr="00E537E7">
        <w:rPr>
          <w:rFonts w:cs="Arial"/>
        </w:rPr>
        <w:t xml:space="preserve">top 10 </w:t>
      </w:r>
      <w:r w:rsidR="00C169FC" w:rsidRPr="00E537E7">
        <w:rPr>
          <w:rFonts w:cs="Arial"/>
        </w:rPr>
        <w:t>cost bucket</w:t>
      </w:r>
      <w:r w:rsidR="00C904C5" w:rsidRPr="00E537E7">
        <w:rPr>
          <w:rFonts w:cs="Arial"/>
        </w:rPr>
        <w:t>s</w:t>
      </w:r>
      <w:r w:rsidR="00F5467A" w:rsidRPr="00E537E7">
        <w:rPr>
          <w:rFonts w:cs="Arial"/>
        </w:rPr>
        <w:t xml:space="preserve"> </w:t>
      </w:r>
      <w:r w:rsidR="002535BC">
        <w:rPr>
          <w:rFonts w:cs="Arial"/>
        </w:rPr>
        <w:t xml:space="preserve">contributing to the national ED patient presentation average cost for </w:t>
      </w:r>
      <w:r w:rsidR="00F5467A" w:rsidRPr="00E537E7">
        <w:rPr>
          <w:rFonts w:cs="Arial"/>
        </w:rPr>
        <w:t>2022-23</w:t>
      </w:r>
      <w:r w:rsidR="00764141">
        <w:rPr>
          <w:rFonts w:cs="Arial"/>
        </w:rPr>
        <w:t xml:space="preserve">, in comparison to </w:t>
      </w:r>
      <w:r w:rsidR="00C169FC" w:rsidRPr="00E537E7">
        <w:rPr>
          <w:rFonts w:cs="Arial"/>
        </w:rPr>
        <w:t>2020</w:t>
      </w:r>
      <w:r w:rsidR="003A6538" w:rsidRPr="00E537E7">
        <w:rPr>
          <w:rFonts w:cs="Arial"/>
        </w:rPr>
        <w:noBreakHyphen/>
      </w:r>
      <w:r w:rsidR="00C169FC" w:rsidRPr="00E537E7">
        <w:rPr>
          <w:rFonts w:cs="Arial"/>
        </w:rPr>
        <w:t xml:space="preserve">21 </w:t>
      </w:r>
      <w:r w:rsidR="00764141">
        <w:rPr>
          <w:rFonts w:cs="Arial"/>
        </w:rPr>
        <w:t>and 2021-22</w:t>
      </w:r>
      <w:r w:rsidR="00C169FC" w:rsidRPr="00E537E7">
        <w:rPr>
          <w:rFonts w:cs="Arial"/>
        </w:rPr>
        <w:t xml:space="preserve">. In </w:t>
      </w:r>
      <w:r w:rsidR="00C169FC" w:rsidRPr="00E537E7">
        <w:rPr>
          <w:rFonts w:cstheme="majorBidi"/>
          <w:lang w:val="en-PH"/>
        </w:rPr>
        <w:t>2022-23</w:t>
      </w:r>
      <w:r w:rsidR="00C169FC" w:rsidRPr="00E537E7">
        <w:rPr>
          <w:rFonts w:cs="Arial"/>
        </w:rPr>
        <w:t xml:space="preserve">, the national average cost per </w:t>
      </w:r>
      <w:r w:rsidR="00C904C5" w:rsidRPr="00E537E7">
        <w:rPr>
          <w:rFonts w:cs="Arial"/>
        </w:rPr>
        <w:t>ED</w:t>
      </w:r>
      <w:r w:rsidR="00C169FC" w:rsidRPr="00E537E7">
        <w:rPr>
          <w:rFonts w:cs="Arial"/>
        </w:rPr>
        <w:t xml:space="preserve"> </w:t>
      </w:r>
      <w:r w:rsidR="005C4495">
        <w:rPr>
          <w:rFonts w:cs="Arial"/>
        </w:rPr>
        <w:t xml:space="preserve">patient </w:t>
      </w:r>
      <w:r w:rsidR="00C169FC" w:rsidRPr="00E537E7">
        <w:rPr>
          <w:rFonts w:cs="Arial"/>
        </w:rPr>
        <w:t>presentation was $98</w:t>
      </w:r>
      <w:r w:rsidR="001B3755" w:rsidRPr="00E537E7">
        <w:rPr>
          <w:rFonts w:cs="Arial"/>
        </w:rPr>
        <w:t>0</w:t>
      </w:r>
      <w:r w:rsidR="00C169FC" w:rsidRPr="00E537E7">
        <w:rPr>
          <w:rFonts w:cs="Arial"/>
        </w:rPr>
        <w:t xml:space="preserve">, </w:t>
      </w:r>
      <w:r w:rsidR="001B3755" w:rsidRPr="00E537E7">
        <w:rPr>
          <w:rFonts w:cs="Arial"/>
        </w:rPr>
        <w:t xml:space="preserve">a </w:t>
      </w:r>
      <w:r w:rsidR="00E211D4" w:rsidRPr="00E537E7">
        <w:rPr>
          <w:rFonts w:cs="Arial"/>
        </w:rPr>
        <w:t>10</w:t>
      </w:r>
      <w:r w:rsidR="00C169FC" w:rsidRPr="00E537E7">
        <w:rPr>
          <w:rFonts w:cs="Arial"/>
        </w:rPr>
        <w:t>% increase from the 2021-22 figure of $891.</w:t>
      </w:r>
      <w:r w:rsidR="00AA0720" w:rsidRPr="00E537E7">
        <w:rPr>
          <w:rFonts w:cs="Arial"/>
        </w:rPr>
        <w:t xml:space="preserve"> </w:t>
      </w:r>
      <w:r w:rsidR="006F24F8" w:rsidRPr="00E537E7">
        <w:rPr>
          <w:rFonts w:cs="Arial"/>
        </w:rPr>
        <w:t>Further detail on</w:t>
      </w:r>
      <w:r w:rsidR="00AA0720" w:rsidRPr="00E537E7">
        <w:rPr>
          <w:rFonts w:cs="Arial"/>
        </w:rPr>
        <w:t xml:space="preserve"> all emergency department cost by cost bucket is available in the </w:t>
      </w:r>
      <w:hyperlink r:id="rId49" w:history="1">
        <w:r w:rsidR="00AA0720" w:rsidRPr="00AA0720">
          <w:rPr>
            <w:rStyle w:val="Hyperlink"/>
            <w:rFonts w:cs="Arial"/>
          </w:rPr>
          <w:t>Appendix Tables</w:t>
        </w:r>
      </w:hyperlink>
      <w:r w:rsidR="00AA0720" w:rsidRPr="00AA0720">
        <w:rPr>
          <w:rFonts w:cs="Arial"/>
          <w:color w:val="auto"/>
        </w:rPr>
        <w:t xml:space="preserve">. </w:t>
      </w:r>
    </w:p>
    <w:p w14:paraId="7BDFF206" w14:textId="2B25A0F6" w:rsidR="00E3088E" w:rsidRDefault="00E537E7" w:rsidP="00303546">
      <w:pPr>
        <w:pStyle w:val="TableFigureheading"/>
        <w:rPr>
          <w:lang w:val="en-PH"/>
        </w:rPr>
      </w:pPr>
      <w:bookmarkStart w:id="249" w:name="_Ref185841730"/>
      <w:bookmarkStart w:id="250" w:name="_Toc187312114"/>
      <w:r>
        <w:rPr>
          <w:lang w:val="en-PH"/>
        </w:rPr>
        <w:t xml:space="preserve">Figure </w:t>
      </w:r>
      <w:r>
        <w:rPr>
          <w:lang w:val="en-PH"/>
        </w:rPr>
        <w:fldChar w:fldCharType="begin"/>
      </w:r>
      <w:r>
        <w:rPr>
          <w:lang w:val="en-PH"/>
        </w:rPr>
        <w:instrText xml:space="preserve"> SEQ Figure \* ARABIC </w:instrText>
      </w:r>
      <w:r>
        <w:rPr>
          <w:lang w:val="en-PH"/>
        </w:rPr>
        <w:fldChar w:fldCharType="separate"/>
      </w:r>
      <w:r w:rsidR="00A9792C">
        <w:rPr>
          <w:noProof/>
          <w:lang w:val="en-PH"/>
        </w:rPr>
        <w:t>18</w:t>
      </w:r>
      <w:r>
        <w:rPr>
          <w:lang w:val="en-PH"/>
        </w:rPr>
        <w:fldChar w:fldCharType="end"/>
      </w:r>
      <w:bookmarkEnd w:id="249"/>
      <w:r w:rsidR="00E3088E" w:rsidRPr="0093558C">
        <w:rPr>
          <w:lang w:val="en-PH"/>
        </w:rPr>
        <w:t xml:space="preserve">: </w:t>
      </w:r>
      <w:r w:rsidR="003071B0">
        <w:rPr>
          <w:lang w:val="en-PH"/>
        </w:rPr>
        <w:t>Top 10 cost buckets in ED</w:t>
      </w:r>
      <w:r w:rsidR="0076294C">
        <w:rPr>
          <w:lang w:val="en-PH"/>
        </w:rPr>
        <w:t xml:space="preserve"> presentation</w:t>
      </w:r>
      <w:r w:rsidR="00762852">
        <w:rPr>
          <w:lang w:val="en-PH"/>
        </w:rPr>
        <w:t>s</w:t>
      </w:r>
      <w:r w:rsidR="00E3088E" w:rsidRPr="0093558C">
        <w:rPr>
          <w:lang w:val="en-PH"/>
        </w:rPr>
        <w:t xml:space="preserve">, </w:t>
      </w:r>
      <w:r w:rsidR="00E3088E" w:rsidRPr="00D73FCC">
        <w:rPr>
          <w:lang w:val="en-PH"/>
        </w:rPr>
        <w:t>2020-21</w:t>
      </w:r>
      <w:r w:rsidR="00E3088E" w:rsidRPr="0093558C">
        <w:rPr>
          <w:lang w:val="en-PH"/>
        </w:rPr>
        <w:t xml:space="preserve"> to </w:t>
      </w:r>
      <w:r w:rsidR="00E3088E" w:rsidRPr="008B2CD8">
        <w:rPr>
          <w:lang w:val="en-PH"/>
        </w:rPr>
        <w:t>202</w:t>
      </w:r>
      <w:r w:rsidR="00E3088E">
        <w:rPr>
          <w:lang w:val="en-PH"/>
        </w:rPr>
        <w:t>2</w:t>
      </w:r>
      <w:r w:rsidR="00E3088E" w:rsidRPr="008B2CD8">
        <w:rPr>
          <w:lang w:val="en-PH"/>
        </w:rPr>
        <w:t>-2</w:t>
      </w:r>
      <w:r w:rsidR="00E3088E">
        <w:rPr>
          <w:lang w:val="en-PH"/>
        </w:rPr>
        <w:t>3</w:t>
      </w:r>
      <w:bookmarkEnd w:id="250"/>
    </w:p>
    <w:p w14:paraId="189BBC34" w14:textId="726D23CF" w:rsidR="001C317D" w:rsidRDefault="001C317D" w:rsidP="006B58BC">
      <w:pPr>
        <w:rPr>
          <w:highlight w:val="yellow"/>
        </w:rPr>
      </w:pPr>
      <w:r>
        <w:rPr>
          <w:noProof/>
        </w:rPr>
        <w:drawing>
          <wp:inline distT="0" distB="0" distL="0" distR="0" wp14:anchorId="7246D28F" wp14:editId="1B6CD23D">
            <wp:extent cx="6188075" cy="2445488"/>
            <wp:effectExtent l="0" t="0" r="0" b="0"/>
            <wp:docPr id="730569362" name="Chart 1">
              <a:extLst xmlns:a="http://schemas.openxmlformats.org/drawingml/2006/main">
                <a:ext uri="{FF2B5EF4-FFF2-40B4-BE49-F238E27FC236}">
                  <a16:creationId xmlns:a16="http://schemas.microsoft.com/office/drawing/2014/main" id="{5602A6D4-0C20-4D91-B021-762E2697AB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3304041" w14:textId="09400AEE" w:rsidR="00545C3A" w:rsidRPr="00530E79" w:rsidRDefault="00897777" w:rsidP="0072141C">
      <w:pPr>
        <w:rPr>
          <w:highlight w:val="yellow"/>
        </w:rPr>
      </w:pPr>
      <w:r w:rsidRPr="00303546">
        <w:rPr>
          <w:rStyle w:val="Cross-referenceChar"/>
        </w:rPr>
        <w:fldChar w:fldCharType="begin"/>
      </w:r>
      <w:r w:rsidRPr="00303546">
        <w:rPr>
          <w:rStyle w:val="Cross-referenceChar"/>
        </w:rPr>
        <w:instrText xml:space="preserve"> REF _Ref185842606 \h </w:instrText>
      </w:r>
      <w:r>
        <w:rPr>
          <w:rStyle w:val="Cross-referenceChar"/>
        </w:rPr>
        <w:instrText xml:space="preserve"> \* MERGEFORMAT </w:instrText>
      </w:r>
      <w:r w:rsidRPr="00303546">
        <w:rPr>
          <w:rStyle w:val="Cross-referenceChar"/>
        </w:rPr>
      </w:r>
      <w:r w:rsidRPr="00303546">
        <w:rPr>
          <w:rStyle w:val="Cross-referenceChar"/>
        </w:rPr>
        <w:fldChar w:fldCharType="separate"/>
      </w:r>
      <w:r w:rsidRPr="00303546">
        <w:rPr>
          <w:rStyle w:val="Cross-referenceChar"/>
        </w:rPr>
        <w:t>Table 17</w:t>
      </w:r>
      <w:r w:rsidRPr="00303546">
        <w:rPr>
          <w:rStyle w:val="Cross-referenceChar"/>
        </w:rPr>
        <w:fldChar w:fldCharType="end"/>
      </w:r>
      <w:r w:rsidR="00FA39AE" w:rsidRPr="0072141C">
        <w:t xml:space="preserve"> </w:t>
      </w:r>
      <w:r w:rsidR="0072141C" w:rsidRPr="0072141C">
        <w:t>shows the average cost for 2021-22</w:t>
      </w:r>
      <w:r w:rsidR="00183417">
        <w:t xml:space="preserve"> and</w:t>
      </w:r>
      <w:r w:rsidR="0072141C" w:rsidRPr="0072141C">
        <w:t xml:space="preserve"> 2022-23, </w:t>
      </w:r>
      <w:r w:rsidR="00D20EA6">
        <w:t xml:space="preserve">distribution of cost in </w:t>
      </w:r>
      <w:r w:rsidR="0072141C" w:rsidRPr="0072141C">
        <w:t xml:space="preserve">2022-23, </w:t>
      </w:r>
      <w:r w:rsidR="00D20EA6">
        <w:t xml:space="preserve">percentage change and actual change by </w:t>
      </w:r>
      <w:r w:rsidR="0072141C" w:rsidRPr="0072141C">
        <w:t>cost bucket</w:t>
      </w:r>
      <w:r w:rsidR="00D20EA6">
        <w:t xml:space="preserve"> </w:t>
      </w:r>
      <w:r w:rsidR="0072141C" w:rsidRPr="0072141C">
        <w:t>from 2021-22 to 2022-23.</w:t>
      </w:r>
      <w:r w:rsidR="00D20EA6">
        <w:t xml:space="preserve"> </w:t>
      </w:r>
      <w:r w:rsidR="009156E0" w:rsidRPr="00530E79">
        <w:rPr>
          <w:rFonts w:cs="Arial"/>
        </w:rPr>
        <w:t xml:space="preserve">The medical, nursing, imaging, clinical supplies, and non-clinical </w:t>
      </w:r>
      <w:r w:rsidR="009156E0">
        <w:rPr>
          <w:rFonts w:cs="Arial"/>
        </w:rPr>
        <w:t xml:space="preserve">cost buckets </w:t>
      </w:r>
      <w:r w:rsidR="009156E0" w:rsidRPr="00530E79">
        <w:rPr>
          <w:rFonts w:cs="Arial"/>
        </w:rPr>
        <w:t xml:space="preserve">accounted for 73% of the average cost per ED </w:t>
      </w:r>
      <w:r w:rsidR="009156E0">
        <w:rPr>
          <w:rFonts w:cs="Arial"/>
        </w:rPr>
        <w:t xml:space="preserve">patient </w:t>
      </w:r>
      <w:r w:rsidR="009156E0" w:rsidRPr="00530E79">
        <w:rPr>
          <w:rFonts w:cs="Arial"/>
        </w:rPr>
        <w:t>presentation nationally.</w:t>
      </w:r>
      <w:r w:rsidR="009156E0">
        <w:rPr>
          <w:rFonts w:cs="Arial"/>
        </w:rPr>
        <w:t xml:space="preserve"> </w:t>
      </w:r>
      <w:r w:rsidR="00D20EA6">
        <w:t>The last column shows the proportion the</w:t>
      </w:r>
      <w:r w:rsidR="00685A0E">
        <w:t xml:space="preserve"> actual</w:t>
      </w:r>
      <w:r w:rsidR="00D20EA6">
        <w:t xml:space="preserve"> change in each cost bucket contributes to the total actual change between 2021-22 and 2022-23.</w:t>
      </w:r>
      <w:r w:rsidR="00377F3F" w:rsidRPr="00530E79">
        <w:rPr>
          <w:rFonts w:cs="Arial"/>
        </w:rPr>
        <w:t xml:space="preserve"> </w:t>
      </w:r>
      <w:r w:rsidR="0072141C" w:rsidRPr="00D4139F">
        <w:rPr>
          <w:rFonts w:cs="Arial"/>
        </w:rPr>
        <w:t>The nursing, medical, and on-costs cost buckets accounted for 62% of the $89 increase in the average cost per ED</w:t>
      </w:r>
      <w:r w:rsidR="00C70D97">
        <w:rPr>
          <w:rFonts w:cs="Arial"/>
        </w:rPr>
        <w:t xml:space="preserve"> patient</w:t>
      </w:r>
      <w:r w:rsidR="0072141C" w:rsidRPr="00D4139F">
        <w:rPr>
          <w:rFonts w:cs="Arial"/>
        </w:rPr>
        <w:t xml:space="preserve"> presentation nationally, from 2021-22 to </w:t>
      </w:r>
      <w:r w:rsidR="0072141C" w:rsidRPr="00D4139F">
        <w:rPr>
          <w:rFonts w:cstheme="majorBidi"/>
          <w:lang w:val="en-PH"/>
        </w:rPr>
        <w:t>2022-23</w:t>
      </w:r>
      <w:r w:rsidR="0072141C" w:rsidRPr="00D4139F">
        <w:rPr>
          <w:rFonts w:cs="Arial"/>
        </w:rPr>
        <w:t>.</w:t>
      </w:r>
    </w:p>
    <w:p w14:paraId="16FFB3EB" w14:textId="5D9CD75B" w:rsidR="00E3088E" w:rsidRDefault="00E04435" w:rsidP="00303546">
      <w:pPr>
        <w:pStyle w:val="TableFigureheading"/>
        <w:rPr>
          <w:lang w:val="en-PH"/>
        </w:rPr>
      </w:pPr>
      <w:bookmarkStart w:id="251" w:name="_Ref185842606"/>
      <w:bookmarkStart w:id="252" w:name="_Toc185852224"/>
      <w:bookmarkStart w:id="253" w:name="_Toc187312143"/>
      <w:r>
        <w:rPr>
          <w:lang w:val="en-PH"/>
        </w:rPr>
        <w:t>Table</w:t>
      </w:r>
      <w:r w:rsidR="00E3088E" w:rsidRPr="0093558C">
        <w:rPr>
          <w:lang w:val="en-PH"/>
        </w:rPr>
        <w:t xml:space="preserve"> </w:t>
      </w:r>
      <w:r>
        <w:rPr>
          <w:lang w:val="en-PH"/>
        </w:rPr>
        <w:fldChar w:fldCharType="begin"/>
      </w:r>
      <w:r>
        <w:rPr>
          <w:lang w:val="en-PH"/>
        </w:rPr>
        <w:instrText xml:space="preserve"> SEQ Table \* ARABIC </w:instrText>
      </w:r>
      <w:r>
        <w:rPr>
          <w:lang w:val="en-PH"/>
        </w:rPr>
        <w:fldChar w:fldCharType="separate"/>
      </w:r>
      <w:r w:rsidR="00897777">
        <w:rPr>
          <w:noProof/>
          <w:lang w:val="en-PH"/>
        </w:rPr>
        <w:t>17</w:t>
      </w:r>
      <w:r>
        <w:rPr>
          <w:lang w:val="en-PH"/>
        </w:rPr>
        <w:fldChar w:fldCharType="end"/>
      </w:r>
      <w:bookmarkEnd w:id="251"/>
      <w:r w:rsidR="00E3088E" w:rsidRPr="0093558C">
        <w:rPr>
          <w:lang w:val="en-PH"/>
        </w:rPr>
        <w:t xml:space="preserve">: </w:t>
      </w:r>
      <w:r w:rsidR="007F3407">
        <w:rPr>
          <w:lang w:val="en-PH"/>
        </w:rPr>
        <w:t xml:space="preserve">National </w:t>
      </w:r>
      <w:r w:rsidR="00937774">
        <w:rPr>
          <w:lang w:val="en-PH"/>
        </w:rPr>
        <w:t xml:space="preserve">average cost per </w:t>
      </w:r>
      <w:r w:rsidR="007F3407">
        <w:rPr>
          <w:lang w:val="en-PH"/>
        </w:rPr>
        <w:t xml:space="preserve">ED presentation by </w:t>
      </w:r>
      <w:r w:rsidR="0072141C" w:rsidRPr="0072141C">
        <w:rPr>
          <w:lang w:val="en-PH"/>
        </w:rPr>
        <w:t xml:space="preserve">cost bucket </w:t>
      </w:r>
      <w:r w:rsidR="008D5190">
        <w:rPr>
          <w:lang w:val="en-PH"/>
        </w:rPr>
        <w:t>national</w:t>
      </w:r>
      <w:r w:rsidR="0072141C" w:rsidRPr="0072141C">
        <w:rPr>
          <w:lang w:val="en-PH"/>
        </w:rPr>
        <w:t>, 2022-23</w:t>
      </w:r>
      <w:bookmarkEnd w:id="252"/>
      <w:bookmarkEnd w:id="253"/>
    </w:p>
    <w:p w14:paraId="5E3C2119" w14:textId="64FE9DAA" w:rsidR="00EC1063" w:rsidRDefault="00EC1063" w:rsidP="00530E79">
      <w:pPr>
        <w:jc w:val="center"/>
        <w:rPr>
          <w:rFonts w:cstheme="majorBidi"/>
          <w:color w:val="104F99" w:themeColor="accent2"/>
          <w:lang w:val="en-PH"/>
        </w:rPr>
      </w:pPr>
      <w:r>
        <w:rPr>
          <w:noProof/>
        </w:rPr>
        <w:drawing>
          <wp:inline distT="0" distB="0" distL="0" distR="0" wp14:anchorId="738E9996" wp14:editId="2C15769A">
            <wp:extent cx="5567680" cy="3182020"/>
            <wp:effectExtent l="0" t="0" r="0" b="0"/>
            <wp:docPr id="126638497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84975" name="Picture 1" descr="A screenshot of a graph&#10;&#10;Description automatically generated"/>
                    <pic:cNvPicPr/>
                  </pic:nvPicPr>
                  <pic:blipFill>
                    <a:blip r:embed="rId51"/>
                    <a:stretch>
                      <a:fillRect/>
                    </a:stretch>
                  </pic:blipFill>
                  <pic:spPr>
                    <a:xfrm>
                      <a:off x="0" y="0"/>
                      <a:ext cx="5574907" cy="3186150"/>
                    </a:xfrm>
                    <a:prstGeom prst="rect">
                      <a:avLst/>
                    </a:prstGeom>
                  </pic:spPr>
                </pic:pic>
              </a:graphicData>
            </a:graphic>
          </wp:inline>
        </w:drawing>
      </w:r>
    </w:p>
    <w:p w14:paraId="1B1A0689" w14:textId="2020491B" w:rsidR="006A6185" w:rsidRPr="00A933EC" w:rsidRDefault="006766F9" w:rsidP="00A32EB6">
      <w:pPr>
        <w:pStyle w:val="Heading1"/>
        <w:numPr>
          <w:ilvl w:val="0"/>
          <w:numId w:val="45"/>
        </w:numPr>
      </w:pPr>
      <w:bookmarkStart w:id="254" w:name="_Toc151116273"/>
      <w:bookmarkStart w:id="255" w:name="_Toc151116274"/>
      <w:bookmarkStart w:id="256" w:name="_Toc151116275"/>
      <w:bookmarkStart w:id="257" w:name="_Toc151116276"/>
      <w:bookmarkStart w:id="258" w:name="_Toc147754518"/>
      <w:bookmarkStart w:id="259" w:name="_Toc147754601"/>
      <w:bookmarkStart w:id="260" w:name="_Toc147754683"/>
      <w:bookmarkStart w:id="261" w:name="_Toc147758672"/>
      <w:bookmarkStart w:id="262" w:name="_Toc147760462"/>
      <w:bookmarkStart w:id="263" w:name="_Toc147764037"/>
      <w:bookmarkStart w:id="264" w:name="_Toc147828242"/>
      <w:bookmarkStart w:id="265" w:name="_Toc147828436"/>
      <w:bookmarkStart w:id="266" w:name="_Toc147828657"/>
      <w:bookmarkStart w:id="267" w:name="_Toc147828764"/>
      <w:bookmarkStart w:id="268" w:name="_Toc147828837"/>
      <w:bookmarkStart w:id="269" w:name="_Toc147828908"/>
      <w:bookmarkStart w:id="270" w:name="_Toc147828979"/>
      <w:bookmarkStart w:id="271" w:name="_Toc147829050"/>
      <w:bookmarkStart w:id="272" w:name="_Toc147829123"/>
      <w:bookmarkStart w:id="273" w:name="_Toc147829194"/>
      <w:bookmarkStart w:id="274" w:name="_Toc147829265"/>
      <w:bookmarkStart w:id="275" w:name="_Toc147829529"/>
      <w:bookmarkStart w:id="276" w:name="_Toc147829600"/>
      <w:bookmarkStart w:id="277" w:name="_Toc147829671"/>
      <w:bookmarkStart w:id="278" w:name="_Toc147829823"/>
      <w:bookmarkStart w:id="279" w:name="_Toc147829955"/>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CE058E">
        <w:rPr>
          <w:highlight w:val="yellow"/>
        </w:rPr>
        <w:br w:type="page"/>
      </w:r>
      <w:bookmarkStart w:id="280" w:name="_Toc144215459"/>
      <w:bookmarkStart w:id="281" w:name="_Toc144967665"/>
      <w:bookmarkStart w:id="282" w:name="_Toc158882625"/>
      <w:bookmarkEnd w:id="203"/>
      <w:r w:rsidR="006A6185" w:rsidRPr="00083EE1">
        <w:rPr>
          <w:rFonts w:cs="Arial"/>
        </w:rPr>
        <w:lastRenderedPageBreak/>
        <w:t>Non-admitted</w:t>
      </w:r>
      <w:bookmarkEnd w:id="280"/>
      <w:bookmarkEnd w:id="281"/>
      <w:bookmarkEnd w:id="282"/>
    </w:p>
    <w:p w14:paraId="5079850B" w14:textId="495B61E6" w:rsidR="006A6185" w:rsidRPr="00CE058E" w:rsidRDefault="006A6185" w:rsidP="007B41F8">
      <w:pPr>
        <w:pStyle w:val="Heading2"/>
      </w:pPr>
      <w:bookmarkStart w:id="283" w:name="_Toc144215460"/>
      <w:bookmarkStart w:id="284" w:name="_Toc144967666"/>
      <w:bookmarkStart w:id="285" w:name="_Toc151129714"/>
      <w:bookmarkStart w:id="286" w:name="_Toc158882565"/>
      <w:bookmarkStart w:id="287" w:name="_Toc158882626"/>
      <w:r w:rsidRPr="00CE058E">
        <w:t>Summary</w:t>
      </w:r>
      <w:bookmarkEnd w:id="283"/>
      <w:bookmarkEnd w:id="284"/>
      <w:bookmarkEnd w:id="285"/>
      <w:bookmarkEnd w:id="286"/>
      <w:bookmarkEnd w:id="287"/>
    </w:p>
    <w:p w14:paraId="5D109AAF" w14:textId="15F77A82" w:rsidR="001147F5" w:rsidRPr="00303546" w:rsidRDefault="006A6185" w:rsidP="00070481">
      <w:pPr>
        <w:spacing w:line="276" w:lineRule="auto"/>
        <w:rPr>
          <w:rFonts w:cs="Arial"/>
        </w:rPr>
      </w:pPr>
      <w:r w:rsidRPr="00303546">
        <w:rPr>
          <w:rFonts w:cs="Arial"/>
        </w:rPr>
        <w:t xml:space="preserve">This </w:t>
      </w:r>
      <w:r w:rsidR="00DD18A3" w:rsidRPr="00303546">
        <w:rPr>
          <w:rFonts w:cs="Arial"/>
        </w:rPr>
        <w:t xml:space="preserve">chapter </w:t>
      </w:r>
      <w:r w:rsidR="006C715D" w:rsidRPr="00303546">
        <w:rPr>
          <w:rFonts w:cs="Arial"/>
        </w:rPr>
        <w:t>outlines</w:t>
      </w:r>
      <w:r w:rsidRPr="00303546">
        <w:rPr>
          <w:rFonts w:cs="Arial"/>
        </w:rPr>
        <w:t xml:space="preserve"> the </w:t>
      </w:r>
      <w:r w:rsidR="000F48D8">
        <w:rPr>
          <w:rFonts w:cs="Arial"/>
        </w:rPr>
        <w:t xml:space="preserve">in-scope </w:t>
      </w:r>
      <w:r w:rsidRPr="00303546">
        <w:rPr>
          <w:rFonts w:cs="Arial"/>
        </w:rPr>
        <w:t xml:space="preserve">non-admitted service events, cost, and average cost per service event from </w:t>
      </w:r>
      <w:r w:rsidR="00E137A0" w:rsidRPr="00303546">
        <w:rPr>
          <w:rFonts w:cs="Arial"/>
        </w:rPr>
        <w:t>2020-21</w:t>
      </w:r>
      <w:r w:rsidRPr="00303546">
        <w:rPr>
          <w:rFonts w:cs="Arial"/>
        </w:rPr>
        <w:t xml:space="preserve"> to </w:t>
      </w:r>
      <w:r w:rsidR="00930B24" w:rsidRPr="00303546">
        <w:rPr>
          <w:rFonts w:cstheme="majorBidi"/>
          <w:lang w:val="en-PH"/>
        </w:rPr>
        <w:t>2022-23</w:t>
      </w:r>
      <w:r w:rsidRPr="00303546">
        <w:rPr>
          <w:rFonts w:cs="Arial"/>
        </w:rPr>
        <w:t>. This includes services delivered in settings</w:t>
      </w:r>
      <w:r w:rsidR="001147F5" w:rsidRPr="00303546">
        <w:rPr>
          <w:rFonts w:cs="Arial"/>
        </w:rPr>
        <w:t xml:space="preserve"> such as</w:t>
      </w:r>
      <w:r w:rsidR="37309E08" w:rsidRPr="00303546">
        <w:rPr>
          <w:rFonts w:cs="Arial"/>
        </w:rPr>
        <w:t>: hospital outpatient clinics, community-based clinics</w:t>
      </w:r>
      <w:r w:rsidR="00D67878" w:rsidRPr="00303546">
        <w:rPr>
          <w:rFonts w:cs="Arial"/>
        </w:rPr>
        <w:t>,</w:t>
      </w:r>
      <w:r w:rsidR="37309E08" w:rsidRPr="00303546">
        <w:rPr>
          <w:rFonts w:cs="Arial"/>
        </w:rPr>
        <w:t xml:space="preserve"> and patient homes</w:t>
      </w:r>
      <w:r w:rsidRPr="00303546">
        <w:rPr>
          <w:rFonts w:cs="Arial"/>
        </w:rPr>
        <w:t>.</w:t>
      </w:r>
    </w:p>
    <w:p w14:paraId="393034A1" w14:textId="74D2181B" w:rsidR="006D40A7" w:rsidRPr="00303546" w:rsidRDefault="006A6185" w:rsidP="00C361E9">
      <w:pPr>
        <w:spacing w:line="276" w:lineRule="auto"/>
        <w:rPr>
          <w:rFonts w:cs="Arial"/>
        </w:rPr>
      </w:pPr>
      <w:r w:rsidRPr="00303546">
        <w:rPr>
          <w:rFonts w:cs="Arial"/>
        </w:rPr>
        <w:t xml:space="preserve">To be included as a non-admitted service, the service must meet the definition of a service event. A service event is defined as an interaction between one or more healthcare provider(s) with one </w:t>
      </w:r>
      <w:r w:rsidR="00B67FC6" w:rsidRPr="00303546">
        <w:rPr>
          <w:rFonts w:cs="Arial"/>
        </w:rPr>
        <w:br/>
      </w:r>
      <w:r w:rsidRPr="00303546">
        <w:rPr>
          <w:rFonts w:cs="Arial"/>
        </w:rPr>
        <w:t>non</w:t>
      </w:r>
      <w:r w:rsidR="00D67878" w:rsidRPr="00303546">
        <w:rPr>
          <w:rFonts w:cs="Arial"/>
        </w:rPr>
        <w:t>-</w:t>
      </w:r>
      <w:r w:rsidRPr="00303546">
        <w:rPr>
          <w:rFonts w:cs="Arial"/>
        </w:rPr>
        <w:t>admitted patient</w:t>
      </w:r>
      <w:r w:rsidR="00301F51" w:rsidRPr="00303546">
        <w:rPr>
          <w:rFonts w:cs="Arial"/>
        </w:rPr>
        <w:t xml:space="preserve">. This </w:t>
      </w:r>
      <w:r w:rsidRPr="00303546">
        <w:rPr>
          <w:rFonts w:cs="Arial"/>
        </w:rPr>
        <w:t>must contain therapeutic or clinical content and result in a dated entry in the patient’s medical record.</w:t>
      </w:r>
    </w:p>
    <w:p w14:paraId="55932799" w14:textId="676507F7" w:rsidR="006D40A7" w:rsidRPr="00303546" w:rsidRDefault="006D40A7" w:rsidP="006D40A7">
      <w:pPr>
        <w:spacing w:line="276" w:lineRule="auto"/>
        <w:rPr>
          <w:rFonts w:cs="Arial"/>
        </w:rPr>
      </w:pPr>
      <w:r w:rsidRPr="00303546">
        <w:rPr>
          <w:rFonts w:cs="Arial"/>
        </w:rPr>
        <w:t>The Tier 2 Non-Admitted Services Classificatio</w:t>
      </w:r>
      <w:r w:rsidR="00AF0AB3" w:rsidRPr="00303546">
        <w:rPr>
          <w:rFonts w:cs="Arial"/>
        </w:rPr>
        <w:t>n</w:t>
      </w:r>
      <w:r w:rsidR="00303546">
        <w:rPr>
          <w:rFonts w:cs="Arial"/>
        </w:rPr>
        <w:t xml:space="preserve"> (Tier 2)</w:t>
      </w:r>
      <w:r w:rsidR="00AF0AB3" w:rsidRPr="00303546">
        <w:rPr>
          <w:rFonts w:cs="Arial"/>
        </w:rPr>
        <w:t xml:space="preserve"> Version 7.0 was used to prepare this report.</w:t>
      </w:r>
      <w:r w:rsidRPr="00303546">
        <w:rPr>
          <w:rFonts w:cs="Arial"/>
        </w:rPr>
        <w:t xml:space="preserve"> Tier 2 categorises a hospital’s non-admitted services into classes which are generally based on the nature of the service provided and the type of clinician providing the service.</w:t>
      </w:r>
      <w:r w:rsidR="00F571B2">
        <w:rPr>
          <w:rFonts w:cs="Arial"/>
        </w:rPr>
        <w:t xml:space="preserve"> </w:t>
      </w:r>
      <w:r w:rsidR="00F571B2" w:rsidRPr="00CE058E">
        <w:rPr>
          <w:rFonts w:cs="Arial"/>
          <w:color w:val="auto"/>
        </w:rPr>
        <w:t xml:space="preserve">For more information about </w:t>
      </w:r>
      <w:r w:rsidR="00F571B2">
        <w:rPr>
          <w:rFonts w:cs="Arial"/>
          <w:color w:val="auto"/>
        </w:rPr>
        <w:t xml:space="preserve">the Tier 2 Classification </w:t>
      </w:r>
      <w:r w:rsidR="00F571B2" w:rsidRPr="00CE058E">
        <w:rPr>
          <w:rFonts w:cs="Arial"/>
          <w:color w:val="auto"/>
        </w:rPr>
        <w:t xml:space="preserve">activity visit </w:t>
      </w:r>
      <w:hyperlink r:id="rId52" w:history="1">
        <w:r w:rsidR="00F571B2" w:rsidRPr="00CE058E">
          <w:rPr>
            <w:rStyle w:val="Hyperlink"/>
            <w:rFonts w:cs="Arial"/>
          </w:rPr>
          <w:t>IHACPA’s website</w:t>
        </w:r>
      </w:hyperlink>
      <w:r w:rsidR="00F571B2" w:rsidRPr="00CE058E">
        <w:rPr>
          <w:rFonts w:cs="Arial"/>
          <w:color w:val="auto"/>
        </w:rPr>
        <w:t>.</w:t>
      </w:r>
    </w:p>
    <w:p w14:paraId="340F0A01" w14:textId="778D8083" w:rsidR="006D40A7" w:rsidRPr="00303546" w:rsidRDefault="006D40A7" w:rsidP="006D40A7">
      <w:pPr>
        <w:spacing w:line="276" w:lineRule="auto"/>
        <w:rPr>
          <w:rFonts w:cs="Arial"/>
        </w:rPr>
      </w:pPr>
      <w:r w:rsidRPr="00303546">
        <w:rPr>
          <w:rFonts w:cs="Arial"/>
        </w:rPr>
        <w:t>Tier 2 is built around the concept of clinics. Clinics are classified to one of the groups below based on the predominant nature of the service provided:</w:t>
      </w:r>
    </w:p>
    <w:p w14:paraId="3FFF84E8" w14:textId="77777777" w:rsidR="006D40A7" w:rsidRPr="00303546" w:rsidRDefault="006D40A7" w:rsidP="0009351E">
      <w:pPr>
        <w:pStyle w:val="ListParagraph"/>
        <w:numPr>
          <w:ilvl w:val="0"/>
          <w:numId w:val="54"/>
        </w:numPr>
        <w:spacing w:line="276" w:lineRule="auto"/>
        <w:rPr>
          <w:rFonts w:cs="Arial"/>
        </w:rPr>
      </w:pPr>
      <w:r w:rsidRPr="00303546">
        <w:rPr>
          <w:rFonts w:cs="Arial"/>
        </w:rPr>
        <w:t>procedures (10 series)</w:t>
      </w:r>
    </w:p>
    <w:p w14:paraId="489A8921" w14:textId="77777777" w:rsidR="006D40A7" w:rsidRPr="00303546" w:rsidRDefault="006D40A7" w:rsidP="0009351E">
      <w:pPr>
        <w:pStyle w:val="ListParagraph"/>
        <w:numPr>
          <w:ilvl w:val="0"/>
          <w:numId w:val="54"/>
        </w:numPr>
        <w:spacing w:line="276" w:lineRule="auto"/>
        <w:rPr>
          <w:rFonts w:cs="Arial"/>
        </w:rPr>
      </w:pPr>
      <w:r w:rsidRPr="00303546">
        <w:rPr>
          <w:rFonts w:cs="Arial"/>
        </w:rPr>
        <w:t>medical consultation services (20 series)</w:t>
      </w:r>
    </w:p>
    <w:p w14:paraId="6B8B9073" w14:textId="77777777" w:rsidR="006D40A7" w:rsidRPr="00303546" w:rsidRDefault="006D40A7" w:rsidP="0009351E">
      <w:pPr>
        <w:pStyle w:val="ListParagraph"/>
        <w:numPr>
          <w:ilvl w:val="0"/>
          <w:numId w:val="54"/>
        </w:numPr>
        <w:spacing w:line="276" w:lineRule="auto"/>
        <w:rPr>
          <w:rFonts w:cs="Arial"/>
        </w:rPr>
      </w:pPr>
      <w:r w:rsidRPr="00303546">
        <w:rPr>
          <w:rFonts w:cs="Arial"/>
        </w:rPr>
        <w:t>diagnostic services (30 series)</w:t>
      </w:r>
    </w:p>
    <w:p w14:paraId="034F8FA2" w14:textId="3BA173F8" w:rsidR="006D40A7" w:rsidRPr="00303546" w:rsidRDefault="006D40A7" w:rsidP="0009351E">
      <w:pPr>
        <w:pStyle w:val="ListParagraph"/>
        <w:numPr>
          <w:ilvl w:val="0"/>
          <w:numId w:val="54"/>
        </w:numPr>
        <w:spacing w:line="276" w:lineRule="auto"/>
        <w:rPr>
          <w:rFonts w:cs="Arial"/>
        </w:rPr>
      </w:pPr>
      <w:r w:rsidRPr="00303546">
        <w:rPr>
          <w:rFonts w:cs="Arial"/>
        </w:rPr>
        <w:t>allied health or clinical nurse specialist intervention services (40 series).</w:t>
      </w:r>
    </w:p>
    <w:p w14:paraId="3ED02723" w14:textId="7D62D0E7" w:rsidR="0069297D" w:rsidRPr="00303546" w:rsidRDefault="005E4359" w:rsidP="00303546">
      <w:pPr>
        <w:pStyle w:val="Cross-reference"/>
      </w:pPr>
      <w:r>
        <w:fldChar w:fldCharType="begin"/>
      </w:r>
      <w:r w:rsidRPr="005E4359">
        <w:instrText xml:space="preserve"> REF _Ref185843831 \h  \* MERGEFORMAT </w:instrText>
      </w:r>
      <w:r>
        <w:fldChar w:fldCharType="separate"/>
      </w:r>
      <w:r w:rsidRPr="00303546">
        <w:t>Table</w:t>
      </w:r>
      <w:r w:rsidRPr="0093558C">
        <w:rPr>
          <w:rFonts w:cstheme="majorBidi"/>
          <w:color w:val="104F99" w:themeColor="accent2"/>
          <w:lang w:val="en-PH"/>
        </w:rPr>
        <w:t xml:space="preserve"> </w:t>
      </w:r>
      <w:r>
        <w:rPr>
          <w:rFonts w:cstheme="majorBidi"/>
          <w:noProof/>
          <w:lang w:val="en-PH"/>
        </w:rPr>
        <w:t>18</w:t>
      </w:r>
      <w:r>
        <w:fldChar w:fldCharType="end"/>
      </w:r>
      <w:r w:rsidR="00D40E89" w:rsidRPr="00FF5FBC">
        <w:t xml:space="preserve"> summarises the national results from 2020-21 to 2022-23. </w:t>
      </w:r>
      <w:r w:rsidR="0069297D" w:rsidRPr="00303546">
        <w:t xml:space="preserve">In </w:t>
      </w:r>
      <w:r w:rsidR="0069297D" w:rsidRPr="00303546">
        <w:rPr>
          <w:rFonts w:cstheme="majorBidi"/>
          <w:lang w:val="en-PH"/>
        </w:rPr>
        <w:t>2022-23</w:t>
      </w:r>
      <w:r w:rsidR="0069297D" w:rsidRPr="00303546">
        <w:t xml:space="preserve">, there were </w:t>
      </w:r>
      <w:r w:rsidR="006E0788" w:rsidRPr="00303546">
        <w:t>27.</w:t>
      </w:r>
      <w:r w:rsidR="001C0285" w:rsidRPr="00303546">
        <w:t>8 </w:t>
      </w:r>
      <w:r w:rsidR="0069297D" w:rsidRPr="00303546">
        <w:t>million non-admitted service events nationally, a 1</w:t>
      </w:r>
      <w:r w:rsidR="006E0788" w:rsidRPr="00303546">
        <w:t>4</w:t>
      </w:r>
      <w:r w:rsidR="0069297D" w:rsidRPr="00303546">
        <w:t xml:space="preserve">% </w:t>
      </w:r>
      <w:r w:rsidR="006E0788" w:rsidRPr="00303546">
        <w:t>de</w:t>
      </w:r>
      <w:r w:rsidR="0069297D" w:rsidRPr="00303546">
        <w:t xml:space="preserve">crease from the 2021-22 </w:t>
      </w:r>
      <w:r w:rsidR="0000473B">
        <w:t>figure</w:t>
      </w:r>
      <w:r w:rsidR="0000473B" w:rsidRPr="00303546">
        <w:t xml:space="preserve"> </w:t>
      </w:r>
      <w:r w:rsidR="0069297D" w:rsidRPr="00303546">
        <w:t xml:space="preserve">of </w:t>
      </w:r>
      <w:r w:rsidR="006E0788" w:rsidRPr="00303546">
        <w:t>32.</w:t>
      </w:r>
      <w:r w:rsidR="001C0285" w:rsidRPr="00303546">
        <w:t>4 </w:t>
      </w:r>
      <w:r w:rsidR="0069297D" w:rsidRPr="00303546">
        <w:t xml:space="preserve">million. The associated cost in </w:t>
      </w:r>
      <w:r w:rsidR="0069297D" w:rsidRPr="00303546">
        <w:rPr>
          <w:rFonts w:cstheme="majorBidi"/>
          <w:lang w:val="en-PH"/>
        </w:rPr>
        <w:t>2022-23</w:t>
      </w:r>
      <w:r w:rsidR="0069297D" w:rsidRPr="00303546">
        <w:t xml:space="preserve"> nationally was $</w:t>
      </w:r>
      <w:r w:rsidR="006E0788" w:rsidRPr="00303546">
        <w:t xml:space="preserve">11.2 </w:t>
      </w:r>
      <w:r w:rsidR="0069297D" w:rsidRPr="00303546">
        <w:t xml:space="preserve">billion, a </w:t>
      </w:r>
      <w:r w:rsidR="006E0788" w:rsidRPr="00303546">
        <w:t>7</w:t>
      </w:r>
      <w:r w:rsidR="0069297D" w:rsidRPr="00303546">
        <w:t>% increase to the 2021</w:t>
      </w:r>
      <w:r w:rsidR="001C0285" w:rsidRPr="00303546">
        <w:noBreakHyphen/>
      </w:r>
      <w:r w:rsidR="0069297D" w:rsidRPr="00303546">
        <w:t xml:space="preserve">22 </w:t>
      </w:r>
      <w:r w:rsidR="00183417" w:rsidRPr="00303546">
        <w:t xml:space="preserve">amount </w:t>
      </w:r>
      <w:r w:rsidR="0069297D" w:rsidRPr="00303546">
        <w:t>of $</w:t>
      </w:r>
      <w:r w:rsidR="006E0788" w:rsidRPr="00303546">
        <w:t>10.5</w:t>
      </w:r>
      <w:r w:rsidR="0069297D" w:rsidRPr="00303546">
        <w:t xml:space="preserve"> billion. The national average cost per non-admitted service event was $</w:t>
      </w:r>
      <w:r w:rsidR="006E0788" w:rsidRPr="00303546">
        <w:t xml:space="preserve">403 </w:t>
      </w:r>
      <w:r w:rsidR="0069297D" w:rsidRPr="00303546">
        <w:t xml:space="preserve">for 2022-23, a </w:t>
      </w:r>
      <w:r w:rsidR="006E0788" w:rsidRPr="00303546">
        <w:t>24</w:t>
      </w:r>
      <w:r w:rsidR="0069297D" w:rsidRPr="00303546">
        <w:t xml:space="preserve">% </w:t>
      </w:r>
      <w:r w:rsidR="006E0788" w:rsidRPr="00303546">
        <w:t>in</w:t>
      </w:r>
      <w:r w:rsidR="0069297D" w:rsidRPr="00303546">
        <w:t>crease to the 2021-22 national average of $3</w:t>
      </w:r>
      <w:r w:rsidR="006E0788" w:rsidRPr="00303546">
        <w:t>24</w:t>
      </w:r>
      <w:r w:rsidR="0069297D" w:rsidRPr="00303546">
        <w:t>.</w:t>
      </w:r>
    </w:p>
    <w:p w14:paraId="38B2026C" w14:textId="1FBE320D" w:rsidR="0069297D" w:rsidRPr="00862D6F" w:rsidRDefault="0069297D" w:rsidP="00303546">
      <w:pPr>
        <w:pStyle w:val="TableFigureheading"/>
        <w:rPr>
          <w:lang w:val="en-PH"/>
        </w:rPr>
      </w:pPr>
      <w:bookmarkStart w:id="288" w:name="_Ref185843831"/>
      <w:bookmarkStart w:id="289" w:name="_Toc185852225"/>
      <w:bookmarkStart w:id="290" w:name="_Toc187312144"/>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5E4359">
        <w:rPr>
          <w:noProof/>
          <w:lang w:val="en-PH"/>
        </w:rPr>
        <w:t>18</w:t>
      </w:r>
      <w:r w:rsidRPr="0093558C">
        <w:rPr>
          <w:lang w:val="en-PH"/>
        </w:rPr>
        <w:fldChar w:fldCharType="end"/>
      </w:r>
      <w:bookmarkEnd w:id="288"/>
      <w:r w:rsidRPr="0093558C">
        <w:rPr>
          <w:lang w:val="en-PH"/>
        </w:rPr>
        <w:t xml:space="preserve">: </w:t>
      </w:r>
      <w:r>
        <w:rPr>
          <w:lang w:val="en-PH"/>
        </w:rPr>
        <w:t>Non-admitted national</w:t>
      </w:r>
      <w:r w:rsidR="001840F9" w:rsidRPr="001840F9">
        <w:rPr>
          <w:lang w:val="en-PH"/>
        </w:rPr>
        <w:t xml:space="preserve"> </w:t>
      </w:r>
      <w:r w:rsidR="001840F9">
        <w:rPr>
          <w:lang w:val="en-PH"/>
        </w:rPr>
        <w:t>summary</w:t>
      </w:r>
      <w:r w:rsidRPr="0093558C">
        <w:rPr>
          <w:lang w:val="en-PH"/>
        </w:rPr>
        <w:t xml:space="preserve">, </w:t>
      </w:r>
      <w:r w:rsidRPr="00303546">
        <w:t>2020</w:t>
      </w:r>
      <w:r w:rsidRPr="00D73FCC">
        <w:rPr>
          <w:lang w:val="en-PH"/>
        </w:rPr>
        <w:t>-21</w:t>
      </w:r>
      <w:r w:rsidRPr="0093558C">
        <w:rPr>
          <w:lang w:val="en-PH"/>
        </w:rPr>
        <w:t xml:space="preserve"> to </w:t>
      </w:r>
      <w:r w:rsidRPr="008B2CD8">
        <w:rPr>
          <w:lang w:val="en-PH"/>
        </w:rPr>
        <w:t>202</w:t>
      </w:r>
      <w:r>
        <w:rPr>
          <w:lang w:val="en-PH"/>
        </w:rPr>
        <w:t>2</w:t>
      </w:r>
      <w:r w:rsidRPr="008B2CD8">
        <w:rPr>
          <w:lang w:val="en-PH"/>
        </w:rPr>
        <w:t>-2</w:t>
      </w:r>
      <w:r>
        <w:rPr>
          <w:lang w:val="en-PH"/>
        </w:rPr>
        <w:t>3</w:t>
      </w:r>
      <w:bookmarkEnd w:id="289"/>
      <w:bookmarkEnd w:id="290"/>
    </w:p>
    <w:tbl>
      <w:tblPr>
        <w:tblW w:w="9723" w:type="dxa"/>
        <w:tblLook w:val="04A0" w:firstRow="1" w:lastRow="0" w:firstColumn="1" w:lastColumn="0" w:noHBand="0" w:noVBand="1"/>
      </w:tblPr>
      <w:tblGrid>
        <w:gridCol w:w="3303"/>
        <w:gridCol w:w="2140"/>
        <w:gridCol w:w="2140"/>
        <w:gridCol w:w="2140"/>
      </w:tblGrid>
      <w:tr w:rsidR="0069297D" w:rsidRPr="00492588" w14:paraId="431951B7" w14:textId="77777777">
        <w:trPr>
          <w:trHeight w:val="298"/>
        </w:trPr>
        <w:tc>
          <w:tcPr>
            <w:tcW w:w="3303" w:type="dxa"/>
            <w:tcBorders>
              <w:top w:val="nil"/>
              <w:left w:val="single" w:sz="8" w:space="0" w:color="FFFFFF"/>
              <w:bottom w:val="nil"/>
              <w:right w:val="nil"/>
            </w:tcBorders>
            <w:shd w:val="clear" w:color="000000" w:fill="15272F"/>
            <w:vAlign w:val="center"/>
            <w:hideMark/>
          </w:tcPr>
          <w:p w14:paraId="2013AFAB" w14:textId="77777777" w:rsidR="0069297D" w:rsidRPr="00A32EB6" w:rsidRDefault="0069297D" w:rsidP="00A32EB6">
            <w:pPr>
              <w:spacing w:before="40" w:after="40" w:line="240" w:lineRule="auto"/>
              <w:rPr>
                <w:rFonts w:eastAsia="Times New Roman" w:cs="Arial"/>
                <w:b/>
                <w:bCs/>
                <w:color w:val="FFFFFF"/>
                <w:sz w:val="16"/>
                <w:szCs w:val="16"/>
                <w:lang w:eastAsia="en-AU"/>
              </w:rPr>
            </w:pPr>
            <w:r w:rsidRPr="00A32EB6">
              <w:rPr>
                <w:rFonts w:eastAsia="Times New Roman" w:cs="Arial"/>
                <w:b/>
                <w:bCs/>
                <w:color w:val="FFFFFF"/>
                <w:sz w:val="16"/>
                <w:szCs w:val="16"/>
                <w:lang w:eastAsia="en-AU"/>
              </w:rPr>
              <w:t> </w:t>
            </w:r>
          </w:p>
        </w:tc>
        <w:tc>
          <w:tcPr>
            <w:tcW w:w="2140" w:type="dxa"/>
            <w:tcBorders>
              <w:top w:val="nil"/>
              <w:left w:val="single" w:sz="8" w:space="0" w:color="FFFFFF"/>
              <w:bottom w:val="nil"/>
              <w:right w:val="nil"/>
            </w:tcBorders>
            <w:shd w:val="clear" w:color="000000" w:fill="15272F"/>
            <w:vAlign w:val="center"/>
            <w:hideMark/>
          </w:tcPr>
          <w:p w14:paraId="2E470312" w14:textId="77777777" w:rsidR="0069297D" w:rsidRPr="00A32EB6" w:rsidRDefault="0069297D" w:rsidP="00A32EB6">
            <w:pPr>
              <w:spacing w:before="40" w:after="40" w:line="240" w:lineRule="auto"/>
              <w:jc w:val="center"/>
              <w:rPr>
                <w:rFonts w:eastAsia="Times New Roman" w:cs="Arial"/>
                <w:b/>
                <w:bCs/>
                <w:color w:val="FFFFFF"/>
                <w:sz w:val="16"/>
                <w:szCs w:val="16"/>
                <w:lang w:eastAsia="en-AU"/>
              </w:rPr>
            </w:pPr>
            <w:r w:rsidRPr="00A32EB6">
              <w:rPr>
                <w:rFonts w:eastAsia="Times New Roman" w:cs="Arial"/>
                <w:b/>
                <w:bCs/>
                <w:color w:val="FFFFFF"/>
                <w:sz w:val="16"/>
                <w:szCs w:val="16"/>
                <w:lang w:eastAsia="en-AU"/>
              </w:rPr>
              <w:t>2020-21</w:t>
            </w:r>
          </w:p>
        </w:tc>
        <w:tc>
          <w:tcPr>
            <w:tcW w:w="2140" w:type="dxa"/>
            <w:tcBorders>
              <w:top w:val="nil"/>
              <w:left w:val="single" w:sz="8" w:space="0" w:color="FFFFFF"/>
              <w:bottom w:val="nil"/>
              <w:right w:val="nil"/>
            </w:tcBorders>
            <w:shd w:val="clear" w:color="000000" w:fill="15272F"/>
            <w:vAlign w:val="center"/>
            <w:hideMark/>
          </w:tcPr>
          <w:p w14:paraId="754D9C1B" w14:textId="77777777" w:rsidR="0069297D" w:rsidRPr="00A32EB6" w:rsidRDefault="0069297D" w:rsidP="00A32EB6">
            <w:pPr>
              <w:spacing w:before="40" w:after="40" w:line="240" w:lineRule="auto"/>
              <w:jc w:val="center"/>
              <w:rPr>
                <w:rFonts w:eastAsia="Times New Roman" w:cs="Arial"/>
                <w:b/>
                <w:bCs/>
                <w:color w:val="FFFFFF"/>
                <w:sz w:val="16"/>
                <w:szCs w:val="16"/>
                <w:lang w:eastAsia="en-AU"/>
              </w:rPr>
            </w:pPr>
            <w:r w:rsidRPr="00A32EB6">
              <w:rPr>
                <w:rFonts w:eastAsia="Times New Roman" w:cs="Arial"/>
                <w:b/>
                <w:bCs/>
                <w:color w:val="FFFFFF"/>
                <w:sz w:val="16"/>
                <w:szCs w:val="16"/>
                <w:lang w:eastAsia="en-AU"/>
              </w:rPr>
              <w:t>2021-22</w:t>
            </w:r>
          </w:p>
        </w:tc>
        <w:tc>
          <w:tcPr>
            <w:tcW w:w="2140" w:type="dxa"/>
            <w:tcBorders>
              <w:top w:val="nil"/>
              <w:left w:val="single" w:sz="8" w:space="0" w:color="FFFFFF"/>
              <w:bottom w:val="nil"/>
              <w:right w:val="nil"/>
            </w:tcBorders>
            <w:shd w:val="clear" w:color="000000" w:fill="15272F"/>
            <w:vAlign w:val="center"/>
            <w:hideMark/>
          </w:tcPr>
          <w:p w14:paraId="3D6ABE75" w14:textId="77777777" w:rsidR="0069297D" w:rsidRPr="00A32EB6" w:rsidRDefault="0069297D" w:rsidP="00A32EB6">
            <w:pPr>
              <w:spacing w:before="40" w:after="40" w:line="240" w:lineRule="auto"/>
              <w:jc w:val="center"/>
              <w:rPr>
                <w:rFonts w:eastAsia="Times New Roman" w:cs="Arial"/>
                <w:b/>
                <w:bCs/>
                <w:color w:val="FFFFFF"/>
                <w:sz w:val="16"/>
                <w:szCs w:val="16"/>
                <w:lang w:eastAsia="en-AU"/>
              </w:rPr>
            </w:pPr>
            <w:r w:rsidRPr="00A32EB6">
              <w:rPr>
                <w:rFonts w:eastAsia="Times New Roman" w:cs="Arial"/>
                <w:b/>
                <w:bCs/>
                <w:color w:val="FFFFFF"/>
                <w:sz w:val="16"/>
                <w:szCs w:val="16"/>
                <w:lang w:eastAsia="en-AU"/>
              </w:rPr>
              <w:t>2022-23</w:t>
            </w:r>
          </w:p>
        </w:tc>
      </w:tr>
      <w:tr w:rsidR="0069297D" w:rsidRPr="00492588" w14:paraId="7FAF40BA" w14:textId="77777777">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hideMark/>
          </w:tcPr>
          <w:p w14:paraId="3D60B0B3" w14:textId="77777777" w:rsidR="0069297D" w:rsidRPr="00A32EB6" w:rsidRDefault="0069297D" w:rsidP="00A32EB6">
            <w:pPr>
              <w:spacing w:before="40" w:after="40" w:line="240" w:lineRule="auto"/>
              <w:rPr>
                <w:rFonts w:eastAsia="Times New Roman" w:cs="Arial"/>
                <w:color w:val="1C1C1C"/>
                <w:sz w:val="16"/>
                <w:szCs w:val="16"/>
                <w:lang w:eastAsia="en-AU"/>
              </w:rPr>
            </w:pPr>
            <w:r w:rsidRPr="00A32EB6">
              <w:rPr>
                <w:rFonts w:eastAsia="Times New Roman" w:cs="Arial"/>
                <w:color w:val="1C1C1C"/>
                <w:sz w:val="16"/>
                <w:szCs w:val="16"/>
                <w:lang w:eastAsia="en-AU"/>
              </w:rPr>
              <w:t xml:space="preserve"> Number of establishments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416786FD" w14:textId="77777777" w:rsidR="0069297D" w:rsidRPr="00144CE8" w:rsidRDefault="0069297D" w:rsidP="00A32EB6">
            <w:pPr>
              <w:spacing w:before="40" w:after="40" w:line="240" w:lineRule="auto"/>
              <w:jc w:val="right"/>
              <w:rPr>
                <w:rFonts w:eastAsia="Times New Roman" w:cs="Arial"/>
                <w:color w:val="1C1C1C"/>
                <w:sz w:val="16"/>
                <w:szCs w:val="16"/>
                <w:lang w:eastAsia="en-AU"/>
              </w:rPr>
            </w:pPr>
            <w:r w:rsidRPr="00A32EB6">
              <w:rPr>
                <w:rFonts w:cs="Arial"/>
                <w:sz w:val="16"/>
                <w:szCs w:val="16"/>
              </w:rPr>
              <w:t xml:space="preserve">                             407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3BB26816" w14:textId="77777777" w:rsidR="0069297D" w:rsidRPr="00144CE8" w:rsidRDefault="0069297D" w:rsidP="00A32EB6">
            <w:pPr>
              <w:spacing w:before="40" w:after="40" w:line="240" w:lineRule="auto"/>
              <w:jc w:val="right"/>
              <w:rPr>
                <w:rFonts w:eastAsia="Times New Roman" w:cs="Arial"/>
                <w:color w:val="1C1C1C"/>
                <w:sz w:val="16"/>
                <w:szCs w:val="16"/>
                <w:lang w:eastAsia="en-AU"/>
              </w:rPr>
            </w:pPr>
            <w:r w:rsidRPr="00A32EB6">
              <w:rPr>
                <w:rFonts w:cs="Arial"/>
                <w:sz w:val="16"/>
                <w:szCs w:val="16"/>
              </w:rPr>
              <w:t xml:space="preserve">                             421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464FD51B" w14:textId="08A74BF9" w:rsidR="0069297D" w:rsidRPr="00144CE8" w:rsidRDefault="006E0788" w:rsidP="00A32EB6">
            <w:pPr>
              <w:spacing w:before="40" w:after="40" w:line="240" w:lineRule="auto"/>
              <w:jc w:val="right"/>
              <w:rPr>
                <w:rFonts w:eastAsia="Times New Roman" w:cs="Arial"/>
                <w:color w:val="1C1C1C"/>
                <w:sz w:val="16"/>
                <w:szCs w:val="16"/>
                <w:lang w:eastAsia="en-AU"/>
              </w:rPr>
            </w:pPr>
            <w:r w:rsidRPr="00A32EB6">
              <w:rPr>
                <w:rFonts w:cs="Arial"/>
                <w:sz w:val="16"/>
                <w:szCs w:val="16"/>
              </w:rPr>
              <w:t>439</w:t>
            </w:r>
            <w:r w:rsidR="0069297D" w:rsidRPr="00A32EB6">
              <w:rPr>
                <w:rFonts w:cs="Arial"/>
                <w:sz w:val="16"/>
                <w:szCs w:val="16"/>
              </w:rPr>
              <w:t xml:space="preserve"> </w:t>
            </w:r>
          </w:p>
        </w:tc>
      </w:tr>
      <w:tr w:rsidR="0069297D" w:rsidRPr="00492588" w14:paraId="22CBBB7E" w14:textId="77777777">
        <w:trPr>
          <w:trHeight w:val="298"/>
        </w:trPr>
        <w:tc>
          <w:tcPr>
            <w:tcW w:w="3303" w:type="dxa"/>
            <w:tcBorders>
              <w:top w:val="nil"/>
              <w:left w:val="nil"/>
              <w:bottom w:val="nil"/>
              <w:right w:val="single" w:sz="8" w:space="0" w:color="FFFFFF"/>
            </w:tcBorders>
            <w:shd w:val="clear" w:color="000000" w:fill="F2F2F2"/>
            <w:vAlign w:val="center"/>
            <w:hideMark/>
          </w:tcPr>
          <w:p w14:paraId="01530A33" w14:textId="151A475B" w:rsidR="0069297D" w:rsidRPr="00A32EB6" w:rsidRDefault="0069297D" w:rsidP="00A32EB6">
            <w:pPr>
              <w:spacing w:before="40" w:after="40" w:line="240" w:lineRule="auto"/>
              <w:rPr>
                <w:rFonts w:eastAsia="Times New Roman" w:cs="Arial"/>
                <w:color w:val="1C1C1C"/>
                <w:sz w:val="16"/>
                <w:szCs w:val="16"/>
                <w:lang w:eastAsia="en-AU"/>
              </w:rPr>
            </w:pPr>
            <w:r w:rsidRPr="00A32EB6">
              <w:rPr>
                <w:rFonts w:eastAsia="Times New Roman" w:cs="Arial"/>
                <w:color w:val="1C1C1C"/>
                <w:sz w:val="16"/>
                <w:szCs w:val="16"/>
                <w:lang w:eastAsia="en-AU"/>
              </w:rPr>
              <w:t xml:space="preserve"> </w:t>
            </w:r>
            <w:r w:rsidR="006E0788" w:rsidRPr="00A32EB6">
              <w:rPr>
                <w:rFonts w:eastAsia="Times New Roman" w:cs="Arial"/>
                <w:color w:val="1C1C1C"/>
                <w:sz w:val="16"/>
                <w:szCs w:val="16"/>
                <w:lang w:eastAsia="en-AU"/>
              </w:rPr>
              <w:t>Service events</w:t>
            </w:r>
          </w:p>
        </w:tc>
        <w:tc>
          <w:tcPr>
            <w:tcW w:w="2140" w:type="dxa"/>
            <w:tcBorders>
              <w:top w:val="nil"/>
              <w:left w:val="nil"/>
              <w:bottom w:val="nil"/>
              <w:right w:val="single" w:sz="8" w:space="0" w:color="FFFFFF"/>
            </w:tcBorders>
            <w:shd w:val="clear" w:color="000000" w:fill="F2F2F2"/>
            <w:vAlign w:val="center"/>
            <w:hideMark/>
          </w:tcPr>
          <w:p w14:paraId="69BAE5EC" w14:textId="77777777" w:rsidR="0069297D" w:rsidRPr="00144CE8" w:rsidRDefault="0069297D" w:rsidP="00A32EB6">
            <w:pPr>
              <w:spacing w:before="40" w:after="40" w:line="240" w:lineRule="auto"/>
              <w:jc w:val="right"/>
              <w:rPr>
                <w:rFonts w:eastAsia="Times New Roman" w:cs="Arial"/>
                <w:color w:val="1C1C1C"/>
                <w:sz w:val="16"/>
                <w:szCs w:val="16"/>
                <w:lang w:eastAsia="en-AU"/>
              </w:rPr>
            </w:pPr>
            <w:r w:rsidRPr="00A32EB6">
              <w:rPr>
                <w:rFonts w:cs="Arial"/>
                <w:sz w:val="16"/>
                <w:szCs w:val="16"/>
              </w:rPr>
              <w:t xml:space="preserve">                 28,199,096 </w:t>
            </w:r>
          </w:p>
        </w:tc>
        <w:tc>
          <w:tcPr>
            <w:tcW w:w="2140" w:type="dxa"/>
            <w:tcBorders>
              <w:top w:val="nil"/>
              <w:left w:val="nil"/>
              <w:bottom w:val="nil"/>
              <w:right w:val="single" w:sz="8" w:space="0" w:color="FFFFFF"/>
            </w:tcBorders>
            <w:shd w:val="clear" w:color="000000" w:fill="F2F2F2"/>
            <w:vAlign w:val="center"/>
            <w:hideMark/>
          </w:tcPr>
          <w:p w14:paraId="42136CB2" w14:textId="77777777" w:rsidR="0069297D" w:rsidRPr="00144CE8" w:rsidRDefault="0069297D" w:rsidP="00A32EB6">
            <w:pPr>
              <w:spacing w:before="40" w:after="40" w:line="240" w:lineRule="auto"/>
              <w:jc w:val="right"/>
              <w:rPr>
                <w:rFonts w:eastAsia="Times New Roman" w:cs="Arial"/>
                <w:color w:val="1C1C1C"/>
                <w:sz w:val="16"/>
                <w:szCs w:val="16"/>
                <w:lang w:eastAsia="en-AU"/>
              </w:rPr>
            </w:pPr>
            <w:r w:rsidRPr="00A32EB6">
              <w:rPr>
                <w:rFonts w:cs="Arial"/>
                <w:sz w:val="16"/>
                <w:szCs w:val="16"/>
              </w:rPr>
              <w:t xml:space="preserve">                 32,394,791 </w:t>
            </w:r>
          </w:p>
        </w:tc>
        <w:tc>
          <w:tcPr>
            <w:tcW w:w="2140" w:type="dxa"/>
            <w:tcBorders>
              <w:top w:val="nil"/>
              <w:left w:val="nil"/>
              <w:bottom w:val="nil"/>
              <w:right w:val="single" w:sz="8" w:space="0" w:color="FFFFFF"/>
            </w:tcBorders>
            <w:shd w:val="clear" w:color="000000" w:fill="F2F2F2"/>
            <w:vAlign w:val="center"/>
            <w:hideMark/>
          </w:tcPr>
          <w:p w14:paraId="7E3DC56C" w14:textId="2C3034DE" w:rsidR="0069297D" w:rsidRPr="00144CE8" w:rsidRDefault="0069297D" w:rsidP="00A32EB6">
            <w:pPr>
              <w:spacing w:before="40" w:after="40" w:line="240" w:lineRule="auto"/>
              <w:jc w:val="right"/>
              <w:rPr>
                <w:rFonts w:eastAsia="Times New Roman" w:cs="Arial"/>
                <w:color w:val="1C1C1C"/>
                <w:sz w:val="16"/>
                <w:szCs w:val="16"/>
                <w:lang w:eastAsia="en-AU"/>
              </w:rPr>
            </w:pPr>
            <w:r w:rsidRPr="00A32EB6">
              <w:rPr>
                <w:rFonts w:cs="Arial"/>
                <w:sz w:val="16"/>
                <w:szCs w:val="16"/>
              </w:rPr>
              <w:t xml:space="preserve">                 </w:t>
            </w:r>
            <w:r w:rsidR="006E0788" w:rsidRPr="00A32EB6">
              <w:rPr>
                <w:rFonts w:cs="Arial"/>
                <w:sz w:val="16"/>
                <w:szCs w:val="16"/>
              </w:rPr>
              <w:t>27,799,857</w:t>
            </w:r>
            <w:r w:rsidRPr="00A32EB6">
              <w:rPr>
                <w:rFonts w:cs="Arial"/>
                <w:sz w:val="16"/>
                <w:szCs w:val="16"/>
              </w:rPr>
              <w:t xml:space="preserve"> </w:t>
            </w:r>
          </w:p>
        </w:tc>
      </w:tr>
      <w:tr w:rsidR="0069297D" w:rsidRPr="00492588" w14:paraId="4DB2F43C" w14:textId="77777777">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hideMark/>
          </w:tcPr>
          <w:p w14:paraId="7CE4A2F7" w14:textId="7B6018C7" w:rsidR="0069297D" w:rsidRPr="00A32EB6" w:rsidRDefault="0069297D" w:rsidP="00A32EB6">
            <w:pPr>
              <w:spacing w:before="40" w:after="40" w:line="240" w:lineRule="auto"/>
              <w:rPr>
                <w:rFonts w:eastAsia="Times New Roman" w:cs="Arial"/>
                <w:color w:val="1C1C1C"/>
                <w:sz w:val="16"/>
                <w:szCs w:val="16"/>
                <w:lang w:eastAsia="en-AU"/>
              </w:rPr>
            </w:pPr>
            <w:r w:rsidRPr="00A32EB6">
              <w:rPr>
                <w:rFonts w:eastAsia="Times New Roman" w:cs="Arial"/>
                <w:color w:val="1C1C1C"/>
                <w:sz w:val="16"/>
                <w:szCs w:val="16"/>
                <w:lang w:eastAsia="en-AU"/>
              </w:rPr>
              <w:t xml:space="preserve"> </w:t>
            </w:r>
            <w:r w:rsidR="0056356B">
              <w:rPr>
                <w:rFonts w:eastAsia="Times New Roman" w:cs="Arial"/>
                <w:color w:val="1C1C1C"/>
                <w:sz w:val="16"/>
                <w:szCs w:val="16"/>
                <w:lang w:eastAsia="en-AU"/>
              </w:rPr>
              <w:t>C</w:t>
            </w:r>
            <w:r w:rsidRPr="00A32EB6">
              <w:rPr>
                <w:rFonts w:eastAsia="Times New Roman" w:cs="Arial"/>
                <w:color w:val="1C1C1C"/>
                <w:sz w:val="16"/>
                <w:szCs w:val="16"/>
                <w:lang w:eastAsia="en-AU"/>
              </w:rPr>
              <w:t xml:space="preserve">ost ($)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6A4CE7E5" w14:textId="77777777" w:rsidR="0069297D" w:rsidRPr="00144CE8" w:rsidRDefault="0069297D" w:rsidP="00A32EB6">
            <w:pPr>
              <w:spacing w:before="40" w:after="40" w:line="240" w:lineRule="auto"/>
              <w:jc w:val="right"/>
              <w:rPr>
                <w:rFonts w:eastAsia="Times New Roman" w:cs="Arial"/>
                <w:color w:val="1C1C1C"/>
                <w:sz w:val="16"/>
                <w:szCs w:val="16"/>
                <w:lang w:eastAsia="en-AU"/>
              </w:rPr>
            </w:pPr>
            <w:r w:rsidRPr="00A32EB6">
              <w:rPr>
                <w:rFonts w:cs="Arial"/>
                <w:sz w:val="16"/>
                <w:szCs w:val="16"/>
              </w:rPr>
              <w:t xml:space="preserve">            9,627,491,457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23693A4C" w14:textId="77777777" w:rsidR="0069297D" w:rsidRPr="00144CE8" w:rsidRDefault="0069297D" w:rsidP="00A32EB6">
            <w:pPr>
              <w:spacing w:before="40" w:after="40" w:line="240" w:lineRule="auto"/>
              <w:jc w:val="right"/>
              <w:rPr>
                <w:rFonts w:eastAsia="Times New Roman" w:cs="Arial"/>
                <w:color w:val="1C1C1C"/>
                <w:sz w:val="16"/>
                <w:szCs w:val="16"/>
                <w:lang w:eastAsia="en-AU"/>
              </w:rPr>
            </w:pPr>
            <w:r w:rsidRPr="00A32EB6">
              <w:rPr>
                <w:rFonts w:cs="Arial"/>
                <w:sz w:val="16"/>
                <w:szCs w:val="16"/>
              </w:rPr>
              <w:t xml:space="preserve">          10,504,288,028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16EE43FD" w14:textId="5068F513" w:rsidR="0069297D" w:rsidRPr="00144CE8" w:rsidRDefault="006E0788" w:rsidP="00A32EB6">
            <w:pPr>
              <w:spacing w:before="40" w:after="40" w:line="240" w:lineRule="auto"/>
              <w:jc w:val="right"/>
              <w:rPr>
                <w:rFonts w:eastAsia="Times New Roman" w:cs="Arial"/>
                <w:color w:val="1C1C1C"/>
                <w:sz w:val="16"/>
                <w:szCs w:val="16"/>
                <w:lang w:eastAsia="en-AU"/>
              </w:rPr>
            </w:pPr>
            <w:r w:rsidRPr="00A32EB6">
              <w:rPr>
                <w:rFonts w:cs="Arial"/>
                <w:sz w:val="16"/>
                <w:szCs w:val="16"/>
              </w:rPr>
              <w:t>11,194,442,480</w:t>
            </w:r>
            <w:r w:rsidR="0069297D" w:rsidRPr="00A32EB6">
              <w:rPr>
                <w:rFonts w:cs="Arial"/>
                <w:sz w:val="16"/>
                <w:szCs w:val="16"/>
              </w:rPr>
              <w:t xml:space="preserve"> </w:t>
            </w:r>
          </w:p>
        </w:tc>
      </w:tr>
      <w:tr w:rsidR="0069297D" w:rsidRPr="00492588" w14:paraId="64FE62D8" w14:textId="77777777">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hideMark/>
          </w:tcPr>
          <w:p w14:paraId="65508BE5" w14:textId="658EBE3B" w:rsidR="0069297D" w:rsidRPr="00A32EB6" w:rsidRDefault="0069297D" w:rsidP="00A32EB6">
            <w:pPr>
              <w:spacing w:before="40" w:after="40" w:line="240" w:lineRule="auto"/>
              <w:rPr>
                <w:rFonts w:eastAsia="Times New Roman" w:cs="Arial"/>
                <w:color w:val="1C1C1C"/>
                <w:sz w:val="16"/>
                <w:szCs w:val="16"/>
                <w:lang w:eastAsia="en-AU"/>
              </w:rPr>
            </w:pPr>
            <w:r w:rsidRPr="00A32EB6">
              <w:rPr>
                <w:rFonts w:eastAsia="Times New Roman" w:cs="Arial"/>
                <w:color w:val="1C1C1C"/>
                <w:sz w:val="16"/>
                <w:szCs w:val="16"/>
                <w:lang w:eastAsia="en-AU"/>
              </w:rPr>
              <w:t xml:space="preserve"> Average cost per </w:t>
            </w:r>
            <w:r w:rsidR="006E0788" w:rsidRPr="00A32EB6">
              <w:rPr>
                <w:rFonts w:eastAsia="Times New Roman" w:cs="Arial"/>
                <w:color w:val="1C1C1C"/>
                <w:sz w:val="16"/>
                <w:szCs w:val="16"/>
                <w:lang w:eastAsia="en-AU"/>
              </w:rPr>
              <w:t xml:space="preserve">service event </w:t>
            </w:r>
            <w:r w:rsidRPr="00A32EB6">
              <w:rPr>
                <w:rFonts w:eastAsia="Times New Roman" w:cs="Arial"/>
                <w:color w:val="1C1C1C"/>
                <w:sz w:val="16"/>
                <w:szCs w:val="16"/>
                <w:lang w:eastAsia="en-AU"/>
              </w:rPr>
              <w:t xml:space="preserve">($)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5E13B1D2" w14:textId="77777777" w:rsidR="0069297D" w:rsidRPr="00144CE8" w:rsidRDefault="0069297D" w:rsidP="00A32EB6">
            <w:pPr>
              <w:spacing w:before="40" w:after="40" w:line="240" w:lineRule="auto"/>
              <w:jc w:val="right"/>
              <w:rPr>
                <w:rFonts w:eastAsia="Times New Roman" w:cs="Arial"/>
                <w:color w:val="1C1C1C"/>
                <w:sz w:val="16"/>
                <w:szCs w:val="16"/>
                <w:lang w:eastAsia="en-AU"/>
              </w:rPr>
            </w:pPr>
            <w:r w:rsidRPr="00A32EB6">
              <w:rPr>
                <w:rFonts w:cs="Arial"/>
                <w:sz w:val="16"/>
                <w:szCs w:val="16"/>
              </w:rPr>
              <w:t xml:space="preserve">                             341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3499B921" w14:textId="77777777" w:rsidR="0069297D" w:rsidRPr="00144CE8" w:rsidRDefault="0069297D" w:rsidP="00A32EB6">
            <w:pPr>
              <w:spacing w:before="40" w:after="40" w:line="240" w:lineRule="auto"/>
              <w:jc w:val="right"/>
              <w:rPr>
                <w:rFonts w:eastAsia="Times New Roman" w:cs="Arial"/>
                <w:color w:val="1C1C1C"/>
                <w:sz w:val="16"/>
                <w:szCs w:val="16"/>
                <w:lang w:eastAsia="en-AU"/>
              </w:rPr>
            </w:pPr>
            <w:r w:rsidRPr="00A32EB6">
              <w:rPr>
                <w:rFonts w:cs="Arial"/>
                <w:sz w:val="16"/>
                <w:szCs w:val="16"/>
              </w:rPr>
              <w:t xml:space="preserve">                             324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085FF9CA" w14:textId="3024BF97" w:rsidR="0069297D" w:rsidRPr="00144CE8" w:rsidRDefault="0069297D" w:rsidP="00A32EB6">
            <w:pPr>
              <w:spacing w:before="40" w:after="40" w:line="240" w:lineRule="auto"/>
              <w:jc w:val="right"/>
              <w:rPr>
                <w:rFonts w:eastAsia="Times New Roman" w:cs="Arial"/>
                <w:color w:val="1C1C1C"/>
                <w:sz w:val="16"/>
                <w:szCs w:val="16"/>
                <w:lang w:eastAsia="en-AU"/>
              </w:rPr>
            </w:pPr>
            <w:r w:rsidRPr="00A32EB6">
              <w:rPr>
                <w:rFonts w:cs="Arial"/>
                <w:sz w:val="16"/>
                <w:szCs w:val="16"/>
              </w:rPr>
              <w:t xml:space="preserve">                             4</w:t>
            </w:r>
            <w:r w:rsidR="006E0788" w:rsidRPr="00A32EB6">
              <w:rPr>
                <w:rFonts w:cs="Arial"/>
                <w:sz w:val="16"/>
                <w:szCs w:val="16"/>
              </w:rPr>
              <w:t>03</w:t>
            </w:r>
            <w:r w:rsidRPr="00A32EB6">
              <w:rPr>
                <w:rFonts w:cs="Arial"/>
                <w:sz w:val="16"/>
                <w:szCs w:val="16"/>
              </w:rPr>
              <w:t xml:space="preserve"> </w:t>
            </w:r>
          </w:p>
        </w:tc>
      </w:tr>
    </w:tbl>
    <w:p w14:paraId="0E22D59C" w14:textId="77777777" w:rsidR="0069297D" w:rsidRPr="00CE058E" w:rsidRDefault="0069297D" w:rsidP="0069297D">
      <w:pPr>
        <w:spacing w:before="160" w:line="276" w:lineRule="auto"/>
        <w:rPr>
          <w:rFonts w:cs="Arial"/>
          <w:color w:val="auto"/>
        </w:rPr>
      </w:pPr>
    </w:p>
    <w:p w14:paraId="69696CAE" w14:textId="77777777" w:rsidR="0069297D" w:rsidRPr="00CE058E" w:rsidRDefault="0069297D" w:rsidP="0069297D">
      <w:pPr>
        <w:spacing w:line="259" w:lineRule="auto"/>
        <w:rPr>
          <w:rFonts w:cs="Arial"/>
        </w:rPr>
      </w:pPr>
      <w:r w:rsidRPr="00CE058E">
        <w:rPr>
          <w:rFonts w:cs="Arial"/>
        </w:rPr>
        <w:br w:type="page"/>
      </w:r>
    </w:p>
    <w:p w14:paraId="0C7B3318" w14:textId="5E92EF98" w:rsidR="0069297D" w:rsidRPr="00CE058E" w:rsidRDefault="0069297D" w:rsidP="0069297D">
      <w:pPr>
        <w:pStyle w:val="Heading2"/>
      </w:pPr>
      <w:bookmarkStart w:id="291" w:name="_Toc151129715"/>
      <w:bookmarkStart w:id="292" w:name="_Toc158882566"/>
      <w:bookmarkStart w:id="293" w:name="_Toc158882627"/>
      <w:bookmarkStart w:id="294" w:name="_Toc144215463"/>
      <w:bookmarkStart w:id="295" w:name="_Toc144967669"/>
      <w:r w:rsidRPr="00CE058E">
        <w:lastRenderedPageBreak/>
        <w:t xml:space="preserve">Non-admitted </w:t>
      </w:r>
      <w:bookmarkEnd w:id="291"/>
      <w:bookmarkEnd w:id="292"/>
      <w:bookmarkEnd w:id="293"/>
      <w:r w:rsidR="006E0788">
        <w:t xml:space="preserve">service events </w:t>
      </w:r>
      <w:r w:rsidR="007F7EEF">
        <w:t>sample</w:t>
      </w:r>
    </w:p>
    <w:p w14:paraId="3AB825AA" w14:textId="111C2056" w:rsidR="0034630D" w:rsidRPr="0008798E" w:rsidRDefault="0034630D" w:rsidP="00530E79">
      <w:pPr>
        <w:spacing w:before="240" w:line="276" w:lineRule="auto"/>
        <w:rPr>
          <w:lang w:val="en-PH"/>
        </w:rPr>
      </w:pPr>
      <w:r w:rsidRPr="0008798E">
        <w:rPr>
          <w:rFonts w:cs="Arial"/>
        </w:rPr>
        <w:t xml:space="preserve">In 2022-23, </w:t>
      </w:r>
      <w:r w:rsidR="00385876" w:rsidRPr="0008798E">
        <w:rPr>
          <w:rFonts w:cs="Arial"/>
        </w:rPr>
        <w:t>96</w:t>
      </w:r>
      <w:r w:rsidRPr="0008798E">
        <w:rPr>
          <w:rFonts w:cs="Arial"/>
        </w:rPr>
        <w:t xml:space="preserve">% of the NHCDC </w:t>
      </w:r>
      <w:r w:rsidR="00EF6E6E" w:rsidRPr="0008798E">
        <w:rPr>
          <w:rFonts w:cs="Arial"/>
        </w:rPr>
        <w:t xml:space="preserve">non-admitted service event </w:t>
      </w:r>
      <w:r w:rsidRPr="0008798E">
        <w:rPr>
          <w:rFonts w:cs="Arial"/>
        </w:rPr>
        <w:t>records were linked to activity and in</w:t>
      </w:r>
      <w:r w:rsidRPr="0008798E">
        <w:rPr>
          <w:rFonts w:cs="Arial"/>
        </w:rPr>
        <w:noBreakHyphen/>
        <w:t xml:space="preserve">scope for NHCDC reporting. </w:t>
      </w:r>
      <w:r w:rsidR="002E1B12" w:rsidRPr="00303546">
        <w:rPr>
          <w:rStyle w:val="Cross-referenceChar"/>
        </w:rPr>
        <w:fldChar w:fldCharType="begin"/>
      </w:r>
      <w:r w:rsidR="002E1B12" w:rsidRPr="00303546">
        <w:rPr>
          <w:rStyle w:val="Cross-referenceChar"/>
        </w:rPr>
        <w:instrText xml:space="preserve"> REF _Ref185843922 \h </w:instrText>
      </w:r>
      <w:r w:rsidR="002E1B12" w:rsidRPr="0008798E">
        <w:rPr>
          <w:rStyle w:val="Cross-referenceChar"/>
        </w:rPr>
        <w:instrText xml:space="preserve"> \* MERGEFORMAT </w:instrText>
      </w:r>
      <w:r w:rsidR="002E1B12" w:rsidRPr="00303546">
        <w:rPr>
          <w:rStyle w:val="Cross-referenceChar"/>
        </w:rPr>
      </w:r>
      <w:r w:rsidR="002E1B12" w:rsidRPr="00303546">
        <w:rPr>
          <w:rStyle w:val="Cross-referenceChar"/>
        </w:rPr>
        <w:fldChar w:fldCharType="separate"/>
      </w:r>
      <w:r w:rsidR="002E1B12" w:rsidRPr="00303546">
        <w:rPr>
          <w:rStyle w:val="Cross-referenceChar"/>
        </w:rPr>
        <w:t>Table 19</w:t>
      </w:r>
      <w:r w:rsidR="002E1B12" w:rsidRPr="00303546">
        <w:rPr>
          <w:rStyle w:val="Cross-referenceChar"/>
        </w:rPr>
        <w:fldChar w:fldCharType="end"/>
      </w:r>
      <w:r w:rsidR="00385876" w:rsidRPr="0008798E">
        <w:rPr>
          <w:rFonts w:cs="Arial"/>
        </w:rPr>
        <w:t xml:space="preserve"> </w:t>
      </w:r>
      <w:r w:rsidRPr="0008798E">
        <w:rPr>
          <w:rFonts w:cs="Arial"/>
        </w:rPr>
        <w:t xml:space="preserve">shows the number of in-scope </w:t>
      </w:r>
      <w:r w:rsidR="003A549C">
        <w:rPr>
          <w:rFonts w:cs="Arial"/>
        </w:rPr>
        <w:t xml:space="preserve">NHCDC records </w:t>
      </w:r>
      <w:r w:rsidR="00385876" w:rsidRPr="0008798E">
        <w:rPr>
          <w:rFonts w:cs="Arial"/>
        </w:rPr>
        <w:t xml:space="preserve">and </w:t>
      </w:r>
      <w:r w:rsidR="003A549C">
        <w:rPr>
          <w:rFonts w:cs="Arial"/>
        </w:rPr>
        <w:t xml:space="preserve">ABF </w:t>
      </w:r>
      <w:r w:rsidRPr="0008798E">
        <w:rPr>
          <w:rFonts w:cs="Arial"/>
        </w:rPr>
        <w:t>activity,</w:t>
      </w:r>
      <w:r w:rsidR="00075FA6" w:rsidRPr="0008798E">
        <w:rPr>
          <w:rFonts w:cs="Arial"/>
        </w:rPr>
        <w:t xml:space="preserve"> and the proportion of costed activity</w:t>
      </w:r>
      <w:r w:rsidRPr="0008798E">
        <w:rPr>
          <w:rFonts w:cs="Arial"/>
        </w:rPr>
        <w:t xml:space="preserve"> from 2021-22 to </w:t>
      </w:r>
      <w:r w:rsidRPr="0008798E">
        <w:rPr>
          <w:rFonts w:cs="Arial"/>
          <w:lang w:val="en-PH"/>
        </w:rPr>
        <w:t>2022-23</w:t>
      </w:r>
      <w:r w:rsidRPr="0008798E">
        <w:rPr>
          <w:rFonts w:cs="Arial"/>
        </w:rPr>
        <w:t>.</w:t>
      </w:r>
      <w:r w:rsidR="00385876" w:rsidRPr="0008798E">
        <w:rPr>
          <w:rFonts w:cs="Arial"/>
        </w:rPr>
        <w:t xml:space="preserve"> </w:t>
      </w:r>
      <w:r w:rsidR="00410D79" w:rsidRPr="0008798E">
        <w:rPr>
          <w:rFonts w:cs="Arial"/>
        </w:rPr>
        <w:t>In 2022-23, nationally 81% of in-scope activity was linked to cost (</w:t>
      </w:r>
      <w:r w:rsidR="004B5600" w:rsidRPr="0008798E">
        <w:rPr>
          <w:rFonts w:cs="Arial"/>
        </w:rPr>
        <w:t>c</w:t>
      </w:r>
      <w:r w:rsidR="00410D79" w:rsidRPr="0008798E">
        <w:rPr>
          <w:rFonts w:cs="Arial"/>
        </w:rPr>
        <w:t xml:space="preserve">osted </w:t>
      </w:r>
      <w:r w:rsidR="00BF4A69" w:rsidRPr="0008798E">
        <w:rPr>
          <w:rFonts w:cs="Arial"/>
        </w:rPr>
        <w:t>a</w:t>
      </w:r>
      <w:r w:rsidR="00410D79" w:rsidRPr="0008798E">
        <w:rPr>
          <w:rFonts w:cs="Arial"/>
        </w:rPr>
        <w:t>ctivity %)</w:t>
      </w:r>
      <w:r w:rsidR="00410D79" w:rsidRPr="0008798E">
        <w:t>, an increase from 73% in 2021-22.</w:t>
      </w:r>
    </w:p>
    <w:p w14:paraId="2A64CE6E" w14:textId="7C6590FD" w:rsidR="0069297D" w:rsidRPr="0093558C" w:rsidRDefault="0069297D" w:rsidP="00303546">
      <w:pPr>
        <w:pStyle w:val="TableFigureheading"/>
        <w:rPr>
          <w:lang w:val="en-PH"/>
        </w:rPr>
      </w:pPr>
      <w:bookmarkStart w:id="296" w:name="_Ref185843922"/>
      <w:bookmarkStart w:id="297" w:name="_Toc149650915"/>
      <w:bookmarkStart w:id="298" w:name="_Toc151370040"/>
      <w:bookmarkStart w:id="299" w:name="_Toc185852226"/>
      <w:bookmarkStart w:id="300" w:name="_Toc187312145"/>
      <w:r w:rsidRPr="0093558C">
        <w:rPr>
          <w:lang w:val="en-PH"/>
        </w:rPr>
        <w:t xml:space="preserve">Table </w:t>
      </w:r>
      <w:r w:rsidRPr="0093558C">
        <w:rPr>
          <w:iCs w:val="0"/>
          <w:lang w:val="en-PH"/>
        </w:rPr>
        <w:fldChar w:fldCharType="begin"/>
      </w:r>
      <w:r w:rsidRPr="0093558C">
        <w:rPr>
          <w:lang w:val="en-PH"/>
        </w:rPr>
        <w:instrText xml:space="preserve"> SEQ Table \* ARABIC </w:instrText>
      </w:r>
      <w:r w:rsidRPr="0093558C">
        <w:rPr>
          <w:iCs w:val="0"/>
          <w:lang w:val="en-PH"/>
        </w:rPr>
        <w:fldChar w:fldCharType="separate"/>
      </w:r>
      <w:r w:rsidR="00A9792C">
        <w:rPr>
          <w:noProof/>
          <w:lang w:val="en-PH"/>
        </w:rPr>
        <w:t>19</w:t>
      </w:r>
      <w:r w:rsidRPr="0093558C">
        <w:rPr>
          <w:iCs w:val="0"/>
          <w:lang w:val="en-PH"/>
        </w:rPr>
        <w:fldChar w:fldCharType="end"/>
      </w:r>
      <w:bookmarkEnd w:id="296"/>
      <w:r w:rsidRPr="0093558C">
        <w:rPr>
          <w:lang w:val="en-PH"/>
        </w:rPr>
        <w:t xml:space="preserve">: </w:t>
      </w:r>
      <w:bookmarkStart w:id="301" w:name="_Hlk146653869"/>
      <w:r w:rsidR="00BE7D92" w:rsidRPr="00303546">
        <w:rPr>
          <w:rFonts w:cstheme="majorBidi"/>
          <w:szCs w:val="22"/>
          <w:lang w:val="en-PH"/>
        </w:rPr>
        <w:t xml:space="preserve">Non-admitted </w:t>
      </w:r>
      <w:r w:rsidR="00B27A0B">
        <w:rPr>
          <w:lang w:val="en-PH"/>
        </w:rPr>
        <w:t xml:space="preserve">sample summary </w:t>
      </w:r>
      <w:r w:rsidR="00B27A0B" w:rsidRPr="00303546">
        <w:t>by</w:t>
      </w:r>
      <w:r w:rsidR="00B27A0B">
        <w:rPr>
          <w:lang w:val="en-PH"/>
        </w:rPr>
        <w:t xml:space="preserve"> </w:t>
      </w:r>
      <w:r w:rsidR="00B27A0B" w:rsidRPr="00303546">
        <w:t>jurisdiction</w:t>
      </w:r>
      <w:r w:rsidR="007F7EEF">
        <w:rPr>
          <w:lang w:val="en-PH"/>
        </w:rPr>
        <w:t>,</w:t>
      </w:r>
      <w:r w:rsidR="00C3787D">
        <w:rPr>
          <w:lang w:val="en-PH"/>
        </w:rPr>
        <w:t xml:space="preserve"> </w:t>
      </w:r>
      <w:r w:rsidRPr="00D73FCC">
        <w:rPr>
          <w:lang w:val="en-PH"/>
        </w:rPr>
        <w:t>2020-21</w:t>
      </w:r>
      <w:r w:rsidRPr="0093558C">
        <w:rPr>
          <w:lang w:val="en-PH"/>
        </w:rPr>
        <w:t xml:space="preserve"> to </w:t>
      </w:r>
      <w:r w:rsidRPr="008B2CD8">
        <w:rPr>
          <w:lang w:val="en-PH"/>
        </w:rPr>
        <w:t>202</w:t>
      </w:r>
      <w:r>
        <w:rPr>
          <w:lang w:val="en-PH"/>
        </w:rPr>
        <w:t>2</w:t>
      </w:r>
      <w:r w:rsidRPr="008B2CD8">
        <w:rPr>
          <w:lang w:val="en-PH"/>
        </w:rPr>
        <w:t>-2</w:t>
      </w:r>
      <w:r>
        <w:rPr>
          <w:lang w:val="en-PH"/>
        </w:rPr>
        <w:t>3</w:t>
      </w:r>
      <w:bookmarkEnd w:id="297"/>
      <w:bookmarkEnd w:id="298"/>
      <w:bookmarkEnd w:id="299"/>
      <w:bookmarkEnd w:id="300"/>
      <w:bookmarkEnd w:id="301"/>
    </w:p>
    <w:tbl>
      <w:tblPr>
        <w:tblW w:w="9923" w:type="dxa"/>
        <w:tblLayout w:type="fixed"/>
        <w:tblLook w:val="04A0" w:firstRow="1" w:lastRow="0" w:firstColumn="1" w:lastColumn="0" w:noHBand="0" w:noVBand="1"/>
      </w:tblPr>
      <w:tblGrid>
        <w:gridCol w:w="1123"/>
        <w:gridCol w:w="1017"/>
        <w:gridCol w:w="1017"/>
        <w:gridCol w:w="1017"/>
        <w:gridCol w:w="1017"/>
        <w:gridCol w:w="1017"/>
        <w:gridCol w:w="1017"/>
        <w:gridCol w:w="855"/>
        <w:gridCol w:w="992"/>
        <w:gridCol w:w="851"/>
      </w:tblGrid>
      <w:tr w:rsidR="003A549C" w:rsidRPr="009A703F" w14:paraId="2A97BD52" w14:textId="77777777" w:rsidTr="00530E79">
        <w:trPr>
          <w:trHeight w:val="290"/>
        </w:trPr>
        <w:tc>
          <w:tcPr>
            <w:tcW w:w="1123" w:type="dxa"/>
            <w:vMerge w:val="restart"/>
            <w:tcBorders>
              <w:top w:val="nil"/>
              <w:left w:val="nil"/>
              <w:bottom w:val="single" w:sz="8" w:space="0" w:color="D9D9D9"/>
              <w:right w:val="single" w:sz="8" w:space="0" w:color="FFFFFF"/>
            </w:tcBorders>
            <w:shd w:val="clear" w:color="000000" w:fill="15272F"/>
            <w:vAlign w:val="center"/>
            <w:hideMark/>
          </w:tcPr>
          <w:p w14:paraId="78502C19" w14:textId="77777777" w:rsidR="003A549C" w:rsidRPr="009A703F" w:rsidRDefault="003A549C" w:rsidP="003A549C">
            <w:pPr>
              <w:spacing w:before="40" w:after="40" w:line="240" w:lineRule="auto"/>
              <w:jc w:val="center"/>
              <w:rPr>
                <w:rFonts w:eastAsia="Times New Roman" w:cs="Arial"/>
                <w:b/>
                <w:bCs/>
                <w:color w:val="FFFFFF"/>
                <w:sz w:val="16"/>
                <w:szCs w:val="16"/>
                <w:lang w:eastAsia="en-AU"/>
              </w:rPr>
            </w:pPr>
            <w:r w:rsidRPr="009A703F">
              <w:rPr>
                <w:rFonts w:eastAsia="Times New Roman" w:cs="Arial"/>
                <w:b/>
                <w:bCs/>
                <w:color w:val="FFFFFF"/>
                <w:sz w:val="16"/>
                <w:szCs w:val="16"/>
                <w:lang w:eastAsia="en-AU"/>
              </w:rPr>
              <w:t>Jurisdiction</w:t>
            </w:r>
          </w:p>
        </w:tc>
        <w:tc>
          <w:tcPr>
            <w:tcW w:w="3051" w:type="dxa"/>
            <w:gridSpan w:val="3"/>
            <w:tcBorders>
              <w:top w:val="single" w:sz="8" w:space="0" w:color="auto"/>
              <w:left w:val="nil"/>
              <w:bottom w:val="single" w:sz="8" w:space="0" w:color="FFFFFF"/>
              <w:right w:val="single" w:sz="8" w:space="0" w:color="FFFFFF"/>
            </w:tcBorders>
            <w:shd w:val="clear" w:color="000000" w:fill="15272F"/>
            <w:vAlign w:val="center"/>
            <w:hideMark/>
          </w:tcPr>
          <w:p w14:paraId="36B8A8A1" w14:textId="2E5802B5" w:rsidR="003A549C" w:rsidRPr="009A703F"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In-scope</w:t>
            </w:r>
            <w:r>
              <w:rPr>
                <w:rFonts w:eastAsia="Times New Roman" w:cs="Arial"/>
                <w:b/>
                <w:bCs/>
                <w:color w:val="FFFFFF" w:themeColor="background2"/>
                <w:sz w:val="16"/>
                <w:szCs w:val="16"/>
                <w:lang w:eastAsia="en-AU"/>
              </w:rPr>
              <w:t xml:space="preserve"> NHCDC</w:t>
            </w:r>
            <w:r w:rsidRPr="00F61D59">
              <w:rPr>
                <w:rFonts w:eastAsia="Times New Roman" w:cs="Arial"/>
                <w:b/>
                <w:bCs/>
                <w:color w:val="FFFFFF" w:themeColor="background2"/>
                <w:sz w:val="16"/>
                <w:szCs w:val="16"/>
                <w:lang w:eastAsia="en-AU"/>
              </w:rPr>
              <w:t xml:space="preserve"> </w:t>
            </w:r>
            <w:r>
              <w:rPr>
                <w:rFonts w:eastAsia="Times New Roman" w:cs="Arial"/>
                <w:b/>
                <w:bCs/>
                <w:color w:val="FFFFFF" w:themeColor="background2"/>
                <w:sz w:val="16"/>
                <w:szCs w:val="16"/>
                <w:lang w:eastAsia="en-AU"/>
              </w:rPr>
              <w:t>r</w:t>
            </w:r>
            <w:r w:rsidRPr="00F61D59">
              <w:rPr>
                <w:rFonts w:eastAsia="Times New Roman" w:cs="Arial"/>
                <w:b/>
                <w:bCs/>
                <w:color w:val="FFFFFF" w:themeColor="background2"/>
                <w:sz w:val="16"/>
                <w:szCs w:val="16"/>
                <w:lang w:eastAsia="en-AU"/>
              </w:rPr>
              <w:t>ecords</w:t>
            </w:r>
          </w:p>
        </w:tc>
        <w:tc>
          <w:tcPr>
            <w:tcW w:w="3051" w:type="dxa"/>
            <w:gridSpan w:val="3"/>
            <w:tcBorders>
              <w:top w:val="single" w:sz="8" w:space="0" w:color="auto"/>
              <w:left w:val="nil"/>
              <w:bottom w:val="single" w:sz="8" w:space="0" w:color="FFFFFF"/>
              <w:right w:val="single" w:sz="4" w:space="0" w:color="FFFFFF" w:themeColor="background2"/>
            </w:tcBorders>
            <w:shd w:val="clear" w:color="000000" w:fill="15272F"/>
            <w:vAlign w:val="center"/>
            <w:hideMark/>
          </w:tcPr>
          <w:p w14:paraId="6529F18B" w14:textId="016CA2E3" w:rsidR="003A549C" w:rsidRPr="009A703F"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 xml:space="preserve">In-scope </w:t>
            </w:r>
            <w:r>
              <w:rPr>
                <w:rFonts w:eastAsia="Times New Roman" w:cs="Arial"/>
                <w:b/>
                <w:bCs/>
                <w:color w:val="FFFFFF" w:themeColor="background2"/>
                <w:sz w:val="16"/>
                <w:szCs w:val="16"/>
                <w:lang w:eastAsia="en-AU"/>
              </w:rPr>
              <w:t>ABF activity</w:t>
            </w:r>
          </w:p>
        </w:tc>
        <w:tc>
          <w:tcPr>
            <w:tcW w:w="2698" w:type="dxa"/>
            <w:gridSpan w:val="3"/>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15243F29" w14:textId="41AF69F6" w:rsidR="003A549C" w:rsidRPr="009A703F" w:rsidRDefault="003A549C" w:rsidP="003A549C">
            <w:pPr>
              <w:spacing w:before="40" w:after="40" w:line="240" w:lineRule="auto"/>
              <w:jc w:val="center"/>
              <w:rPr>
                <w:rFonts w:eastAsia="Times New Roman" w:cs="Arial"/>
                <w:b/>
                <w:bCs/>
                <w:color w:val="FFFFFF"/>
                <w:sz w:val="16"/>
                <w:szCs w:val="16"/>
                <w:lang w:eastAsia="en-AU"/>
              </w:rPr>
            </w:pPr>
            <w:r w:rsidRPr="00657489">
              <w:rPr>
                <w:rFonts w:eastAsia="Times New Roman" w:cs="Arial"/>
                <w:b/>
                <w:bCs/>
                <w:color w:val="FFFFFF" w:themeColor="background2"/>
                <w:sz w:val="16"/>
                <w:szCs w:val="16"/>
                <w:lang w:eastAsia="en-AU"/>
              </w:rPr>
              <w:t xml:space="preserve">Costed </w:t>
            </w:r>
            <w:r>
              <w:rPr>
                <w:rFonts w:eastAsia="Times New Roman" w:cs="Arial"/>
                <w:b/>
                <w:bCs/>
                <w:color w:val="FFFFFF" w:themeColor="background2"/>
                <w:sz w:val="16"/>
                <w:szCs w:val="16"/>
                <w:lang w:eastAsia="en-AU"/>
              </w:rPr>
              <w:t>a</w:t>
            </w:r>
            <w:r w:rsidRPr="00657489">
              <w:rPr>
                <w:rFonts w:eastAsia="Times New Roman" w:cs="Arial"/>
                <w:b/>
                <w:bCs/>
                <w:color w:val="FFFFFF" w:themeColor="background2"/>
                <w:sz w:val="16"/>
                <w:szCs w:val="16"/>
                <w:lang w:eastAsia="en-AU"/>
              </w:rPr>
              <w:t>ctivity (%)</w:t>
            </w:r>
          </w:p>
        </w:tc>
      </w:tr>
      <w:tr w:rsidR="0069297D" w:rsidRPr="009A703F" w14:paraId="7A3E877B" w14:textId="77777777" w:rsidTr="00530E79">
        <w:trPr>
          <w:trHeight w:val="290"/>
        </w:trPr>
        <w:tc>
          <w:tcPr>
            <w:tcW w:w="1123" w:type="dxa"/>
            <w:vMerge/>
            <w:tcBorders>
              <w:top w:val="nil"/>
              <w:left w:val="nil"/>
              <w:bottom w:val="single" w:sz="8" w:space="0" w:color="D9D9D9"/>
              <w:right w:val="single" w:sz="8" w:space="0" w:color="FFFFFF"/>
            </w:tcBorders>
            <w:vAlign w:val="center"/>
            <w:hideMark/>
          </w:tcPr>
          <w:p w14:paraId="1A46B9D3" w14:textId="77777777" w:rsidR="0069297D" w:rsidRPr="009A703F" w:rsidRDefault="0069297D" w:rsidP="00A32EB6">
            <w:pPr>
              <w:spacing w:before="40" w:after="40" w:line="240" w:lineRule="auto"/>
              <w:rPr>
                <w:rFonts w:eastAsia="Times New Roman" w:cs="Arial"/>
                <w:b/>
                <w:bCs/>
                <w:color w:val="FFFFFF"/>
                <w:sz w:val="16"/>
                <w:szCs w:val="16"/>
                <w:lang w:eastAsia="en-AU"/>
              </w:rPr>
            </w:pPr>
          </w:p>
        </w:tc>
        <w:tc>
          <w:tcPr>
            <w:tcW w:w="1017" w:type="dxa"/>
            <w:tcBorders>
              <w:top w:val="nil"/>
              <w:left w:val="nil"/>
              <w:bottom w:val="single" w:sz="8" w:space="0" w:color="D9D9D9"/>
              <w:right w:val="single" w:sz="8" w:space="0" w:color="FFFFFF"/>
            </w:tcBorders>
            <w:shd w:val="clear" w:color="000000" w:fill="15272F"/>
            <w:vAlign w:val="center"/>
            <w:hideMark/>
          </w:tcPr>
          <w:p w14:paraId="26538E9F" w14:textId="77777777" w:rsidR="0069297D" w:rsidRPr="009A703F" w:rsidRDefault="0069297D" w:rsidP="00A32EB6">
            <w:pPr>
              <w:spacing w:before="40" w:after="40" w:line="240" w:lineRule="auto"/>
              <w:jc w:val="center"/>
              <w:rPr>
                <w:rFonts w:eastAsia="Times New Roman" w:cs="Arial"/>
                <w:b/>
                <w:bCs/>
                <w:color w:val="FFFFFF"/>
                <w:sz w:val="16"/>
                <w:szCs w:val="16"/>
                <w:lang w:eastAsia="en-AU"/>
              </w:rPr>
            </w:pPr>
            <w:r w:rsidRPr="009A703F">
              <w:rPr>
                <w:rFonts w:eastAsia="Times New Roman" w:cs="Arial"/>
                <w:b/>
                <w:bCs/>
                <w:color w:val="FFFFFF"/>
                <w:sz w:val="16"/>
                <w:szCs w:val="16"/>
                <w:lang w:eastAsia="en-AU"/>
              </w:rPr>
              <w:t>2020-21</w:t>
            </w:r>
          </w:p>
        </w:tc>
        <w:tc>
          <w:tcPr>
            <w:tcW w:w="1017" w:type="dxa"/>
            <w:tcBorders>
              <w:top w:val="nil"/>
              <w:left w:val="nil"/>
              <w:bottom w:val="single" w:sz="8" w:space="0" w:color="D9D9D9"/>
              <w:right w:val="single" w:sz="8" w:space="0" w:color="FFFFFF"/>
            </w:tcBorders>
            <w:shd w:val="clear" w:color="000000" w:fill="15272F"/>
            <w:vAlign w:val="center"/>
            <w:hideMark/>
          </w:tcPr>
          <w:p w14:paraId="6E9341BA" w14:textId="77777777" w:rsidR="0069297D" w:rsidRPr="009A703F" w:rsidRDefault="0069297D" w:rsidP="00A32EB6">
            <w:pPr>
              <w:spacing w:before="40" w:after="40" w:line="240" w:lineRule="auto"/>
              <w:jc w:val="center"/>
              <w:rPr>
                <w:rFonts w:eastAsia="Times New Roman" w:cs="Arial"/>
                <w:b/>
                <w:bCs/>
                <w:color w:val="FFFFFF"/>
                <w:sz w:val="16"/>
                <w:szCs w:val="16"/>
                <w:lang w:eastAsia="en-AU"/>
              </w:rPr>
            </w:pPr>
            <w:r w:rsidRPr="009A703F">
              <w:rPr>
                <w:rFonts w:eastAsia="Times New Roman" w:cs="Arial"/>
                <w:b/>
                <w:bCs/>
                <w:color w:val="FFFFFF"/>
                <w:sz w:val="16"/>
                <w:szCs w:val="16"/>
                <w:lang w:eastAsia="en-AU"/>
              </w:rPr>
              <w:t>2021-22</w:t>
            </w:r>
          </w:p>
        </w:tc>
        <w:tc>
          <w:tcPr>
            <w:tcW w:w="1017" w:type="dxa"/>
            <w:tcBorders>
              <w:top w:val="nil"/>
              <w:left w:val="nil"/>
              <w:bottom w:val="single" w:sz="8" w:space="0" w:color="D9D9D9"/>
              <w:right w:val="single" w:sz="8" w:space="0" w:color="FFFFFF"/>
            </w:tcBorders>
            <w:shd w:val="clear" w:color="000000" w:fill="15272F"/>
            <w:vAlign w:val="center"/>
            <w:hideMark/>
          </w:tcPr>
          <w:p w14:paraId="224D5FDA" w14:textId="77777777" w:rsidR="0069297D" w:rsidRPr="009A703F" w:rsidRDefault="0069297D" w:rsidP="00A32EB6">
            <w:pPr>
              <w:spacing w:before="40" w:after="40" w:line="240" w:lineRule="auto"/>
              <w:jc w:val="center"/>
              <w:rPr>
                <w:rFonts w:eastAsia="Times New Roman" w:cs="Arial"/>
                <w:b/>
                <w:bCs/>
                <w:color w:val="FFFFFF"/>
                <w:sz w:val="16"/>
                <w:szCs w:val="16"/>
                <w:lang w:eastAsia="en-AU"/>
              </w:rPr>
            </w:pPr>
            <w:r w:rsidRPr="009A703F">
              <w:rPr>
                <w:rFonts w:eastAsia="Times New Roman" w:cs="Arial"/>
                <w:b/>
                <w:bCs/>
                <w:color w:val="FFFFFF"/>
                <w:sz w:val="16"/>
                <w:szCs w:val="16"/>
                <w:lang w:eastAsia="en-AU"/>
              </w:rPr>
              <w:t>2022-23</w:t>
            </w:r>
          </w:p>
        </w:tc>
        <w:tc>
          <w:tcPr>
            <w:tcW w:w="1017" w:type="dxa"/>
            <w:tcBorders>
              <w:top w:val="nil"/>
              <w:left w:val="nil"/>
              <w:bottom w:val="single" w:sz="8" w:space="0" w:color="D9D9D9"/>
              <w:right w:val="single" w:sz="8" w:space="0" w:color="FFFFFF"/>
            </w:tcBorders>
            <w:shd w:val="clear" w:color="000000" w:fill="15272F"/>
            <w:vAlign w:val="center"/>
            <w:hideMark/>
          </w:tcPr>
          <w:p w14:paraId="0D62FB9A" w14:textId="77777777" w:rsidR="0069297D" w:rsidRPr="009A703F" w:rsidRDefault="0069297D" w:rsidP="00A32EB6">
            <w:pPr>
              <w:spacing w:before="40" w:after="40" w:line="240" w:lineRule="auto"/>
              <w:jc w:val="center"/>
              <w:rPr>
                <w:rFonts w:eastAsia="Times New Roman" w:cs="Arial"/>
                <w:b/>
                <w:bCs/>
                <w:color w:val="FFFFFF"/>
                <w:sz w:val="16"/>
                <w:szCs w:val="16"/>
                <w:lang w:eastAsia="en-AU"/>
              </w:rPr>
            </w:pPr>
            <w:r w:rsidRPr="009A703F">
              <w:rPr>
                <w:rFonts w:eastAsia="Times New Roman" w:cs="Arial"/>
                <w:b/>
                <w:bCs/>
                <w:color w:val="FFFFFF"/>
                <w:sz w:val="16"/>
                <w:szCs w:val="16"/>
                <w:lang w:eastAsia="en-AU"/>
              </w:rPr>
              <w:t>2020-21</w:t>
            </w:r>
          </w:p>
        </w:tc>
        <w:tc>
          <w:tcPr>
            <w:tcW w:w="1017" w:type="dxa"/>
            <w:tcBorders>
              <w:top w:val="nil"/>
              <w:left w:val="nil"/>
              <w:bottom w:val="single" w:sz="8" w:space="0" w:color="D9D9D9"/>
              <w:right w:val="single" w:sz="8" w:space="0" w:color="FFFFFF"/>
            </w:tcBorders>
            <w:shd w:val="clear" w:color="000000" w:fill="15272F"/>
            <w:vAlign w:val="center"/>
            <w:hideMark/>
          </w:tcPr>
          <w:p w14:paraId="295AE869" w14:textId="77777777" w:rsidR="0069297D" w:rsidRPr="009A703F" w:rsidRDefault="0069297D" w:rsidP="00A32EB6">
            <w:pPr>
              <w:spacing w:before="40" w:after="40" w:line="240" w:lineRule="auto"/>
              <w:jc w:val="center"/>
              <w:rPr>
                <w:rFonts w:eastAsia="Times New Roman" w:cs="Arial"/>
                <w:b/>
                <w:bCs/>
                <w:color w:val="FFFFFF"/>
                <w:sz w:val="16"/>
                <w:szCs w:val="16"/>
                <w:lang w:eastAsia="en-AU"/>
              </w:rPr>
            </w:pPr>
            <w:r w:rsidRPr="009A703F">
              <w:rPr>
                <w:rFonts w:eastAsia="Times New Roman" w:cs="Arial"/>
                <w:b/>
                <w:bCs/>
                <w:color w:val="FFFFFF"/>
                <w:sz w:val="16"/>
                <w:szCs w:val="16"/>
                <w:lang w:eastAsia="en-AU"/>
              </w:rPr>
              <w:t>2021-22</w:t>
            </w:r>
          </w:p>
        </w:tc>
        <w:tc>
          <w:tcPr>
            <w:tcW w:w="1017" w:type="dxa"/>
            <w:tcBorders>
              <w:top w:val="nil"/>
              <w:left w:val="nil"/>
              <w:bottom w:val="single" w:sz="8" w:space="0" w:color="D9D9D9"/>
              <w:right w:val="single" w:sz="8" w:space="0" w:color="FFFFFF"/>
            </w:tcBorders>
            <w:shd w:val="clear" w:color="000000" w:fill="15272F"/>
            <w:vAlign w:val="center"/>
            <w:hideMark/>
          </w:tcPr>
          <w:p w14:paraId="1F92D718" w14:textId="77777777" w:rsidR="0069297D" w:rsidRPr="009A703F" w:rsidRDefault="0069297D" w:rsidP="00A32EB6">
            <w:pPr>
              <w:spacing w:before="40" w:after="40" w:line="240" w:lineRule="auto"/>
              <w:jc w:val="center"/>
              <w:rPr>
                <w:rFonts w:eastAsia="Times New Roman" w:cs="Arial"/>
                <w:b/>
                <w:bCs/>
                <w:color w:val="FFFFFF"/>
                <w:sz w:val="16"/>
                <w:szCs w:val="16"/>
                <w:lang w:eastAsia="en-AU"/>
              </w:rPr>
            </w:pPr>
            <w:r w:rsidRPr="009A703F">
              <w:rPr>
                <w:rFonts w:eastAsia="Times New Roman" w:cs="Arial"/>
                <w:b/>
                <w:bCs/>
                <w:color w:val="FFFFFF"/>
                <w:sz w:val="16"/>
                <w:szCs w:val="16"/>
                <w:lang w:eastAsia="en-AU"/>
              </w:rPr>
              <w:t>2022-23</w:t>
            </w:r>
          </w:p>
        </w:tc>
        <w:tc>
          <w:tcPr>
            <w:tcW w:w="855" w:type="dxa"/>
            <w:tcBorders>
              <w:top w:val="single" w:sz="8" w:space="0" w:color="D9D9D9"/>
              <w:left w:val="nil"/>
              <w:bottom w:val="single" w:sz="8" w:space="0" w:color="D9D9D9"/>
              <w:right w:val="single" w:sz="4" w:space="0" w:color="FFFFFF" w:themeColor="background2"/>
            </w:tcBorders>
            <w:shd w:val="clear" w:color="000000" w:fill="15272F"/>
            <w:vAlign w:val="center"/>
            <w:hideMark/>
          </w:tcPr>
          <w:p w14:paraId="5F526A1D" w14:textId="77777777" w:rsidR="0069297D" w:rsidRPr="009A703F" w:rsidRDefault="0069297D" w:rsidP="00A32EB6">
            <w:pPr>
              <w:spacing w:before="40" w:after="40" w:line="240" w:lineRule="auto"/>
              <w:jc w:val="center"/>
              <w:rPr>
                <w:rFonts w:eastAsia="Times New Roman" w:cs="Arial"/>
                <w:b/>
                <w:bCs/>
                <w:color w:val="FFFFFF"/>
                <w:sz w:val="16"/>
                <w:szCs w:val="16"/>
                <w:lang w:eastAsia="en-AU"/>
              </w:rPr>
            </w:pPr>
            <w:r w:rsidRPr="009A703F">
              <w:rPr>
                <w:rFonts w:eastAsia="Times New Roman" w:cs="Arial"/>
                <w:b/>
                <w:bCs/>
                <w:color w:val="FFFFFF"/>
                <w:sz w:val="16"/>
                <w:szCs w:val="16"/>
                <w:lang w:eastAsia="en-AU"/>
              </w:rPr>
              <w:t>2020-21</w:t>
            </w:r>
          </w:p>
        </w:tc>
        <w:tc>
          <w:tcPr>
            <w:tcW w:w="992"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77BDD5CA" w14:textId="77777777" w:rsidR="0069297D" w:rsidRPr="009A703F" w:rsidRDefault="0069297D" w:rsidP="00A32EB6">
            <w:pPr>
              <w:spacing w:before="40" w:after="40" w:line="240" w:lineRule="auto"/>
              <w:jc w:val="center"/>
              <w:rPr>
                <w:rFonts w:eastAsia="Times New Roman" w:cs="Arial"/>
                <w:b/>
                <w:bCs/>
                <w:color w:val="FFFFFF"/>
                <w:sz w:val="16"/>
                <w:szCs w:val="16"/>
                <w:lang w:eastAsia="en-AU"/>
              </w:rPr>
            </w:pPr>
            <w:r w:rsidRPr="009A703F">
              <w:rPr>
                <w:rFonts w:eastAsia="Times New Roman" w:cs="Arial"/>
                <w:b/>
                <w:bCs/>
                <w:color w:val="FFFFFF"/>
                <w:sz w:val="16"/>
                <w:szCs w:val="16"/>
                <w:lang w:eastAsia="en-AU"/>
              </w:rPr>
              <w:t>2021-22</w:t>
            </w:r>
          </w:p>
        </w:tc>
        <w:tc>
          <w:tcPr>
            <w:tcW w:w="851"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48BF9EDE" w14:textId="77777777" w:rsidR="0069297D" w:rsidRPr="009A703F" w:rsidRDefault="0069297D" w:rsidP="00A32EB6">
            <w:pPr>
              <w:spacing w:before="40" w:after="40" w:line="240" w:lineRule="auto"/>
              <w:jc w:val="center"/>
              <w:rPr>
                <w:rFonts w:eastAsia="Times New Roman" w:cs="Arial"/>
                <w:b/>
                <w:bCs/>
                <w:color w:val="FFFFFF"/>
                <w:sz w:val="16"/>
                <w:szCs w:val="16"/>
                <w:lang w:eastAsia="en-AU"/>
              </w:rPr>
            </w:pPr>
            <w:r w:rsidRPr="009A703F">
              <w:rPr>
                <w:rFonts w:eastAsia="Times New Roman" w:cs="Arial"/>
                <w:b/>
                <w:bCs/>
                <w:color w:val="FFFFFF"/>
                <w:sz w:val="16"/>
                <w:szCs w:val="16"/>
                <w:lang w:eastAsia="en-AU"/>
              </w:rPr>
              <w:t>2022-23</w:t>
            </w:r>
          </w:p>
        </w:tc>
      </w:tr>
      <w:tr w:rsidR="00410D79" w:rsidRPr="009A703F" w14:paraId="6E886325" w14:textId="77777777" w:rsidTr="00530E79">
        <w:trPr>
          <w:trHeight w:val="290"/>
        </w:trPr>
        <w:tc>
          <w:tcPr>
            <w:tcW w:w="1123" w:type="dxa"/>
            <w:tcBorders>
              <w:top w:val="nil"/>
              <w:left w:val="nil"/>
              <w:bottom w:val="single" w:sz="8" w:space="0" w:color="D9D9D9"/>
              <w:right w:val="single" w:sz="8" w:space="0" w:color="FFFFFF"/>
            </w:tcBorders>
            <w:shd w:val="clear" w:color="auto" w:fill="auto"/>
            <w:vAlign w:val="center"/>
            <w:hideMark/>
          </w:tcPr>
          <w:p w14:paraId="4BE07BE9" w14:textId="77777777" w:rsidR="00410D79" w:rsidRPr="009A703F" w:rsidRDefault="00410D79" w:rsidP="00410D79">
            <w:pPr>
              <w:spacing w:before="40" w:after="40" w:line="240" w:lineRule="auto"/>
              <w:rPr>
                <w:rFonts w:eastAsia="Times New Roman" w:cs="Arial"/>
                <w:color w:val="1C1C1C"/>
                <w:sz w:val="16"/>
                <w:szCs w:val="16"/>
                <w:lang w:eastAsia="en-AU"/>
              </w:rPr>
            </w:pPr>
            <w:r w:rsidRPr="009A703F">
              <w:rPr>
                <w:rFonts w:eastAsia="Times New Roman" w:cs="Arial"/>
                <w:color w:val="1C1C1C"/>
                <w:sz w:val="16"/>
                <w:szCs w:val="16"/>
                <w:lang w:eastAsia="en-AU"/>
              </w:rPr>
              <w:t>NSW</w:t>
            </w:r>
          </w:p>
        </w:tc>
        <w:tc>
          <w:tcPr>
            <w:tcW w:w="1017" w:type="dxa"/>
            <w:tcBorders>
              <w:top w:val="nil"/>
              <w:left w:val="nil"/>
              <w:bottom w:val="nil"/>
              <w:right w:val="single" w:sz="8" w:space="0" w:color="FFFFFF"/>
            </w:tcBorders>
            <w:shd w:val="clear" w:color="000000" w:fill="F2F2F2"/>
            <w:vAlign w:val="center"/>
            <w:hideMark/>
          </w:tcPr>
          <w:p w14:paraId="7DFE67CB" w14:textId="2A8B3D82" w:rsidR="00410D79" w:rsidRPr="00580B1C" w:rsidRDefault="00410D79" w:rsidP="00410D79">
            <w:pPr>
              <w:spacing w:before="40" w:after="40" w:line="240" w:lineRule="auto"/>
              <w:jc w:val="right"/>
              <w:rPr>
                <w:rFonts w:eastAsia="Times New Roman" w:cs="Arial"/>
                <w:b/>
                <w:color w:val="1C1C1C"/>
                <w:sz w:val="16"/>
                <w:szCs w:val="16"/>
                <w:u w:val="single"/>
                <w:lang w:eastAsia="en-AU"/>
              </w:rPr>
            </w:pPr>
            <w:r w:rsidRPr="00580B1C">
              <w:rPr>
                <w:rFonts w:cs="Arial"/>
                <w:color w:val="15272F"/>
                <w:sz w:val="16"/>
                <w:szCs w:val="16"/>
              </w:rPr>
              <w:t xml:space="preserve">10,363,280 </w:t>
            </w:r>
          </w:p>
        </w:tc>
        <w:tc>
          <w:tcPr>
            <w:tcW w:w="1017" w:type="dxa"/>
            <w:tcBorders>
              <w:top w:val="nil"/>
              <w:left w:val="nil"/>
              <w:bottom w:val="nil"/>
              <w:right w:val="single" w:sz="8" w:space="0" w:color="FFFFFF"/>
            </w:tcBorders>
            <w:shd w:val="clear" w:color="000000" w:fill="F2F2F2"/>
            <w:vAlign w:val="center"/>
            <w:hideMark/>
          </w:tcPr>
          <w:p w14:paraId="23E0C1E5" w14:textId="3AC35E12" w:rsidR="00410D79" w:rsidRPr="00580B1C" w:rsidRDefault="00410D79" w:rsidP="00410D79">
            <w:pPr>
              <w:spacing w:before="40" w:after="40" w:line="240" w:lineRule="auto"/>
              <w:jc w:val="right"/>
              <w:rPr>
                <w:rFonts w:eastAsia="Times New Roman" w:cs="Arial"/>
                <w:b/>
                <w:color w:val="1C1C1C"/>
                <w:sz w:val="16"/>
                <w:szCs w:val="16"/>
                <w:u w:val="single"/>
                <w:lang w:eastAsia="en-AU"/>
              </w:rPr>
            </w:pPr>
            <w:r w:rsidRPr="00580B1C">
              <w:rPr>
                <w:rFonts w:cs="Arial"/>
                <w:color w:val="15272F"/>
                <w:sz w:val="16"/>
                <w:szCs w:val="16"/>
              </w:rPr>
              <w:t xml:space="preserve">9,923,216 </w:t>
            </w:r>
          </w:p>
        </w:tc>
        <w:tc>
          <w:tcPr>
            <w:tcW w:w="1017" w:type="dxa"/>
            <w:tcBorders>
              <w:top w:val="nil"/>
              <w:left w:val="nil"/>
              <w:bottom w:val="nil"/>
              <w:right w:val="single" w:sz="8" w:space="0" w:color="FFFFFF"/>
            </w:tcBorders>
            <w:shd w:val="clear" w:color="000000" w:fill="F2F2F2"/>
            <w:vAlign w:val="center"/>
            <w:hideMark/>
          </w:tcPr>
          <w:p w14:paraId="007B3E72" w14:textId="73FCBB11" w:rsidR="00410D79" w:rsidRPr="00580B1C" w:rsidRDefault="00410D79" w:rsidP="00410D79">
            <w:pPr>
              <w:spacing w:before="40" w:after="40" w:line="240" w:lineRule="auto"/>
              <w:jc w:val="right"/>
              <w:rPr>
                <w:rFonts w:eastAsia="Times New Roman" w:cs="Arial"/>
                <w:b/>
                <w:color w:val="1C1C1C"/>
                <w:sz w:val="16"/>
                <w:szCs w:val="16"/>
                <w:u w:val="single"/>
                <w:lang w:eastAsia="en-AU"/>
              </w:rPr>
            </w:pPr>
            <w:r w:rsidRPr="00580B1C">
              <w:rPr>
                <w:rFonts w:cs="Arial"/>
                <w:color w:val="15272F"/>
                <w:sz w:val="16"/>
                <w:szCs w:val="16"/>
              </w:rPr>
              <w:t xml:space="preserve">10,329,842 </w:t>
            </w:r>
          </w:p>
        </w:tc>
        <w:tc>
          <w:tcPr>
            <w:tcW w:w="1017" w:type="dxa"/>
            <w:tcBorders>
              <w:top w:val="nil"/>
              <w:left w:val="nil"/>
              <w:bottom w:val="single" w:sz="8" w:space="0" w:color="D9D9D9"/>
              <w:right w:val="single" w:sz="8" w:space="0" w:color="FFFFFF"/>
            </w:tcBorders>
            <w:shd w:val="clear" w:color="000000" w:fill="F2F2F2"/>
            <w:vAlign w:val="center"/>
            <w:hideMark/>
          </w:tcPr>
          <w:p w14:paraId="13173D23" w14:textId="0180C6DB"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16,432,690 </w:t>
            </w:r>
          </w:p>
        </w:tc>
        <w:tc>
          <w:tcPr>
            <w:tcW w:w="1017" w:type="dxa"/>
            <w:tcBorders>
              <w:top w:val="nil"/>
              <w:left w:val="nil"/>
              <w:bottom w:val="nil"/>
              <w:right w:val="single" w:sz="8" w:space="0" w:color="FFFFFF"/>
            </w:tcBorders>
            <w:shd w:val="clear" w:color="000000" w:fill="F2F2F2"/>
            <w:vAlign w:val="center"/>
            <w:hideMark/>
          </w:tcPr>
          <w:p w14:paraId="7D911126" w14:textId="445973C9"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15,749,109 </w:t>
            </w:r>
          </w:p>
        </w:tc>
        <w:tc>
          <w:tcPr>
            <w:tcW w:w="1017" w:type="dxa"/>
            <w:tcBorders>
              <w:top w:val="nil"/>
              <w:left w:val="nil"/>
              <w:bottom w:val="nil"/>
              <w:right w:val="single" w:sz="8" w:space="0" w:color="FFFFFF"/>
            </w:tcBorders>
            <w:shd w:val="clear" w:color="000000" w:fill="F2F2F2"/>
            <w:vAlign w:val="center"/>
            <w:hideMark/>
          </w:tcPr>
          <w:p w14:paraId="414BD54E" w14:textId="36BBB0A6" w:rsidR="00410D79" w:rsidRPr="00580B1C" w:rsidRDefault="00410D79" w:rsidP="00410D79">
            <w:pPr>
              <w:spacing w:before="40" w:after="40" w:line="240" w:lineRule="auto"/>
              <w:jc w:val="right"/>
              <w:rPr>
                <w:rFonts w:eastAsia="Times New Roman" w:cs="Arial"/>
                <w:b/>
                <w:color w:val="1C1C1C"/>
                <w:sz w:val="16"/>
                <w:szCs w:val="16"/>
                <w:u w:val="single"/>
                <w:lang w:eastAsia="en-AU"/>
              </w:rPr>
            </w:pPr>
            <w:r w:rsidRPr="00580B1C">
              <w:rPr>
                <w:rFonts w:cs="Arial"/>
                <w:color w:val="15272F"/>
                <w:sz w:val="16"/>
                <w:szCs w:val="16"/>
              </w:rPr>
              <w:t xml:space="preserve">13,003,855 </w:t>
            </w:r>
          </w:p>
        </w:tc>
        <w:tc>
          <w:tcPr>
            <w:tcW w:w="855" w:type="dxa"/>
            <w:tcBorders>
              <w:top w:val="nil"/>
              <w:left w:val="nil"/>
              <w:bottom w:val="nil"/>
              <w:right w:val="single" w:sz="8" w:space="0" w:color="FFFFFF"/>
            </w:tcBorders>
            <w:shd w:val="clear" w:color="000000" w:fill="F2F2F2"/>
            <w:vAlign w:val="center"/>
          </w:tcPr>
          <w:p w14:paraId="1542E230" w14:textId="5974B24F"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63</w:t>
            </w:r>
          </w:p>
        </w:tc>
        <w:tc>
          <w:tcPr>
            <w:tcW w:w="992" w:type="dxa"/>
            <w:tcBorders>
              <w:top w:val="single" w:sz="4" w:space="0" w:color="FFFFFF" w:themeColor="background2"/>
              <w:left w:val="nil"/>
              <w:bottom w:val="nil"/>
              <w:right w:val="single" w:sz="8" w:space="0" w:color="FFFFFF"/>
            </w:tcBorders>
            <w:shd w:val="clear" w:color="000000" w:fill="F2F2F2"/>
            <w:vAlign w:val="center"/>
          </w:tcPr>
          <w:p w14:paraId="41EBFE8A" w14:textId="6CE97104"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63</w:t>
            </w:r>
          </w:p>
        </w:tc>
        <w:tc>
          <w:tcPr>
            <w:tcW w:w="851" w:type="dxa"/>
            <w:tcBorders>
              <w:top w:val="single" w:sz="4" w:space="0" w:color="FFFFFF" w:themeColor="background2"/>
              <w:left w:val="nil"/>
              <w:bottom w:val="nil"/>
              <w:right w:val="single" w:sz="8" w:space="0" w:color="FFFFFF"/>
            </w:tcBorders>
            <w:shd w:val="clear" w:color="000000" w:fill="F2F2F2"/>
            <w:vAlign w:val="center"/>
          </w:tcPr>
          <w:p w14:paraId="1590C954" w14:textId="52A18B02"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79</w:t>
            </w:r>
          </w:p>
        </w:tc>
      </w:tr>
      <w:tr w:rsidR="00410D79" w:rsidRPr="009A703F" w14:paraId="322527FA" w14:textId="77777777" w:rsidTr="00530E79">
        <w:trPr>
          <w:trHeight w:val="290"/>
        </w:trPr>
        <w:tc>
          <w:tcPr>
            <w:tcW w:w="1123" w:type="dxa"/>
            <w:tcBorders>
              <w:top w:val="nil"/>
              <w:left w:val="nil"/>
              <w:bottom w:val="single" w:sz="8" w:space="0" w:color="D9D9D9"/>
              <w:right w:val="single" w:sz="8" w:space="0" w:color="FFFFFF"/>
            </w:tcBorders>
            <w:shd w:val="clear" w:color="auto" w:fill="auto"/>
            <w:vAlign w:val="center"/>
            <w:hideMark/>
          </w:tcPr>
          <w:p w14:paraId="01507529" w14:textId="77777777" w:rsidR="00410D79" w:rsidRPr="009A703F" w:rsidRDefault="00410D79" w:rsidP="00410D79">
            <w:pPr>
              <w:spacing w:before="40" w:after="40" w:line="240" w:lineRule="auto"/>
              <w:rPr>
                <w:rFonts w:eastAsia="Times New Roman" w:cs="Arial"/>
                <w:color w:val="1C1C1C"/>
                <w:sz w:val="16"/>
                <w:szCs w:val="16"/>
                <w:lang w:eastAsia="en-AU"/>
              </w:rPr>
            </w:pPr>
            <w:r w:rsidRPr="009A703F">
              <w:rPr>
                <w:rFonts w:eastAsia="Times New Roman" w:cs="Arial"/>
                <w:color w:val="1C1C1C"/>
                <w:sz w:val="16"/>
                <w:szCs w:val="16"/>
                <w:lang w:eastAsia="en-AU"/>
              </w:rPr>
              <w:t>Vic</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06AB5CF8" w14:textId="261D9F42"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4,393,960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771A5CF9" w14:textId="59736C49"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4,726,182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496DC1B6" w14:textId="3C0E0709"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4,962,830 </w:t>
            </w:r>
          </w:p>
        </w:tc>
        <w:tc>
          <w:tcPr>
            <w:tcW w:w="1017" w:type="dxa"/>
            <w:tcBorders>
              <w:top w:val="nil"/>
              <w:left w:val="nil"/>
              <w:bottom w:val="single" w:sz="8" w:space="0" w:color="D9D9D9"/>
              <w:right w:val="single" w:sz="8" w:space="0" w:color="FFFFFF"/>
            </w:tcBorders>
            <w:shd w:val="clear" w:color="000000" w:fill="F2F2F2"/>
            <w:vAlign w:val="center"/>
            <w:hideMark/>
          </w:tcPr>
          <w:p w14:paraId="12AD4A72" w14:textId="1A5E9C94"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5,251,448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1D0DBD66" w14:textId="3AA98CDE"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6,164,187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3327BE8F" w14:textId="158DF5D8"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6,201,824 </w:t>
            </w:r>
          </w:p>
        </w:tc>
        <w:tc>
          <w:tcPr>
            <w:tcW w:w="855" w:type="dxa"/>
            <w:tcBorders>
              <w:top w:val="single" w:sz="8" w:space="0" w:color="D9D9D9"/>
              <w:left w:val="nil"/>
              <w:bottom w:val="single" w:sz="8" w:space="0" w:color="D9D9D9"/>
              <w:right w:val="single" w:sz="8" w:space="0" w:color="FFFFFF"/>
            </w:tcBorders>
            <w:shd w:val="clear" w:color="000000" w:fill="F2F2F2"/>
            <w:vAlign w:val="center"/>
          </w:tcPr>
          <w:p w14:paraId="16C638E3" w14:textId="021D271B"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84</w:t>
            </w:r>
          </w:p>
        </w:tc>
        <w:tc>
          <w:tcPr>
            <w:tcW w:w="992" w:type="dxa"/>
            <w:tcBorders>
              <w:top w:val="single" w:sz="8" w:space="0" w:color="D9D9D9"/>
              <w:left w:val="nil"/>
              <w:bottom w:val="single" w:sz="8" w:space="0" w:color="D9D9D9"/>
              <w:right w:val="single" w:sz="8" w:space="0" w:color="FFFFFF"/>
            </w:tcBorders>
            <w:shd w:val="clear" w:color="000000" w:fill="F2F2F2"/>
            <w:vAlign w:val="center"/>
          </w:tcPr>
          <w:p w14:paraId="4D811423" w14:textId="3371DCCC"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77</w:t>
            </w:r>
          </w:p>
        </w:tc>
        <w:tc>
          <w:tcPr>
            <w:tcW w:w="851" w:type="dxa"/>
            <w:tcBorders>
              <w:top w:val="single" w:sz="8" w:space="0" w:color="D9D9D9"/>
              <w:left w:val="nil"/>
              <w:bottom w:val="single" w:sz="8" w:space="0" w:color="D9D9D9"/>
              <w:right w:val="single" w:sz="8" w:space="0" w:color="FFFFFF"/>
            </w:tcBorders>
            <w:shd w:val="clear" w:color="000000" w:fill="F2F2F2"/>
            <w:vAlign w:val="center"/>
          </w:tcPr>
          <w:p w14:paraId="6BEE5AFA" w14:textId="32305B79"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80</w:t>
            </w:r>
          </w:p>
        </w:tc>
      </w:tr>
      <w:tr w:rsidR="00410D79" w:rsidRPr="009A703F" w14:paraId="2B9639C9" w14:textId="77777777" w:rsidTr="00530E79">
        <w:trPr>
          <w:trHeight w:val="290"/>
        </w:trPr>
        <w:tc>
          <w:tcPr>
            <w:tcW w:w="1123" w:type="dxa"/>
            <w:tcBorders>
              <w:top w:val="nil"/>
              <w:left w:val="nil"/>
              <w:bottom w:val="single" w:sz="8" w:space="0" w:color="D9D9D9"/>
              <w:right w:val="single" w:sz="8" w:space="0" w:color="FFFFFF"/>
            </w:tcBorders>
            <w:shd w:val="clear" w:color="auto" w:fill="auto"/>
            <w:vAlign w:val="center"/>
            <w:hideMark/>
          </w:tcPr>
          <w:p w14:paraId="567B5EBC" w14:textId="77777777" w:rsidR="00410D79" w:rsidRPr="009A703F" w:rsidRDefault="00410D79" w:rsidP="00410D79">
            <w:pPr>
              <w:spacing w:before="40" w:after="40" w:line="240" w:lineRule="auto"/>
              <w:rPr>
                <w:rFonts w:eastAsia="Times New Roman" w:cs="Arial"/>
                <w:color w:val="1C1C1C"/>
                <w:sz w:val="16"/>
                <w:szCs w:val="16"/>
                <w:lang w:eastAsia="en-AU"/>
              </w:rPr>
            </w:pPr>
            <w:r w:rsidRPr="009A703F">
              <w:rPr>
                <w:rFonts w:eastAsia="Times New Roman" w:cs="Arial"/>
                <w:color w:val="1C1C1C"/>
                <w:sz w:val="16"/>
                <w:szCs w:val="16"/>
                <w:lang w:eastAsia="en-AU"/>
              </w:rPr>
              <w:t>Qld</w:t>
            </w:r>
          </w:p>
        </w:tc>
        <w:tc>
          <w:tcPr>
            <w:tcW w:w="1017" w:type="dxa"/>
            <w:tcBorders>
              <w:top w:val="nil"/>
              <w:left w:val="nil"/>
              <w:bottom w:val="nil"/>
              <w:right w:val="single" w:sz="8" w:space="0" w:color="FFFFFF"/>
            </w:tcBorders>
            <w:shd w:val="clear" w:color="000000" w:fill="F2F2F2"/>
            <w:vAlign w:val="center"/>
            <w:hideMark/>
          </w:tcPr>
          <w:p w14:paraId="55EE45FC" w14:textId="21361A5C" w:rsidR="00410D79" w:rsidRPr="00580B1C" w:rsidRDefault="00410D79" w:rsidP="00410D79">
            <w:pPr>
              <w:spacing w:before="40" w:after="40" w:line="240" w:lineRule="auto"/>
              <w:jc w:val="right"/>
              <w:rPr>
                <w:rFonts w:eastAsia="Times New Roman" w:cs="Arial"/>
                <w:b/>
                <w:color w:val="1C1C1C"/>
                <w:sz w:val="16"/>
                <w:szCs w:val="16"/>
                <w:u w:val="single"/>
                <w:lang w:eastAsia="en-AU"/>
              </w:rPr>
            </w:pPr>
            <w:r w:rsidRPr="00580B1C">
              <w:rPr>
                <w:rFonts w:cs="Arial"/>
                <w:color w:val="15272F"/>
                <w:sz w:val="16"/>
                <w:szCs w:val="16"/>
              </w:rPr>
              <w:t xml:space="preserve">6,774,890 </w:t>
            </w:r>
          </w:p>
        </w:tc>
        <w:tc>
          <w:tcPr>
            <w:tcW w:w="1017" w:type="dxa"/>
            <w:tcBorders>
              <w:top w:val="nil"/>
              <w:left w:val="nil"/>
              <w:bottom w:val="nil"/>
              <w:right w:val="single" w:sz="8" w:space="0" w:color="FFFFFF"/>
            </w:tcBorders>
            <w:shd w:val="clear" w:color="000000" w:fill="F2F2F2"/>
            <w:vAlign w:val="center"/>
            <w:hideMark/>
          </w:tcPr>
          <w:p w14:paraId="30FFBFC5" w14:textId="339E0FCB"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8,554,330 </w:t>
            </w:r>
          </w:p>
        </w:tc>
        <w:tc>
          <w:tcPr>
            <w:tcW w:w="1017" w:type="dxa"/>
            <w:tcBorders>
              <w:top w:val="nil"/>
              <w:left w:val="nil"/>
              <w:bottom w:val="nil"/>
              <w:right w:val="single" w:sz="8" w:space="0" w:color="FFFFFF"/>
            </w:tcBorders>
            <w:shd w:val="clear" w:color="000000" w:fill="F2F2F2"/>
            <w:vAlign w:val="center"/>
            <w:hideMark/>
          </w:tcPr>
          <w:p w14:paraId="5E6CBFA2" w14:textId="51D0A674" w:rsidR="00410D79" w:rsidRPr="00580B1C" w:rsidRDefault="00410D79" w:rsidP="00410D79">
            <w:pPr>
              <w:spacing w:before="40" w:after="40" w:line="240" w:lineRule="auto"/>
              <w:jc w:val="right"/>
              <w:rPr>
                <w:rFonts w:eastAsia="Times New Roman" w:cs="Arial"/>
                <w:b/>
                <w:color w:val="1C1C1C"/>
                <w:sz w:val="16"/>
                <w:szCs w:val="16"/>
                <w:u w:val="single"/>
                <w:lang w:eastAsia="en-AU"/>
              </w:rPr>
            </w:pPr>
            <w:r w:rsidRPr="00580B1C">
              <w:rPr>
                <w:rFonts w:cs="Arial"/>
                <w:color w:val="15272F"/>
                <w:sz w:val="16"/>
                <w:szCs w:val="16"/>
              </w:rPr>
              <w:t xml:space="preserve">6,998,983 </w:t>
            </w:r>
          </w:p>
        </w:tc>
        <w:tc>
          <w:tcPr>
            <w:tcW w:w="1017" w:type="dxa"/>
            <w:tcBorders>
              <w:top w:val="nil"/>
              <w:left w:val="nil"/>
              <w:bottom w:val="single" w:sz="8" w:space="0" w:color="D9D9D9"/>
              <w:right w:val="single" w:sz="8" w:space="0" w:color="FFFFFF"/>
            </w:tcBorders>
            <w:shd w:val="clear" w:color="000000" w:fill="F2F2F2"/>
            <w:vAlign w:val="center"/>
            <w:hideMark/>
          </w:tcPr>
          <w:p w14:paraId="0D00863E" w14:textId="043207E1"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8,220,724 </w:t>
            </w:r>
          </w:p>
        </w:tc>
        <w:tc>
          <w:tcPr>
            <w:tcW w:w="1017" w:type="dxa"/>
            <w:tcBorders>
              <w:top w:val="nil"/>
              <w:left w:val="nil"/>
              <w:bottom w:val="nil"/>
              <w:right w:val="single" w:sz="8" w:space="0" w:color="FFFFFF"/>
            </w:tcBorders>
            <w:shd w:val="clear" w:color="000000" w:fill="F2F2F2"/>
            <w:vAlign w:val="center"/>
            <w:hideMark/>
          </w:tcPr>
          <w:p w14:paraId="682AAA93" w14:textId="0E64EAD4"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11,564,435 </w:t>
            </w:r>
          </w:p>
        </w:tc>
        <w:tc>
          <w:tcPr>
            <w:tcW w:w="1017" w:type="dxa"/>
            <w:tcBorders>
              <w:top w:val="nil"/>
              <w:left w:val="nil"/>
              <w:bottom w:val="nil"/>
              <w:right w:val="single" w:sz="8" w:space="0" w:color="FFFFFF"/>
            </w:tcBorders>
            <w:shd w:val="clear" w:color="000000" w:fill="F2F2F2"/>
            <w:vAlign w:val="center"/>
            <w:hideMark/>
          </w:tcPr>
          <w:p w14:paraId="47DEB021" w14:textId="5091814F"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7,878,981 </w:t>
            </w:r>
          </w:p>
        </w:tc>
        <w:tc>
          <w:tcPr>
            <w:tcW w:w="855" w:type="dxa"/>
            <w:tcBorders>
              <w:top w:val="nil"/>
              <w:left w:val="nil"/>
              <w:bottom w:val="nil"/>
              <w:right w:val="single" w:sz="8" w:space="0" w:color="FFFFFF"/>
            </w:tcBorders>
            <w:shd w:val="clear" w:color="000000" w:fill="F2F2F2"/>
            <w:vAlign w:val="center"/>
          </w:tcPr>
          <w:p w14:paraId="4517BCF4" w14:textId="791A99AC"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82</w:t>
            </w:r>
          </w:p>
        </w:tc>
        <w:tc>
          <w:tcPr>
            <w:tcW w:w="992" w:type="dxa"/>
            <w:tcBorders>
              <w:top w:val="nil"/>
              <w:left w:val="nil"/>
              <w:bottom w:val="nil"/>
              <w:right w:val="single" w:sz="8" w:space="0" w:color="FFFFFF"/>
            </w:tcBorders>
            <w:shd w:val="clear" w:color="000000" w:fill="F2F2F2"/>
            <w:vAlign w:val="center"/>
          </w:tcPr>
          <w:p w14:paraId="3AB8A3C0" w14:textId="0C8663DB"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74</w:t>
            </w:r>
          </w:p>
        </w:tc>
        <w:tc>
          <w:tcPr>
            <w:tcW w:w="851" w:type="dxa"/>
            <w:tcBorders>
              <w:top w:val="nil"/>
              <w:left w:val="nil"/>
              <w:bottom w:val="nil"/>
              <w:right w:val="single" w:sz="8" w:space="0" w:color="FFFFFF"/>
            </w:tcBorders>
            <w:shd w:val="clear" w:color="000000" w:fill="F2F2F2"/>
            <w:vAlign w:val="center"/>
          </w:tcPr>
          <w:p w14:paraId="586EBEB0" w14:textId="1AB19284"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89</w:t>
            </w:r>
          </w:p>
        </w:tc>
      </w:tr>
      <w:tr w:rsidR="00410D79" w:rsidRPr="009A703F" w14:paraId="2726B6E3" w14:textId="77777777" w:rsidTr="00530E79">
        <w:trPr>
          <w:trHeight w:val="290"/>
        </w:trPr>
        <w:tc>
          <w:tcPr>
            <w:tcW w:w="1123" w:type="dxa"/>
            <w:tcBorders>
              <w:top w:val="nil"/>
              <w:left w:val="nil"/>
              <w:bottom w:val="single" w:sz="8" w:space="0" w:color="D9D9D9"/>
              <w:right w:val="single" w:sz="8" w:space="0" w:color="FFFFFF"/>
            </w:tcBorders>
            <w:shd w:val="clear" w:color="auto" w:fill="auto"/>
            <w:vAlign w:val="center"/>
            <w:hideMark/>
          </w:tcPr>
          <w:p w14:paraId="3D339150" w14:textId="77777777" w:rsidR="00410D79" w:rsidRPr="009A703F" w:rsidRDefault="00410D79" w:rsidP="00410D79">
            <w:pPr>
              <w:spacing w:before="40" w:after="40" w:line="240" w:lineRule="auto"/>
              <w:rPr>
                <w:rFonts w:eastAsia="Times New Roman" w:cs="Arial"/>
                <w:color w:val="1C1C1C"/>
                <w:sz w:val="16"/>
                <w:szCs w:val="16"/>
                <w:lang w:eastAsia="en-AU"/>
              </w:rPr>
            </w:pPr>
            <w:r w:rsidRPr="009A703F">
              <w:rPr>
                <w:rFonts w:eastAsia="Times New Roman" w:cs="Arial"/>
                <w:color w:val="1C1C1C"/>
                <w:sz w:val="16"/>
                <w:szCs w:val="16"/>
                <w:lang w:eastAsia="en-AU"/>
              </w:rPr>
              <w:t>SA</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7E5A73DD" w14:textId="55342465"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1,960,074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6F1BE243" w14:textId="4C650F8E"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3,534,331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1BC423A5" w14:textId="5C12A4C2"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1,862,756 </w:t>
            </w:r>
          </w:p>
        </w:tc>
        <w:tc>
          <w:tcPr>
            <w:tcW w:w="1017" w:type="dxa"/>
            <w:tcBorders>
              <w:top w:val="nil"/>
              <w:left w:val="nil"/>
              <w:bottom w:val="single" w:sz="8" w:space="0" w:color="D9D9D9"/>
              <w:right w:val="single" w:sz="8" w:space="0" w:color="FFFFFF"/>
            </w:tcBorders>
            <w:shd w:val="clear" w:color="000000" w:fill="F2F2F2"/>
            <w:vAlign w:val="center"/>
            <w:hideMark/>
          </w:tcPr>
          <w:p w14:paraId="4E983BCB" w14:textId="294E9025"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1,971,189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413AC632" w14:textId="45FCAC24"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3,772,911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06D231C7" w14:textId="0964AC9C"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1,976,341 </w:t>
            </w:r>
          </w:p>
        </w:tc>
        <w:tc>
          <w:tcPr>
            <w:tcW w:w="855" w:type="dxa"/>
            <w:tcBorders>
              <w:top w:val="single" w:sz="8" w:space="0" w:color="D9D9D9"/>
              <w:left w:val="nil"/>
              <w:bottom w:val="single" w:sz="8" w:space="0" w:color="D9D9D9"/>
              <w:right w:val="single" w:sz="8" w:space="0" w:color="FFFFFF"/>
            </w:tcBorders>
            <w:shd w:val="clear" w:color="000000" w:fill="F2F2F2"/>
            <w:vAlign w:val="center"/>
          </w:tcPr>
          <w:p w14:paraId="48CC48F4" w14:textId="763E93BE"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99</w:t>
            </w:r>
          </w:p>
        </w:tc>
        <w:tc>
          <w:tcPr>
            <w:tcW w:w="992" w:type="dxa"/>
            <w:tcBorders>
              <w:top w:val="single" w:sz="8" w:space="0" w:color="D9D9D9"/>
              <w:left w:val="nil"/>
              <w:bottom w:val="single" w:sz="8" w:space="0" w:color="D9D9D9"/>
              <w:right w:val="single" w:sz="8" w:space="0" w:color="FFFFFF"/>
            </w:tcBorders>
            <w:shd w:val="clear" w:color="000000" w:fill="F2F2F2"/>
            <w:vAlign w:val="center"/>
          </w:tcPr>
          <w:p w14:paraId="6017922E" w14:textId="59B6CD45"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94</w:t>
            </w:r>
          </w:p>
        </w:tc>
        <w:tc>
          <w:tcPr>
            <w:tcW w:w="851" w:type="dxa"/>
            <w:tcBorders>
              <w:top w:val="single" w:sz="8" w:space="0" w:color="D9D9D9"/>
              <w:left w:val="nil"/>
              <w:bottom w:val="single" w:sz="8" w:space="0" w:color="D9D9D9"/>
              <w:right w:val="single" w:sz="8" w:space="0" w:color="FFFFFF"/>
            </w:tcBorders>
            <w:shd w:val="clear" w:color="000000" w:fill="F2F2F2"/>
            <w:vAlign w:val="center"/>
          </w:tcPr>
          <w:p w14:paraId="034FCAE0" w14:textId="54EDA39C"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94</w:t>
            </w:r>
          </w:p>
        </w:tc>
      </w:tr>
      <w:tr w:rsidR="00410D79" w:rsidRPr="009A703F" w14:paraId="1D672EB5" w14:textId="77777777" w:rsidTr="00530E79">
        <w:trPr>
          <w:trHeight w:val="290"/>
        </w:trPr>
        <w:tc>
          <w:tcPr>
            <w:tcW w:w="1123" w:type="dxa"/>
            <w:tcBorders>
              <w:top w:val="nil"/>
              <w:left w:val="nil"/>
              <w:bottom w:val="nil"/>
              <w:right w:val="single" w:sz="8" w:space="0" w:color="FFFFFF"/>
            </w:tcBorders>
            <w:shd w:val="clear" w:color="auto" w:fill="auto"/>
            <w:vAlign w:val="center"/>
            <w:hideMark/>
          </w:tcPr>
          <w:p w14:paraId="1342EF32" w14:textId="77777777" w:rsidR="00410D79" w:rsidRPr="009A703F" w:rsidRDefault="00410D79" w:rsidP="00410D79">
            <w:pPr>
              <w:spacing w:before="40" w:after="40" w:line="240" w:lineRule="auto"/>
              <w:rPr>
                <w:rFonts w:eastAsia="Times New Roman" w:cs="Arial"/>
                <w:color w:val="1C1C1C"/>
                <w:sz w:val="16"/>
                <w:szCs w:val="16"/>
                <w:lang w:eastAsia="en-AU"/>
              </w:rPr>
            </w:pPr>
            <w:r w:rsidRPr="009A703F">
              <w:rPr>
                <w:rFonts w:eastAsia="Times New Roman" w:cs="Arial"/>
                <w:color w:val="1C1C1C"/>
                <w:sz w:val="16"/>
                <w:szCs w:val="16"/>
                <w:lang w:eastAsia="en-AU"/>
              </w:rPr>
              <w:t>WA</w:t>
            </w:r>
          </w:p>
        </w:tc>
        <w:tc>
          <w:tcPr>
            <w:tcW w:w="1017" w:type="dxa"/>
            <w:tcBorders>
              <w:top w:val="nil"/>
              <w:left w:val="nil"/>
              <w:bottom w:val="nil"/>
              <w:right w:val="single" w:sz="8" w:space="0" w:color="FFFFFF"/>
            </w:tcBorders>
            <w:shd w:val="clear" w:color="000000" w:fill="F2F2F2"/>
            <w:vAlign w:val="center"/>
            <w:hideMark/>
          </w:tcPr>
          <w:p w14:paraId="09DF1BA5" w14:textId="3A1D3EA9"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2,683,334 </w:t>
            </w:r>
          </w:p>
        </w:tc>
        <w:tc>
          <w:tcPr>
            <w:tcW w:w="1017" w:type="dxa"/>
            <w:tcBorders>
              <w:top w:val="nil"/>
              <w:left w:val="nil"/>
              <w:bottom w:val="nil"/>
              <w:right w:val="single" w:sz="8" w:space="0" w:color="FFFFFF"/>
            </w:tcBorders>
            <w:shd w:val="clear" w:color="000000" w:fill="F2F2F2"/>
            <w:vAlign w:val="center"/>
            <w:hideMark/>
          </w:tcPr>
          <w:p w14:paraId="4F34518C" w14:textId="0EF9A4C7"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2,829,078 </w:t>
            </w:r>
          </w:p>
        </w:tc>
        <w:tc>
          <w:tcPr>
            <w:tcW w:w="1017" w:type="dxa"/>
            <w:tcBorders>
              <w:top w:val="nil"/>
              <w:left w:val="nil"/>
              <w:bottom w:val="nil"/>
              <w:right w:val="single" w:sz="8" w:space="0" w:color="FFFFFF"/>
            </w:tcBorders>
            <w:shd w:val="clear" w:color="000000" w:fill="F2F2F2"/>
            <w:vAlign w:val="center"/>
            <w:hideMark/>
          </w:tcPr>
          <w:p w14:paraId="25294213" w14:textId="1A330F6E"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2,673,077 </w:t>
            </w:r>
          </w:p>
        </w:tc>
        <w:tc>
          <w:tcPr>
            <w:tcW w:w="1017" w:type="dxa"/>
            <w:tcBorders>
              <w:top w:val="nil"/>
              <w:left w:val="nil"/>
              <w:bottom w:val="nil"/>
              <w:right w:val="single" w:sz="8" w:space="0" w:color="FFFFFF"/>
            </w:tcBorders>
            <w:shd w:val="clear" w:color="000000" w:fill="F2F2F2"/>
            <w:vAlign w:val="center"/>
            <w:hideMark/>
          </w:tcPr>
          <w:p w14:paraId="3AD8A10E" w14:textId="3BAA85D1"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3,369,377 </w:t>
            </w:r>
          </w:p>
        </w:tc>
        <w:tc>
          <w:tcPr>
            <w:tcW w:w="1017" w:type="dxa"/>
            <w:tcBorders>
              <w:top w:val="nil"/>
              <w:left w:val="nil"/>
              <w:bottom w:val="nil"/>
              <w:right w:val="single" w:sz="8" w:space="0" w:color="FFFFFF"/>
            </w:tcBorders>
            <w:shd w:val="clear" w:color="000000" w:fill="F2F2F2"/>
            <w:vAlign w:val="center"/>
            <w:hideMark/>
          </w:tcPr>
          <w:p w14:paraId="23A75ADF" w14:textId="17DC7D38"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3,494,375 </w:t>
            </w:r>
          </w:p>
        </w:tc>
        <w:tc>
          <w:tcPr>
            <w:tcW w:w="1017" w:type="dxa"/>
            <w:tcBorders>
              <w:top w:val="nil"/>
              <w:left w:val="nil"/>
              <w:bottom w:val="nil"/>
              <w:right w:val="single" w:sz="8" w:space="0" w:color="FFFFFF"/>
            </w:tcBorders>
            <w:shd w:val="clear" w:color="000000" w:fill="F2F2F2"/>
            <w:vAlign w:val="center"/>
            <w:hideMark/>
          </w:tcPr>
          <w:p w14:paraId="6655ED1C" w14:textId="00BC7C1A"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3,362,971 </w:t>
            </w:r>
          </w:p>
        </w:tc>
        <w:tc>
          <w:tcPr>
            <w:tcW w:w="855" w:type="dxa"/>
            <w:tcBorders>
              <w:top w:val="nil"/>
              <w:left w:val="nil"/>
              <w:bottom w:val="nil"/>
              <w:right w:val="single" w:sz="8" w:space="0" w:color="FFFFFF"/>
            </w:tcBorders>
            <w:shd w:val="clear" w:color="000000" w:fill="F2F2F2"/>
            <w:vAlign w:val="center"/>
          </w:tcPr>
          <w:p w14:paraId="09762BAF" w14:textId="59F1B21B"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80</w:t>
            </w:r>
          </w:p>
        </w:tc>
        <w:tc>
          <w:tcPr>
            <w:tcW w:w="992" w:type="dxa"/>
            <w:tcBorders>
              <w:top w:val="nil"/>
              <w:left w:val="nil"/>
              <w:bottom w:val="nil"/>
              <w:right w:val="single" w:sz="8" w:space="0" w:color="FFFFFF"/>
            </w:tcBorders>
            <w:shd w:val="clear" w:color="000000" w:fill="F2F2F2"/>
            <w:vAlign w:val="center"/>
          </w:tcPr>
          <w:p w14:paraId="15768A41" w14:textId="284AACA6"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81</w:t>
            </w:r>
          </w:p>
        </w:tc>
        <w:tc>
          <w:tcPr>
            <w:tcW w:w="851" w:type="dxa"/>
            <w:tcBorders>
              <w:top w:val="nil"/>
              <w:left w:val="nil"/>
              <w:bottom w:val="nil"/>
              <w:right w:val="single" w:sz="8" w:space="0" w:color="FFFFFF"/>
            </w:tcBorders>
            <w:shd w:val="clear" w:color="000000" w:fill="F2F2F2"/>
            <w:vAlign w:val="center"/>
          </w:tcPr>
          <w:p w14:paraId="7FA2A37F" w14:textId="53CE1E64"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79</w:t>
            </w:r>
          </w:p>
        </w:tc>
      </w:tr>
      <w:tr w:rsidR="00410D79" w:rsidRPr="009A703F" w14:paraId="0ED6C194" w14:textId="77777777" w:rsidTr="00530E79">
        <w:trPr>
          <w:trHeight w:val="290"/>
        </w:trPr>
        <w:tc>
          <w:tcPr>
            <w:tcW w:w="1123" w:type="dxa"/>
            <w:tcBorders>
              <w:top w:val="single" w:sz="8" w:space="0" w:color="D9D9D9"/>
              <w:left w:val="nil"/>
              <w:bottom w:val="single" w:sz="8" w:space="0" w:color="D9D9D9"/>
              <w:right w:val="single" w:sz="8" w:space="0" w:color="FFFFFF"/>
            </w:tcBorders>
            <w:shd w:val="clear" w:color="auto" w:fill="auto"/>
            <w:vAlign w:val="center"/>
            <w:hideMark/>
          </w:tcPr>
          <w:p w14:paraId="1A779B11" w14:textId="77777777" w:rsidR="00410D79" w:rsidRPr="009A703F" w:rsidRDefault="00410D79" w:rsidP="00410D79">
            <w:pPr>
              <w:spacing w:before="40" w:after="40" w:line="240" w:lineRule="auto"/>
              <w:rPr>
                <w:rFonts w:eastAsia="Times New Roman" w:cs="Arial"/>
                <w:color w:val="1C1C1C"/>
                <w:sz w:val="16"/>
                <w:szCs w:val="16"/>
                <w:lang w:eastAsia="en-AU"/>
              </w:rPr>
            </w:pPr>
            <w:r w:rsidRPr="009A703F">
              <w:rPr>
                <w:rFonts w:eastAsia="Times New Roman" w:cs="Arial"/>
                <w:color w:val="1C1C1C"/>
                <w:sz w:val="16"/>
                <w:szCs w:val="16"/>
                <w:lang w:eastAsia="en-AU"/>
              </w:rPr>
              <w:t>Tas</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79848F53" w14:textId="2C684812"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699,461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6D7B4D2C" w14:textId="37A1A16C"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835,257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2E4C9216" w14:textId="4EBA7FA1"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660,413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4A8D2EA2" w14:textId="2570C41D"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858,232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2542D21F" w14:textId="72204195"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1,394,955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0F83BDDD" w14:textId="5A80E20B"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710,473 </w:t>
            </w:r>
          </w:p>
        </w:tc>
        <w:tc>
          <w:tcPr>
            <w:tcW w:w="855" w:type="dxa"/>
            <w:tcBorders>
              <w:top w:val="single" w:sz="8" w:space="0" w:color="D9D9D9"/>
              <w:left w:val="nil"/>
              <w:bottom w:val="single" w:sz="8" w:space="0" w:color="D9D9D9"/>
              <w:right w:val="single" w:sz="8" w:space="0" w:color="FFFFFF"/>
            </w:tcBorders>
            <w:shd w:val="clear" w:color="000000" w:fill="F2F2F2"/>
            <w:vAlign w:val="center"/>
          </w:tcPr>
          <w:p w14:paraId="4C178F84" w14:textId="1D6CB603"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82</w:t>
            </w:r>
          </w:p>
        </w:tc>
        <w:tc>
          <w:tcPr>
            <w:tcW w:w="992" w:type="dxa"/>
            <w:tcBorders>
              <w:top w:val="single" w:sz="8" w:space="0" w:color="D9D9D9"/>
              <w:left w:val="nil"/>
              <w:bottom w:val="single" w:sz="8" w:space="0" w:color="D9D9D9"/>
              <w:right w:val="single" w:sz="8" w:space="0" w:color="FFFFFF"/>
            </w:tcBorders>
            <w:shd w:val="clear" w:color="000000" w:fill="F2F2F2"/>
            <w:vAlign w:val="center"/>
          </w:tcPr>
          <w:p w14:paraId="3EE998B0" w14:textId="6E8F47C9"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60</w:t>
            </w:r>
          </w:p>
        </w:tc>
        <w:tc>
          <w:tcPr>
            <w:tcW w:w="851" w:type="dxa"/>
            <w:tcBorders>
              <w:top w:val="single" w:sz="8" w:space="0" w:color="D9D9D9"/>
              <w:left w:val="nil"/>
              <w:bottom w:val="single" w:sz="8" w:space="0" w:color="D9D9D9"/>
              <w:right w:val="single" w:sz="8" w:space="0" w:color="FFFFFF"/>
            </w:tcBorders>
            <w:shd w:val="clear" w:color="000000" w:fill="F2F2F2"/>
            <w:vAlign w:val="center"/>
          </w:tcPr>
          <w:p w14:paraId="22937AB2" w14:textId="09C1DACA"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93</w:t>
            </w:r>
          </w:p>
        </w:tc>
      </w:tr>
      <w:tr w:rsidR="00410D79" w:rsidRPr="009A703F" w14:paraId="17EBEDEA" w14:textId="77777777" w:rsidTr="00530E79">
        <w:trPr>
          <w:trHeight w:val="290"/>
        </w:trPr>
        <w:tc>
          <w:tcPr>
            <w:tcW w:w="1123" w:type="dxa"/>
            <w:tcBorders>
              <w:top w:val="nil"/>
              <w:left w:val="nil"/>
              <w:bottom w:val="nil"/>
              <w:right w:val="single" w:sz="8" w:space="0" w:color="FFFFFF"/>
            </w:tcBorders>
            <w:shd w:val="clear" w:color="auto" w:fill="auto"/>
            <w:vAlign w:val="center"/>
            <w:hideMark/>
          </w:tcPr>
          <w:p w14:paraId="5FCD061B" w14:textId="77777777" w:rsidR="00410D79" w:rsidRPr="009A703F" w:rsidRDefault="00410D79" w:rsidP="00410D79">
            <w:pPr>
              <w:spacing w:before="40" w:after="40" w:line="240" w:lineRule="auto"/>
              <w:rPr>
                <w:rFonts w:eastAsia="Times New Roman" w:cs="Arial"/>
                <w:color w:val="1C1C1C"/>
                <w:sz w:val="16"/>
                <w:szCs w:val="16"/>
                <w:lang w:eastAsia="en-AU"/>
              </w:rPr>
            </w:pPr>
            <w:r w:rsidRPr="009A703F">
              <w:rPr>
                <w:rFonts w:eastAsia="Times New Roman" w:cs="Arial"/>
                <w:color w:val="1C1C1C"/>
                <w:sz w:val="16"/>
                <w:szCs w:val="16"/>
                <w:lang w:eastAsia="en-AU"/>
              </w:rPr>
              <w:t>NT</w:t>
            </w:r>
          </w:p>
        </w:tc>
        <w:tc>
          <w:tcPr>
            <w:tcW w:w="1017" w:type="dxa"/>
            <w:tcBorders>
              <w:top w:val="nil"/>
              <w:left w:val="nil"/>
              <w:bottom w:val="nil"/>
              <w:right w:val="single" w:sz="8" w:space="0" w:color="FFFFFF"/>
            </w:tcBorders>
            <w:shd w:val="clear" w:color="000000" w:fill="F2F2F2"/>
            <w:vAlign w:val="center"/>
            <w:hideMark/>
          </w:tcPr>
          <w:p w14:paraId="5770349D" w14:textId="3BD8F294"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357,560 </w:t>
            </w:r>
          </w:p>
        </w:tc>
        <w:tc>
          <w:tcPr>
            <w:tcW w:w="1017" w:type="dxa"/>
            <w:tcBorders>
              <w:top w:val="nil"/>
              <w:left w:val="nil"/>
              <w:bottom w:val="nil"/>
              <w:right w:val="single" w:sz="8" w:space="0" w:color="FFFFFF"/>
            </w:tcBorders>
            <w:shd w:val="clear" w:color="000000" w:fill="F2F2F2"/>
            <w:vAlign w:val="center"/>
            <w:hideMark/>
          </w:tcPr>
          <w:p w14:paraId="069F6014" w14:textId="0CDEEBC4"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306,629 </w:t>
            </w:r>
          </w:p>
        </w:tc>
        <w:tc>
          <w:tcPr>
            <w:tcW w:w="1017" w:type="dxa"/>
            <w:tcBorders>
              <w:top w:val="nil"/>
              <w:left w:val="nil"/>
              <w:bottom w:val="nil"/>
              <w:right w:val="single" w:sz="8" w:space="0" w:color="FFFFFF"/>
            </w:tcBorders>
            <w:shd w:val="clear" w:color="000000" w:fill="F2F2F2"/>
            <w:vAlign w:val="center"/>
            <w:hideMark/>
          </w:tcPr>
          <w:p w14:paraId="2B35881A" w14:textId="5F076311"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311,956 </w:t>
            </w:r>
          </w:p>
        </w:tc>
        <w:tc>
          <w:tcPr>
            <w:tcW w:w="1017" w:type="dxa"/>
            <w:tcBorders>
              <w:top w:val="nil"/>
              <w:left w:val="nil"/>
              <w:bottom w:val="nil"/>
              <w:right w:val="single" w:sz="8" w:space="0" w:color="FFFFFF"/>
            </w:tcBorders>
            <w:shd w:val="clear" w:color="000000" w:fill="F2F2F2"/>
            <w:vAlign w:val="center"/>
            <w:hideMark/>
          </w:tcPr>
          <w:p w14:paraId="3FB3270F" w14:textId="6CF33918"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650,857 </w:t>
            </w:r>
          </w:p>
        </w:tc>
        <w:tc>
          <w:tcPr>
            <w:tcW w:w="1017" w:type="dxa"/>
            <w:tcBorders>
              <w:top w:val="nil"/>
              <w:left w:val="nil"/>
              <w:bottom w:val="nil"/>
              <w:right w:val="single" w:sz="8" w:space="0" w:color="FFFFFF"/>
            </w:tcBorders>
            <w:shd w:val="clear" w:color="000000" w:fill="F2F2F2"/>
            <w:vAlign w:val="center"/>
            <w:hideMark/>
          </w:tcPr>
          <w:p w14:paraId="56EE4D94" w14:textId="49E23306"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582,837 </w:t>
            </w:r>
          </w:p>
        </w:tc>
        <w:tc>
          <w:tcPr>
            <w:tcW w:w="1017" w:type="dxa"/>
            <w:tcBorders>
              <w:top w:val="nil"/>
              <w:left w:val="nil"/>
              <w:bottom w:val="nil"/>
              <w:right w:val="single" w:sz="8" w:space="0" w:color="FFFFFF"/>
            </w:tcBorders>
            <w:shd w:val="clear" w:color="000000" w:fill="F2F2F2"/>
            <w:vAlign w:val="center"/>
            <w:hideMark/>
          </w:tcPr>
          <w:p w14:paraId="0F230C86" w14:textId="05CC36D7"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591,172 </w:t>
            </w:r>
          </w:p>
        </w:tc>
        <w:tc>
          <w:tcPr>
            <w:tcW w:w="855" w:type="dxa"/>
            <w:tcBorders>
              <w:top w:val="nil"/>
              <w:left w:val="nil"/>
              <w:bottom w:val="nil"/>
              <w:right w:val="single" w:sz="8" w:space="0" w:color="FFFFFF"/>
            </w:tcBorders>
            <w:shd w:val="clear" w:color="000000" w:fill="F2F2F2"/>
            <w:vAlign w:val="center"/>
          </w:tcPr>
          <w:p w14:paraId="4EA4176B" w14:textId="0660786D"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55</w:t>
            </w:r>
          </w:p>
        </w:tc>
        <w:tc>
          <w:tcPr>
            <w:tcW w:w="992" w:type="dxa"/>
            <w:tcBorders>
              <w:top w:val="nil"/>
              <w:left w:val="nil"/>
              <w:bottom w:val="nil"/>
              <w:right w:val="single" w:sz="8" w:space="0" w:color="FFFFFF"/>
            </w:tcBorders>
            <w:shd w:val="clear" w:color="000000" w:fill="F2F2F2"/>
            <w:vAlign w:val="center"/>
          </w:tcPr>
          <w:p w14:paraId="08233A31" w14:textId="3DF8A86B"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53</w:t>
            </w:r>
          </w:p>
        </w:tc>
        <w:tc>
          <w:tcPr>
            <w:tcW w:w="851" w:type="dxa"/>
            <w:tcBorders>
              <w:top w:val="nil"/>
              <w:left w:val="nil"/>
              <w:bottom w:val="nil"/>
              <w:right w:val="single" w:sz="8" w:space="0" w:color="FFFFFF"/>
            </w:tcBorders>
            <w:shd w:val="clear" w:color="000000" w:fill="F2F2F2"/>
            <w:vAlign w:val="center"/>
          </w:tcPr>
          <w:p w14:paraId="4A7C26DE" w14:textId="0761DAE7"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53</w:t>
            </w:r>
          </w:p>
        </w:tc>
      </w:tr>
      <w:tr w:rsidR="00410D79" w:rsidRPr="009A703F" w14:paraId="36421561" w14:textId="77777777" w:rsidTr="00530E79">
        <w:trPr>
          <w:trHeight w:val="290"/>
        </w:trPr>
        <w:tc>
          <w:tcPr>
            <w:tcW w:w="1123" w:type="dxa"/>
            <w:tcBorders>
              <w:top w:val="single" w:sz="8" w:space="0" w:color="D9D9D9"/>
              <w:left w:val="nil"/>
              <w:bottom w:val="single" w:sz="8" w:space="0" w:color="D9D9D9"/>
              <w:right w:val="single" w:sz="8" w:space="0" w:color="FFFFFF"/>
            </w:tcBorders>
            <w:shd w:val="clear" w:color="auto" w:fill="auto"/>
            <w:vAlign w:val="center"/>
            <w:hideMark/>
          </w:tcPr>
          <w:p w14:paraId="5112E6A0" w14:textId="77777777" w:rsidR="00410D79" w:rsidRPr="009A703F" w:rsidRDefault="00410D79" w:rsidP="00410D79">
            <w:pPr>
              <w:spacing w:before="40" w:after="40" w:line="240" w:lineRule="auto"/>
              <w:rPr>
                <w:rFonts w:eastAsia="Times New Roman" w:cs="Arial"/>
                <w:color w:val="1C1C1C"/>
                <w:sz w:val="16"/>
                <w:szCs w:val="16"/>
                <w:lang w:eastAsia="en-AU"/>
              </w:rPr>
            </w:pPr>
            <w:r w:rsidRPr="009A703F">
              <w:rPr>
                <w:rFonts w:eastAsia="Times New Roman" w:cs="Arial"/>
                <w:color w:val="1C1C1C"/>
                <w:sz w:val="16"/>
                <w:szCs w:val="16"/>
                <w:lang w:eastAsia="en-AU"/>
              </w:rPr>
              <w:t>ACT</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5D265FF1" w14:textId="79B07AAC"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966,537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243B75E5" w14:textId="025F085B"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1,685,768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1826A7C3" w14:textId="50179513" w:rsidR="00410D79" w:rsidRPr="00580B1C" w:rsidRDefault="00410D79" w:rsidP="00410D79">
            <w:pPr>
              <w:spacing w:before="40" w:after="40" w:line="240" w:lineRule="auto"/>
              <w:jc w:val="right"/>
              <w:rPr>
                <w:rFonts w:eastAsia="Times New Roman" w:cs="Arial"/>
                <w:color w:val="1C1C1C"/>
                <w:sz w:val="16"/>
                <w:szCs w:val="16"/>
                <w:lang w:eastAsia="en-AU"/>
              </w:rPr>
            </w:pPr>
            <w:r>
              <w:rPr>
                <w:rFonts w:cs="Arial"/>
                <w:color w:val="15272F"/>
                <w:sz w:val="16"/>
                <w:szCs w:val="16"/>
              </w:rPr>
              <w:t>0</w:t>
            </w:r>
            <w:r w:rsidRPr="00580B1C">
              <w:rPr>
                <w:rFonts w:cs="Arial"/>
                <w:color w:val="15272F"/>
                <w:sz w:val="16"/>
                <w:szCs w:val="16"/>
              </w:rPr>
              <w:t xml:space="preserve">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1DFEA7F4" w14:textId="33BEECD8"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1,134,228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4D7DF363" w14:textId="3E90E65F"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1,688,638 </w:t>
            </w:r>
          </w:p>
        </w:tc>
        <w:tc>
          <w:tcPr>
            <w:tcW w:w="1017" w:type="dxa"/>
            <w:tcBorders>
              <w:top w:val="single" w:sz="8" w:space="0" w:color="D9D9D9"/>
              <w:left w:val="nil"/>
              <w:bottom w:val="single" w:sz="8" w:space="0" w:color="D9D9D9"/>
              <w:right w:val="single" w:sz="8" w:space="0" w:color="FFFFFF"/>
            </w:tcBorders>
            <w:shd w:val="clear" w:color="000000" w:fill="F2F2F2"/>
            <w:vAlign w:val="center"/>
            <w:hideMark/>
          </w:tcPr>
          <w:p w14:paraId="73EEFC32" w14:textId="57E2A46D"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 xml:space="preserve">733,578 </w:t>
            </w:r>
          </w:p>
        </w:tc>
        <w:tc>
          <w:tcPr>
            <w:tcW w:w="855" w:type="dxa"/>
            <w:tcBorders>
              <w:top w:val="single" w:sz="8" w:space="0" w:color="D9D9D9"/>
              <w:left w:val="nil"/>
              <w:bottom w:val="single" w:sz="8" w:space="0" w:color="D9D9D9"/>
              <w:right w:val="single" w:sz="8" w:space="0" w:color="FFFFFF"/>
            </w:tcBorders>
            <w:shd w:val="clear" w:color="000000" w:fill="F2F2F2"/>
            <w:vAlign w:val="center"/>
          </w:tcPr>
          <w:p w14:paraId="324E0533" w14:textId="2CCAC23D"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85</w:t>
            </w:r>
          </w:p>
        </w:tc>
        <w:tc>
          <w:tcPr>
            <w:tcW w:w="992" w:type="dxa"/>
            <w:tcBorders>
              <w:top w:val="single" w:sz="8" w:space="0" w:color="D9D9D9"/>
              <w:left w:val="nil"/>
              <w:bottom w:val="single" w:sz="8" w:space="0" w:color="D9D9D9"/>
              <w:right w:val="single" w:sz="8" w:space="0" w:color="FFFFFF"/>
            </w:tcBorders>
            <w:shd w:val="clear" w:color="000000" w:fill="F2F2F2"/>
            <w:vAlign w:val="center"/>
          </w:tcPr>
          <w:p w14:paraId="762A32E4" w14:textId="798A736D" w:rsidR="00410D79" w:rsidRPr="00580B1C" w:rsidRDefault="00410D79" w:rsidP="00410D79">
            <w:pPr>
              <w:spacing w:before="40" w:after="40" w:line="240" w:lineRule="auto"/>
              <w:jc w:val="right"/>
              <w:rPr>
                <w:rFonts w:eastAsia="Times New Roman" w:cs="Arial"/>
                <w:color w:val="1C1C1C"/>
                <w:sz w:val="16"/>
                <w:szCs w:val="16"/>
                <w:lang w:eastAsia="en-AU"/>
              </w:rPr>
            </w:pPr>
            <w:r w:rsidRPr="00580B1C">
              <w:rPr>
                <w:rFonts w:cs="Arial"/>
                <w:color w:val="15272F"/>
                <w:sz w:val="16"/>
                <w:szCs w:val="16"/>
              </w:rPr>
              <w:t>100</w:t>
            </w:r>
          </w:p>
        </w:tc>
        <w:tc>
          <w:tcPr>
            <w:tcW w:w="851" w:type="dxa"/>
            <w:tcBorders>
              <w:top w:val="single" w:sz="8" w:space="0" w:color="D9D9D9"/>
              <w:left w:val="nil"/>
              <w:bottom w:val="single" w:sz="8" w:space="0" w:color="D9D9D9"/>
              <w:right w:val="single" w:sz="8" w:space="0" w:color="FFFFFF"/>
            </w:tcBorders>
            <w:shd w:val="clear" w:color="000000" w:fill="F2F2F2"/>
            <w:vAlign w:val="center"/>
          </w:tcPr>
          <w:p w14:paraId="4BEF4BF7" w14:textId="4F7B118F" w:rsidR="00410D79" w:rsidRPr="00580B1C" w:rsidRDefault="00410D79" w:rsidP="00410D79">
            <w:pPr>
              <w:spacing w:before="40" w:after="40" w:line="240" w:lineRule="auto"/>
              <w:jc w:val="right"/>
              <w:rPr>
                <w:rFonts w:eastAsia="Times New Roman" w:cs="Arial"/>
                <w:color w:val="1C1C1C"/>
                <w:sz w:val="16"/>
                <w:szCs w:val="16"/>
                <w:lang w:eastAsia="en-AU"/>
              </w:rPr>
            </w:pPr>
            <w:r>
              <w:rPr>
                <w:rFonts w:cs="Arial"/>
                <w:color w:val="15272F"/>
                <w:sz w:val="16"/>
                <w:szCs w:val="16"/>
              </w:rPr>
              <w:t>0</w:t>
            </w:r>
          </w:p>
        </w:tc>
      </w:tr>
      <w:tr w:rsidR="00410D79" w:rsidRPr="009A703F" w14:paraId="5A6D035D" w14:textId="77777777" w:rsidTr="00530E79">
        <w:trPr>
          <w:trHeight w:val="280"/>
        </w:trPr>
        <w:tc>
          <w:tcPr>
            <w:tcW w:w="1123" w:type="dxa"/>
            <w:tcBorders>
              <w:top w:val="nil"/>
              <w:left w:val="nil"/>
              <w:bottom w:val="nil"/>
              <w:right w:val="single" w:sz="8" w:space="0" w:color="FFFFFF"/>
            </w:tcBorders>
            <w:shd w:val="clear" w:color="000000" w:fill="DFEBF1"/>
            <w:vAlign w:val="center"/>
            <w:hideMark/>
          </w:tcPr>
          <w:p w14:paraId="203AEB21" w14:textId="77777777" w:rsidR="00410D79" w:rsidRPr="009A703F" w:rsidRDefault="00410D79" w:rsidP="00410D79">
            <w:pPr>
              <w:spacing w:before="40" w:after="40" w:line="240" w:lineRule="auto"/>
              <w:rPr>
                <w:rFonts w:eastAsia="Times New Roman" w:cs="Arial"/>
                <w:b/>
                <w:bCs/>
                <w:color w:val="1C1C1C"/>
                <w:sz w:val="16"/>
                <w:szCs w:val="16"/>
                <w:lang w:eastAsia="en-AU"/>
              </w:rPr>
            </w:pPr>
            <w:r w:rsidRPr="009A703F">
              <w:rPr>
                <w:rFonts w:eastAsia="Times New Roman" w:cs="Arial"/>
                <w:b/>
                <w:bCs/>
                <w:color w:val="1C1C1C"/>
                <w:sz w:val="16"/>
                <w:szCs w:val="16"/>
                <w:lang w:eastAsia="en-AU"/>
              </w:rPr>
              <w:t>National</w:t>
            </w:r>
          </w:p>
        </w:tc>
        <w:tc>
          <w:tcPr>
            <w:tcW w:w="1017" w:type="dxa"/>
            <w:tcBorders>
              <w:top w:val="nil"/>
              <w:left w:val="nil"/>
              <w:bottom w:val="nil"/>
              <w:right w:val="single" w:sz="8" w:space="0" w:color="FFFFFF"/>
            </w:tcBorders>
            <w:shd w:val="clear" w:color="000000" w:fill="DFEBF1"/>
            <w:vAlign w:val="center"/>
            <w:hideMark/>
          </w:tcPr>
          <w:p w14:paraId="0F5B1002" w14:textId="6C76E441" w:rsidR="00410D79" w:rsidRPr="00260452" w:rsidRDefault="00410D79" w:rsidP="00410D79">
            <w:pPr>
              <w:spacing w:before="40" w:after="40" w:line="240" w:lineRule="auto"/>
              <w:jc w:val="right"/>
              <w:rPr>
                <w:rFonts w:eastAsia="Times New Roman" w:cs="Arial"/>
                <w:b/>
                <w:bCs/>
                <w:color w:val="1C1C1C"/>
                <w:sz w:val="16"/>
                <w:szCs w:val="16"/>
                <w:lang w:eastAsia="en-AU"/>
              </w:rPr>
            </w:pPr>
            <w:r w:rsidRPr="0009351E">
              <w:rPr>
                <w:rFonts w:cs="Arial"/>
                <w:b/>
                <w:bCs/>
                <w:color w:val="15272F"/>
                <w:sz w:val="16"/>
                <w:szCs w:val="16"/>
              </w:rPr>
              <w:t xml:space="preserve">28,199,096 </w:t>
            </w:r>
          </w:p>
        </w:tc>
        <w:tc>
          <w:tcPr>
            <w:tcW w:w="1017" w:type="dxa"/>
            <w:tcBorders>
              <w:top w:val="nil"/>
              <w:left w:val="nil"/>
              <w:bottom w:val="nil"/>
              <w:right w:val="single" w:sz="8" w:space="0" w:color="FFFFFF"/>
            </w:tcBorders>
            <w:shd w:val="clear" w:color="000000" w:fill="DFEBF1"/>
            <w:vAlign w:val="center"/>
            <w:hideMark/>
          </w:tcPr>
          <w:p w14:paraId="3381C6FD" w14:textId="281F823B" w:rsidR="00410D79" w:rsidRPr="00260452" w:rsidRDefault="00410D79" w:rsidP="00410D79">
            <w:pPr>
              <w:spacing w:before="40" w:after="40" w:line="240" w:lineRule="auto"/>
              <w:jc w:val="right"/>
              <w:rPr>
                <w:rFonts w:eastAsia="Times New Roman" w:cs="Arial"/>
                <w:b/>
                <w:bCs/>
                <w:color w:val="1C1C1C"/>
                <w:sz w:val="16"/>
                <w:szCs w:val="16"/>
                <w:lang w:eastAsia="en-AU"/>
              </w:rPr>
            </w:pPr>
            <w:r w:rsidRPr="0009351E">
              <w:rPr>
                <w:rFonts w:cs="Arial"/>
                <w:b/>
                <w:bCs/>
                <w:color w:val="15272F"/>
                <w:sz w:val="16"/>
                <w:szCs w:val="16"/>
              </w:rPr>
              <w:t xml:space="preserve">32,394,791 </w:t>
            </w:r>
          </w:p>
        </w:tc>
        <w:tc>
          <w:tcPr>
            <w:tcW w:w="1017" w:type="dxa"/>
            <w:tcBorders>
              <w:top w:val="nil"/>
              <w:left w:val="nil"/>
              <w:bottom w:val="nil"/>
              <w:right w:val="single" w:sz="8" w:space="0" w:color="FFFFFF"/>
            </w:tcBorders>
            <w:shd w:val="clear" w:color="000000" w:fill="DFEBF1"/>
            <w:vAlign w:val="center"/>
            <w:hideMark/>
          </w:tcPr>
          <w:p w14:paraId="14BB9C79" w14:textId="5BD3EB92" w:rsidR="00410D79" w:rsidRPr="00260452" w:rsidRDefault="00410D79" w:rsidP="00410D79">
            <w:pPr>
              <w:spacing w:before="40" w:after="40" w:line="240" w:lineRule="auto"/>
              <w:jc w:val="right"/>
              <w:rPr>
                <w:rFonts w:eastAsia="Times New Roman" w:cs="Arial"/>
                <w:b/>
                <w:bCs/>
                <w:color w:val="1C1C1C"/>
                <w:sz w:val="16"/>
                <w:szCs w:val="16"/>
                <w:lang w:eastAsia="en-AU"/>
              </w:rPr>
            </w:pPr>
            <w:r w:rsidRPr="0009351E">
              <w:rPr>
                <w:rFonts w:cs="Arial"/>
                <w:b/>
                <w:bCs/>
                <w:color w:val="15272F"/>
                <w:sz w:val="16"/>
                <w:szCs w:val="16"/>
              </w:rPr>
              <w:t xml:space="preserve">27,799,857 </w:t>
            </w:r>
          </w:p>
        </w:tc>
        <w:tc>
          <w:tcPr>
            <w:tcW w:w="1017" w:type="dxa"/>
            <w:tcBorders>
              <w:top w:val="nil"/>
              <w:left w:val="nil"/>
              <w:bottom w:val="nil"/>
              <w:right w:val="single" w:sz="8" w:space="0" w:color="FFFFFF"/>
            </w:tcBorders>
            <w:shd w:val="clear" w:color="000000" w:fill="DFEBF1"/>
            <w:vAlign w:val="center"/>
            <w:hideMark/>
          </w:tcPr>
          <w:p w14:paraId="7C6E8926" w14:textId="3F5D899E" w:rsidR="00410D79" w:rsidRPr="00260452" w:rsidRDefault="00410D79" w:rsidP="00410D79">
            <w:pPr>
              <w:spacing w:before="40" w:after="40" w:line="240" w:lineRule="auto"/>
              <w:jc w:val="right"/>
              <w:rPr>
                <w:rFonts w:eastAsia="Times New Roman" w:cs="Arial"/>
                <w:b/>
                <w:bCs/>
                <w:color w:val="1C1C1C"/>
                <w:sz w:val="16"/>
                <w:szCs w:val="16"/>
                <w:lang w:eastAsia="en-AU"/>
              </w:rPr>
            </w:pPr>
            <w:r w:rsidRPr="0009351E">
              <w:rPr>
                <w:rFonts w:cs="Arial"/>
                <w:b/>
                <w:bCs/>
                <w:color w:val="15272F"/>
                <w:sz w:val="16"/>
                <w:szCs w:val="16"/>
              </w:rPr>
              <w:t xml:space="preserve">37,888,745 </w:t>
            </w:r>
          </w:p>
        </w:tc>
        <w:tc>
          <w:tcPr>
            <w:tcW w:w="1017" w:type="dxa"/>
            <w:tcBorders>
              <w:top w:val="nil"/>
              <w:left w:val="nil"/>
              <w:bottom w:val="nil"/>
              <w:right w:val="single" w:sz="8" w:space="0" w:color="FFFFFF"/>
            </w:tcBorders>
            <w:shd w:val="clear" w:color="000000" w:fill="DFEBF1"/>
            <w:vAlign w:val="center"/>
            <w:hideMark/>
          </w:tcPr>
          <w:p w14:paraId="379063AD" w14:textId="0275571B" w:rsidR="00410D79" w:rsidRPr="00260452" w:rsidRDefault="00410D79" w:rsidP="00410D79">
            <w:pPr>
              <w:spacing w:before="40" w:after="40" w:line="240" w:lineRule="auto"/>
              <w:jc w:val="right"/>
              <w:rPr>
                <w:rFonts w:eastAsia="Times New Roman" w:cs="Arial"/>
                <w:b/>
                <w:bCs/>
                <w:color w:val="1C1C1C"/>
                <w:sz w:val="16"/>
                <w:szCs w:val="16"/>
                <w:lang w:eastAsia="en-AU"/>
              </w:rPr>
            </w:pPr>
            <w:r w:rsidRPr="0009351E">
              <w:rPr>
                <w:rFonts w:cs="Arial"/>
                <w:b/>
                <w:bCs/>
                <w:color w:val="15272F"/>
                <w:sz w:val="16"/>
                <w:szCs w:val="16"/>
              </w:rPr>
              <w:t xml:space="preserve">44,411,447 </w:t>
            </w:r>
          </w:p>
        </w:tc>
        <w:tc>
          <w:tcPr>
            <w:tcW w:w="1017" w:type="dxa"/>
            <w:tcBorders>
              <w:top w:val="nil"/>
              <w:left w:val="nil"/>
              <w:bottom w:val="nil"/>
              <w:right w:val="single" w:sz="8" w:space="0" w:color="FFFFFF"/>
            </w:tcBorders>
            <w:shd w:val="clear" w:color="000000" w:fill="DFEBF1"/>
            <w:vAlign w:val="center"/>
            <w:hideMark/>
          </w:tcPr>
          <w:p w14:paraId="394CBAD7" w14:textId="6A9B5F14" w:rsidR="00410D79" w:rsidRPr="00260452" w:rsidRDefault="00410D79" w:rsidP="00410D79">
            <w:pPr>
              <w:spacing w:before="40" w:after="40" w:line="240" w:lineRule="auto"/>
              <w:jc w:val="right"/>
              <w:rPr>
                <w:rFonts w:eastAsia="Times New Roman" w:cs="Arial"/>
                <w:b/>
                <w:bCs/>
                <w:color w:val="1C1C1C"/>
                <w:sz w:val="16"/>
                <w:szCs w:val="16"/>
                <w:lang w:eastAsia="en-AU"/>
              </w:rPr>
            </w:pPr>
            <w:r w:rsidRPr="0009351E">
              <w:rPr>
                <w:rFonts w:cs="Arial"/>
                <w:b/>
                <w:bCs/>
                <w:color w:val="15272F"/>
                <w:sz w:val="16"/>
                <w:szCs w:val="16"/>
              </w:rPr>
              <w:t xml:space="preserve">34,459,195 </w:t>
            </w:r>
          </w:p>
        </w:tc>
        <w:tc>
          <w:tcPr>
            <w:tcW w:w="855" w:type="dxa"/>
            <w:tcBorders>
              <w:top w:val="nil"/>
              <w:left w:val="nil"/>
              <w:bottom w:val="nil"/>
              <w:right w:val="single" w:sz="8" w:space="0" w:color="FFFFFF"/>
            </w:tcBorders>
            <w:shd w:val="clear" w:color="000000" w:fill="DFEBF1"/>
            <w:vAlign w:val="center"/>
          </w:tcPr>
          <w:p w14:paraId="4FA89F86" w14:textId="659B6BEA" w:rsidR="00410D79" w:rsidRPr="00260452" w:rsidRDefault="00410D79" w:rsidP="00410D79">
            <w:pPr>
              <w:spacing w:before="40" w:after="40" w:line="240" w:lineRule="auto"/>
              <w:jc w:val="right"/>
              <w:rPr>
                <w:rFonts w:eastAsia="Times New Roman" w:cs="Arial"/>
                <w:b/>
                <w:bCs/>
                <w:color w:val="1C1C1C"/>
                <w:sz w:val="16"/>
                <w:szCs w:val="16"/>
                <w:lang w:eastAsia="en-AU"/>
              </w:rPr>
            </w:pPr>
            <w:r w:rsidRPr="0009351E">
              <w:rPr>
                <w:rFonts w:cs="Arial"/>
                <w:b/>
                <w:bCs/>
                <w:color w:val="15272F"/>
                <w:sz w:val="16"/>
                <w:szCs w:val="16"/>
              </w:rPr>
              <w:t>74</w:t>
            </w:r>
          </w:p>
        </w:tc>
        <w:tc>
          <w:tcPr>
            <w:tcW w:w="992" w:type="dxa"/>
            <w:tcBorders>
              <w:top w:val="nil"/>
              <w:left w:val="nil"/>
              <w:bottom w:val="nil"/>
              <w:right w:val="single" w:sz="8" w:space="0" w:color="FFFFFF"/>
            </w:tcBorders>
            <w:shd w:val="clear" w:color="000000" w:fill="DFEBF1"/>
            <w:vAlign w:val="center"/>
          </w:tcPr>
          <w:p w14:paraId="12FCB438" w14:textId="1687E533" w:rsidR="00410D79" w:rsidRPr="00260452" w:rsidRDefault="00410D79" w:rsidP="00410D79">
            <w:pPr>
              <w:spacing w:before="40" w:after="40" w:line="240" w:lineRule="auto"/>
              <w:jc w:val="right"/>
              <w:rPr>
                <w:rFonts w:eastAsia="Times New Roman" w:cs="Arial"/>
                <w:b/>
                <w:bCs/>
                <w:color w:val="1C1C1C"/>
                <w:sz w:val="16"/>
                <w:szCs w:val="16"/>
                <w:lang w:eastAsia="en-AU"/>
              </w:rPr>
            </w:pPr>
            <w:r w:rsidRPr="0009351E">
              <w:rPr>
                <w:rFonts w:cs="Arial"/>
                <w:b/>
                <w:bCs/>
                <w:color w:val="15272F"/>
                <w:sz w:val="16"/>
                <w:szCs w:val="16"/>
              </w:rPr>
              <w:t>73</w:t>
            </w:r>
          </w:p>
        </w:tc>
        <w:tc>
          <w:tcPr>
            <w:tcW w:w="851" w:type="dxa"/>
            <w:tcBorders>
              <w:top w:val="nil"/>
              <w:left w:val="nil"/>
              <w:bottom w:val="nil"/>
              <w:right w:val="single" w:sz="8" w:space="0" w:color="FFFFFF"/>
            </w:tcBorders>
            <w:shd w:val="clear" w:color="000000" w:fill="DFEBF1"/>
            <w:vAlign w:val="center"/>
          </w:tcPr>
          <w:p w14:paraId="039A8856" w14:textId="76708C4C" w:rsidR="00410D79" w:rsidRPr="00260452" w:rsidRDefault="00410D79" w:rsidP="00410D79">
            <w:pPr>
              <w:spacing w:before="40" w:after="40" w:line="240" w:lineRule="auto"/>
              <w:jc w:val="right"/>
              <w:rPr>
                <w:rFonts w:eastAsia="Times New Roman" w:cs="Arial"/>
                <w:b/>
                <w:bCs/>
                <w:color w:val="1C1C1C"/>
                <w:sz w:val="16"/>
                <w:szCs w:val="16"/>
                <w:lang w:eastAsia="en-AU"/>
              </w:rPr>
            </w:pPr>
            <w:r w:rsidRPr="0009351E">
              <w:rPr>
                <w:rFonts w:cs="Arial"/>
                <w:b/>
                <w:bCs/>
                <w:color w:val="15272F"/>
                <w:sz w:val="16"/>
                <w:szCs w:val="16"/>
              </w:rPr>
              <w:t>81</w:t>
            </w:r>
          </w:p>
        </w:tc>
      </w:tr>
    </w:tbl>
    <w:p w14:paraId="25CC0891" w14:textId="3B867999" w:rsidR="0069297D" w:rsidRPr="00CE058E" w:rsidRDefault="0069297D" w:rsidP="0069297D">
      <w:pPr>
        <w:pStyle w:val="Heading2"/>
      </w:pPr>
      <w:bookmarkStart w:id="302" w:name="_Toc144215464"/>
      <w:bookmarkStart w:id="303" w:name="_Toc144967670"/>
      <w:bookmarkStart w:id="304" w:name="_Toc151129716"/>
      <w:bookmarkStart w:id="305" w:name="_Toc158882567"/>
      <w:bookmarkStart w:id="306" w:name="_Toc158882628"/>
      <w:bookmarkEnd w:id="294"/>
      <w:bookmarkEnd w:id="295"/>
      <w:r w:rsidRPr="00CE058E">
        <w:t>Non-admitted service event</w:t>
      </w:r>
      <w:bookmarkEnd w:id="302"/>
      <w:bookmarkEnd w:id="303"/>
      <w:r w:rsidRPr="00CE058E">
        <w:t>s</w:t>
      </w:r>
      <w:bookmarkEnd w:id="304"/>
      <w:bookmarkEnd w:id="305"/>
      <w:bookmarkEnd w:id="306"/>
    </w:p>
    <w:p w14:paraId="1F7161C5" w14:textId="37D0E32F" w:rsidR="0069297D" w:rsidRPr="00303546" w:rsidRDefault="007E2A4B" w:rsidP="0069297D">
      <w:pPr>
        <w:spacing w:line="276" w:lineRule="auto"/>
        <w:rPr>
          <w:rFonts w:cs="Arial"/>
        </w:rPr>
      </w:pPr>
      <w:r w:rsidRPr="00303546">
        <w:rPr>
          <w:rStyle w:val="Cross-referenceChar"/>
        </w:rPr>
        <w:fldChar w:fldCharType="begin"/>
      </w:r>
      <w:r w:rsidRPr="00303546">
        <w:rPr>
          <w:rStyle w:val="Cross-referenceChar"/>
        </w:rPr>
        <w:instrText xml:space="preserve"> REF _Ref185844375 \h </w:instrText>
      </w:r>
      <w:r w:rsidRPr="0008798E">
        <w:rPr>
          <w:rStyle w:val="Cross-referenceChar"/>
        </w:rPr>
        <w:instrText xml:space="preserve"> \* MERGEFORMAT </w:instrText>
      </w:r>
      <w:r w:rsidRPr="00303546">
        <w:rPr>
          <w:rStyle w:val="Cross-referenceChar"/>
        </w:rPr>
      </w:r>
      <w:r w:rsidRPr="00303546">
        <w:rPr>
          <w:rStyle w:val="Cross-referenceChar"/>
        </w:rPr>
        <w:fldChar w:fldCharType="separate"/>
      </w:r>
      <w:r w:rsidR="00A9792C" w:rsidRPr="00303546">
        <w:rPr>
          <w:rStyle w:val="Cross-referenceChar"/>
        </w:rPr>
        <w:t>Figure 19</w:t>
      </w:r>
      <w:r w:rsidRPr="00303546">
        <w:rPr>
          <w:rStyle w:val="Cross-referenceChar"/>
        </w:rPr>
        <w:fldChar w:fldCharType="end"/>
      </w:r>
      <w:r w:rsidR="0069297D" w:rsidRPr="00303546">
        <w:rPr>
          <w:rFonts w:cs="Arial"/>
        </w:rPr>
        <w:t xml:space="preserve"> shows the number of non-admitted service events reported in the cost data from 2020</w:t>
      </w:r>
      <w:r w:rsidR="00642924" w:rsidRPr="00303546">
        <w:rPr>
          <w:rFonts w:cs="Arial"/>
        </w:rPr>
        <w:noBreakHyphen/>
      </w:r>
      <w:r w:rsidR="0069297D" w:rsidRPr="00303546">
        <w:rPr>
          <w:rFonts w:cs="Arial"/>
        </w:rPr>
        <w:t xml:space="preserve">21 to </w:t>
      </w:r>
      <w:r w:rsidR="0069297D" w:rsidRPr="00303546">
        <w:rPr>
          <w:rFonts w:cstheme="majorBidi"/>
          <w:lang w:val="en-PH"/>
        </w:rPr>
        <w:t>2022-23</w:t>
      </w:r>
      <w:r w:rsidR="0069297D" w:rsidRPr="00303546">
        <w:rPr>
          <w:rFonts w:cs="Arial"/>
        </w:rPr>
        <w:t xml:space="preserve">. In </w:t>
      </w:r>
      <w:r w:rsidR="0069297D" w:rsidRPr="00303546">
        <w:rPr>
          <w:rFonts w:cstheme="majorBidi"/>
          <w:lang w:val="en-PH"/>
        </w:rPr>
        <w:t>2022-23</w:t>
      </w:r>
      <w:r w:rsidR="0069297D" w:rsidRPr="00303546">
        <w:rPr>
          <w:rFonts w:cs="Arial"/>
        </w:rPr>
        <w:t xml:space="preserve">, there were </w:t>
      </w:r>
      <w:r w:rsidR="00E07AEB" w:rsidRPr="00303546">
        <w:rPr>
          <w:rFonts w:cs="Arial"/>
        </w:rPr>
        <w:t>27.8</w:t>
      </w:r>
      <w:r w:rsidR="0069297D" w:rsidRPr="00303546">
        <w:rPr>
          <w:rFonts w:cs="Arial"/>
        </w:rPr>
        <w:t xml:space="preserve"> million non-admitted service events nationally, a 1</w:t>
      </w:r>
      <w:r w:rsidR="00E07AEB" w:rsidRPr="00303546">
        <w:rPr>
          <w:rFonts w:cs="Arial"/>
        </w:rPr>
        <w:t>4</w:t>
      </w:r>
      <w:r w:rsidR="0069297D" w:rsidRPr="00303546">
        <w:rPr>
          <w:rFonts w:cs="Arial"/>
        </w:rPr>
        <w:t xml:space="preserve">% </w:t>
      </w:r>
      <w:r w:rsidR="00E07AEB" w:rsidRPr="00303546">
        <w:rPr>
          <w:rFonts w:cs="Arial"/>
        </w:rPr>
        <w:t>de</w:t>
      </w:r>
      <w:r w:rsidR="0069297D" w:rsidRPr="00303546">
        <w:rPr>
          <w:rFonts w:cs="Arial"/>
        </w:rPr>
        <w:t xml:space="preserve">crease from the 2021-22 figure of </w:t>
      </w:r>
      <w:r w:rsidR="00E07AEB" w:rsidRPr="00303546">
        <w:rPr>
          <w:rFonts w:cs="Arial"/>
        </w:rPr>
        <w:t>32.4</w:t>
      </w:r>
      <w:r w:rsidR="0069297D" w:rsidRPr="00303546">
        <w:rPr>
          <w:rFonts w:cs="Arial"/>
        </w:rPr>
        <w:t xml:space="preserve"> million. The national </w:t>
      </w:r>
      <w:r w:rsidR="00E07AEB" w:rsidRPr="00303546">
        <w:rPr>
          <w:rFonts w:cs="Arial"/>
        </w:rPr>
        <w:t>de</w:t>
      </w:r>
      <w:r w:rsidR="0069297D" w:rsidRPr="00303546">
        <w:rPr>
          <w:rFonts w:cs="Arial"/>
        </w:rPr>
        <w:t xml:space="preserve">crease in non-admitted service events was driven by </w:t>
      </w:r>
      <w:r w:rsidR="00E07AEB" w:rsidRPr="00303546">
        <w:rPr>
          <w:rFonts w:cs="Arial"/>
        </w:rPr>
        <w:t xml:space="preserve">Australian Capital Territory </w:t>
      </w:r>
      <w:r w:rsidR="00B75E0D" w:rsidRPr="00303546">
        <w:rPr>
          <w:rFonts w:cs="Arial"/>
        </w:rPr>
        <w:t xml:space="preserve">(ACT) </w:t>
      </w:r>
      <w:r w:rsidR="00E07AEB" w:rsidRPr="00303546">
        <w:rPr>
          <w:rFonts w:cs="Arial"/>
        </w:rPr>
        <w:t xml:space="preserve">not submitting </w:t>
      </w:r>
      <w:r w:rsidR="00FD40E6" w:rsidRPr="00303546">
        <w:rPr>
          <w:rFonts w:cs="Arial"/>
        </w:rPr>
        <w:t xml:space="preserve">NHCDC records </w:t>
      </w:r>
      <w:r w:rsidR="00E07AEB" w:rsidRPr="00303546">
        <w:rPr>
          <w:rFonts w:cs="Arial"/>
        </w:rPr>
        <w:t>in 2022</w:t>
      </w:r>
      <w:r w:rsidR="00FD40E6" w:rsidRPr="00303546">
        <w:rPr>
          <w:rFonts w:cs="Arial"/>
        </w:rPr>
        <w:noBreakHyphen/>
      </w:r>
      <w:r w:rsidR="00E07AEB" w:rsidRPr="00303546">
        <w:rPr>
          <w:rFonts w:cs="Arial"/>
        </w:rPr>
        <w:t>23, previously submitting</w:t>
      </w:r>
      <w:r w:rsidR="0069297D" w:rsidRPr="00303546">
        <w:rPr>
          <w:rFonts w:cs="Arial"/>
        </w:rPr>
        <w:t xml:space="preserve"> </w:t>
      </w:r>
      <w:r w:rsidR="00E07AEB" w:rsidRPr="00303546">
        <w:rPr>
          <w:rFonts w:cs="Arial"/>
        </w:rPr>
        <w:t>1.7</w:t>
      </w:r>
      <w:r w:rsidR="0069297D" w:rsidRPr="00303546">
        <w:rPr>
          <w:rFonts w:cs="Arial"/>
        </w:rPr>
        <w:t xml:space="preserve"> million records </w:t>
      </w:r>
      <w:r w:rsidR="00E07AEB" w:rsidRPr="00303546">
        <w:rPr>
          <w:rFonts w:cs="Arial"/>
        </w:rPr>
        <w:t xml:space="preserve">in </w:t>
      </w:r>
      <w:r w:rsidR="0069297D" w:rsidRPr="00303546">
        <w:rPr>
          <w:rFonts w:cs="Arial"/>
        </w:rPr>
        <w:t xml:space="preserve">2021-22. In </w:t>
      </w:r>
      <w:r w:rsidR="0069297D" w:rsidRPr="00303546">
        <w:rPr>
          <w:rFonts w:cstheme="majorBidi"/>
          <w:lang w:val="en-PH"/>
        </w:rPr>
        <w:t>2022-23</w:t>
      </w:r>
      <w:r w:rsidR="0069297D" w:rsidRPr="00303546">
        <w:rPr>
          <w:rFonts w:cs="Arial"/>
        </w:rPr>
        <w:t xml:space="preserve">, the number of service events at the jurisdictional level ranged from </w:t>
      </w:r>
      <w:r w:rsidR="00E07AEB" w:rsidRPr="00303546">
        <w:rPr>
          <w:rFonts w:cs="Arial"/>
        </w:rPr>
        <w:t>311,956</w:t>
      </w:r>
      <w:r w:rsidR="0069297D" w:rsidRPr="00303546">
        <w:rPr>
          <w:rFonts w:cs="Arial"/>
        </w:rPr>
        <w:t xml:space="preserve"> (Northern Territory</w:t>
      </w:r>
      <w:r w:rsidR="00BD7E72">
        <w:rPr>
          <w:rFonts w:cs="Arial"/>
        </w:rPr>
        <w:t xml:space="preserve"> (NT)</w:t>
      </w:r>
      <w:r w:rsidR="0069297D" w:rsidRPr="00303546">
        <w:rPr>
          <w:rFonts w:cs="Arial"/>
        </w:rPr>
        <w:t xml:space="preserve">) to </w:t>
      </w:r>
      <w:r w:rsidR="00E07AEB" w:rsidRPr="00303546">
        <w:rPr>
          <w:rFonts w:cs="Arial"/>
        </w:rPr>
        <w:t>10.3</w:t>
      </w:r>
      <w:r w:rsidR="0069297D" w:rsidRPr="00303546">
        <w:rPr>
          <w:rFonts w:cs="Arial"/>
        </w:rPr>
        <w:t xml:space="preserve"> million (New South Wales</w:t>
      </w:r>
      <w:r w:rsidR="00BD7E72">
        <w:rPr>
          <w:rFonts w:cs="Arial"/>
        </w:rPr>
        <w:t xml:space="preserve"> (NSW)</w:t>
      </w:r>
      <w:r w:rsidR="0069297D" w:rsidRPr="00303546">
        <w:rPr>
          <w:rFonts w:cs="Arial"/>
        </w:rPr>
        <w:t>).</w:t>
      </w:r>
    </w:p>
    <w:p w14:paraId="5BC073CB" w14:textId="2C11D340" w:rsidR="0069297D" w:rsidRDefault="0069297D" w:rsidP="00303546">
      <w:pPr>
        <w:pStyle w:val="TableFigureheading"/>
        <w:rPr>
          <w:lang w:val="en-PH"/>
        </w:rPr>
      </w:pPr>
      <w:bookmarkStart w:id="307" w:name="_Ref185844375"/>
      <w:bookmarkStart w:id="308" w:name="_Toc151116354"/>
      <w:bookmarkStart w:id="309" w:name="_Toc151370067"/>
      <w:bookmarkStart w:id="310" w:name="_Toc187312115"/>
      <w:r w:rsidRPr="0093558C">
        <w:rPr>
          <w:lang w:val="en-PH"/>
        </w:rPr>
        <w:t xml:space="preserve">Figure </w:t>
      </w:r>
      <w:r w:rsidRPr="0093558C">
        <w:rPr>
          <w:lang w:val="en-PH"/>
        </w:rPr>
        <w:fldChar w:fldCharType="begin"/>
      </w:r>
      <w:r w:rsidRPr="0093558C">
        <w:rPr>
          <w:lang w:val="en-PH"/>
        </w:rPr>
        <w:instrText xml:space="preserve"> SEQ Figure \* ARABIC </w:instrText>
      </w:r>
      <w:r w:rsidRPr="0093558C">
        <w:rPr>
          <w:lang w:val="en-PH"/>
        </w:rPr>
        <w:fldChar w:fldCharType="separate"/>
      </w:r>
      <w:r w:rsidR="00A9792C">
        <w:rPr>
          <w:noProof/>
          <w:lang w:val="en-PH"/>
        </w:rPr>
        <w:t>19</w:t>
      </w:r>
      <w:r w:rsidRPr="0093558C">
        <w:rPr>
          <w:lang w:val="en-PH"/>
        </w:rPr>
        <w:fldChar w:fldCharType="end"/>
      </w:r>
      <w:bookmarkEnd w:id="307"/>
      <w:r w:rsidRPr="0093558C">
        <w:rPr>
          <w:lang w:val="en-PH"/>
        </w:rPr>
        <w:t xml:space="preserve">: </w:t>
      </w:r>
      <w:r w:rsidR="007E2A4B">
        <w:rPr>
          <w:lang w:val="en-PH"/>
        </w:rPr>
        <w:t>Non-admitted services events in</w:t>
      </w:r>
      <w:r w:rsidR="00CE5E1A">
        <w:rPr>
          <w:lang w:val="en-PH"/>
        </w:rPr>
        <w:t xml:space="preserve"> </w:t>
      </w:r>
      <w:r w:rsidR="00AC2824">
        <w:rPr>
          <w:lang w:val="en-PH"/>
        </w:rPr>
        <w:t>ABF and NHCDC</w:t>
      </w:r>
      <w:r w:rsidR="00AC2824" w:rsidRPr="0093558C">
        <w:rPr>
          <w:lang w:val="en-PH"/>
        </w:rPr>
        <w:t xml:space="preserve">, </w:t>
      </w:r>
      <w:r w:rsidR="00AC2824" w:rsidRPr="00D73FCC">
        <w:rPr>
          <w:lang w:val="en-PH"/>
        </w:rPr>
        <w:t>2020-21</w:t>
      </w:r>
      <w:r w:rsidR="00AC2824" w:rsidRPr="0093558C">
        <w:rPr>
          <w:lang w:val="en-PH"/>
        </w:rPr>
        <w:t xml:space="preserve"> to </w:t>
      </w:r>
      <w:r w:rsidR="00AC2824" w:rsidRPr="008B2CD8">
        <w:rPr>
          <w:lang w:val="en-PH"/>
        </w:rPr>
        <w:t>202</w:t>
      </w:r>
      <w:r w:rsidR="00AC2824">
        <w:rPr>
          <w:lang w:val="en-PH"/>
        </w:rPr>
        <w:t>2</w:t>
      </w:r>
      <w:r w:rsidR="00AC2824" w:rsidRPr="008B2CD8">
        <w:rPr>
          <w:lang w:val="en-PH"/>
        </w:rPr>
        <w:t>-2</w:t>
      </w:r>
      <w:r w:rsidR="00AC2824">
        <w:rPr>
          <w:lang w:val="en-PH"/>
        </w:rPr>
        <w:t>3</w:t>
      </w:r>
      <w:bookmarkEnd w:id="308"/>
      <w:bookmarkEnd w:id="309"/>
      <w:bookmarkEnd w:id="310"/>
    </w:p>
    <w:p w14:paraId="0127198D" w14:textId="026A4456" w:rsidR="0069297D" w:rsidRPr="00CE058E" w:rsidRDefault="00C41CBA" w:rsidP="00A32EB6">
      <w:pPr>
        <w:rPr>
          <w:rFonts w:cs="Arial"/>
        </w:rPr>
      </w:pPr>
      <w:r>
        <w:rPr>
          <w:noProof/>
        </w:rPr>
        <w:drawing>
          <wp:inline distT="0" distB="0" distL="0" distR="0" wp14:anchorId="39872AB8" wp14:editId="5F42A97C">
            <wp:extent cx="6188710" cy="2268000"/>
            <wp:effectExtent l="0" t="0" r="0" b="0"/>
            <wp:docPr id="1072903397" name="Chart 1">
              <a:extLst xmlns:a="http://schemas.openxmlformats.org/drawingml/2006/main">
                <a:ext uri="{FF2B5EF4-FFF2-40B4-BE49-F238E27FC236}">
                  <a16:creationId xmlns:a16="http://schemas.microsoft.com/office/drawing/2014/main" id="{297E5B4C-2DF9-4E6B-ACB0-0EAED7D60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40BF1CA" w14:textId="42E20249" w:rsidR="0069297D" w:rsidRPr="00CE058E" w:rsidRDefault="0069297D" w:rsidP="0069297D">
      <w:pPr>
        <w:pStyle w:val="Heading2"/>
      </w:pPr>
      <w:bookmarkStart w:id="311" w:name="_Toc151129718"/>
      <w:bookmarkStart w:id="312" w:name="_Toc158882569"/>
      <w:bookmarkStart w:id="313" w:name="_Toc158882630"/>
      <w:r w:rsidRPr="00CE058E">
        <w:lastRenderedPageBreak/>
        <w:t xml:space="preserve">Non-admitted service events </w:t>
      </w:r>
      <w:r w:rsidR="007F7EEF">
        <w:t>expenditure</w:t>
      </w:r>
      <w:bookmarkEnd w:id="311"/>
      <w:bookmarkEnd w:id="312"/>
      <w:bookmarkEnd w:id="313"/>
    </w:p>
    <w:p w14:paraId="6947BBBB" w14:textId="6D683230" w:rsidR="0069297D" w:rsidRPr="00303546" w:rsidRDefault="0069297D" w:rsidP="0069297D">
      <w:pPr>
        <w:spacing w:line="276" w:lineRule="auto"/>
        <w:rPr>
          <w:rFonts w:cs="Arial"/>
        </w:rPr>
      </w:pPr>
      <w:r w:rsidRPr="00303546">
        <w:rPr>
          <w:rFonts w:cs="Arial"/>
        </w:rPr>
        <w:t xml:space="preserve">In </w:t>
      </w:r>
      <w:r w:rsidRPr="00303546">
        <w:rPr>
          <w:rFonts w:cstheme="majorBidi"/>
          <w:lang w:val="en-PH"/>
        </w:rPr>
        <w:t>2022-23</w:t>
      </w:r>
      <w:r w:rsidRPr="00303546">
        <w:rPr>
          <w:rFonts w:cs="Arial"/>
        </w:rPr>
        <w:t xml:space="preserve">, the non-admitted service event </w:t>
      </w:r>
      <w:r w:rsidR="00FA05F7" w:rsidRPr="00303546">
        <w:rPr>
          <w:rFonts w:cs="Arial"/>
        </w:rPr>
        <w:t xml:space="preserve">cost </w:t>
      </w:r>
      <w:r w:rsidRPr="00303546">
        <w:rPr>
          <w:rFonts w:cs="Arial"/>
        </w:rPr>
        <w:t>reported in the NHCDC was approximately $</w:t>
      </w:r>
      <w:r w:rsidR="006E0788" w:rsidRPr="00303546">
        <w:rPr>
          <w:rFonts w:cs="Arial"/>
        </w:rPr>
        <w:t>11.</w:t>
      </w:r>
      <w:r w:rsidR="00642924" w:rsidRPr="00303546">
        <w:rPr>
          <w:rFonts w:cs="Arial"/>
        </w:rPr>
        <w:t>2 </w:t>
      </w:r>
      <w:r w:rsidRPr="00303546">
        <w:rPr>
          <w:rFonts w:cs="Arial"/>
        </w:rPr>
        <w:t xml:space="preserve">billion nationally. </w:t>
      </w:r>
      <w:r w:rsidR="00644769" w:rsidRPr="00303546">
        <w:rPr>
          <w:rStyle w:val="Cross-referenceChar"/>
        </w:rPr>
        <w:fldChar w:fldCharType="begin"/>
      </w:r>
      <w:r w:rsidR="00644769" w:rsidRPr="00303546">
        <w:rPr>
          <w:rStyle w:val="Cross-referenceChar"/>
        </w:rPr>
        <w:instrText xml:space="preserve"> REF _Ref185844459 \h </w:instrText>
      </w:r>
      <w:r w:rsidR="0008798E" w:rsidRPr="0008798E">
        <w:rPr>
          <w:rStyle w:val="Cross-referenceChar"/>
        </w:rPr>
        <w:instrText xml:space="preserve"> \* MERGEFORMAT </w:instrText>
      </w:r>
      <w:r w:rsidR="00644769" w:rsidRPr="00303546">
        <w:rPr>
          <w:rStyle w:val="Cross-referenceChar"/>
        </w:rPr>
      </w:r>
      <w:r w:rsidR="00644769" w:rsidRPr="00303546">
        <w:rPr>
          <w:rStyle w:val="Cross-referenceChar"/>
        </w:rPr>
        <w:fldChar w:fldCharType="separate"/>
      </w:r>
      <w:r w:rsidR="00A9792C" w:rsidRPr="00303546">
        <w:rPr>
          <w:rStyle w:val="Cross-referenceChar"/>
        </w:rPr>
        <w:t>Figure 20</w:t>
      </w:r>
      <w:r w:rsidR="00644769" w:rsidRPr="00303546">
        <w:rPr>
          <w:rStyle w:val="Cross-referenceChar"/>
        </w:rPr>
        <w:fldChar w:fldCharType="end"/>
      </w:r>
      <w:r w:rsidRPr="00303546">
        <w:rPr>
          <w:rFonts w:cs="Arial"/>
        </w:rPr>
        <w:t xml:space="preserve"> shows the cost of non-admitted service events by jurisdiction from 2020</w:t>
      </w:r>
      <w:r w:rsidR="00642924" w:rsidRPr="00303546">
        <w:rPr>
          <w:rFonts w:cs="Arial"/>
        </w:rPr>
        <w:noBreakHyphen/>
      </w:r>
      <w:r w:rsidRPr="00303546">
        <w:rPr>
          <w:rFonts w:cs="Arial"/>
        </w:rPr>
        <w:t xml:space="preserve">21 to </w:t>
      </w:r>
      <w:r w:rsidRPr="00303546">
        <w:rPr>
          <w:rFonts w:cstheme="majorBidi"/>
          <w:lang w:val="en-PH"/>
        </w:rPr>
        <w:t>2022-23</w:t>
      </w:r>
      <w:r w:rsidRPr="00303546">
        <w:rPr>
          <w:rFonts w:cs="Arial"/>
        </w:rPr>
        <w:t xml:space="preserve">. From 2021-22 to </w:t>
      </w:r>
      <w:r w:rsidRPr="00303546">
        <w:rPr>
          <w:rFonts w:cstheme="majorBidi"/>
          <w:lang w:val="en-PH"/>
        </w:rPr>
        <w:t>2022-23</w:t>
      </w:r>
      <w:r w:rsidRPr="00303546">
        <w:rPr>
          <w:rFonts w:cs="Arial"/>
        </w:rPr>
        <w:t>, the cost of non-admitted service events increased $</w:t>
      </w:r>
      <w:r w:rsidR="006E0788" w:rsidRPr="00303546">
        <w:rPr>
          <w:rFonts w:cs="Arial"/>
        </w:rPr>
        <w:t xml:space="preserve">690.2 </w:t>
      </w:r>
      <w:r w:rsidRPr="00303546">
        <w:rPr>
          <w:rFonts w:cs="Arial"/>
        </w:rPr>
        <w:t xml:space="preserve">million nationally, a </w:t>
      </w:r>
      <w:r w:rsidR="006E0788" w:rsidRPr="00303546">
        <w:rPr>
          <w:rFonts w:cs="Arial"/>
        </w:rPr>
        <w:t>7</w:t>
      </w:r>
      <w:r w:rsidRPr="00303546">
        <w:rPr>
          <w:rFonts w:cs="Arial"/>
        </w:rPr>
        <w:t>% increase to the 2021-22 figure of $</w:t>
      </w:r>
      <w:r w:rsidR="006E0788" w:rsidRPr="00303546">
        <w:rPr>
          <w:rFonts w:cs="Arial"/>
        </w:rPr>
        <w:t>10.5</w:t>
      </w:r>
      <w:r w:rsidRPr="00303546">
        <w:rPr>
          <w:rFonts w:cs="Arial"/>
        </w:rPr>
        <w:t xml:space="preserve"> billion. The national increase in the cost of non-admitted service events was driven by Queensland, increasing $</w:t>
      </w:r>
      <w:r w:rsidR="006E0788" w:rsidRPr="00303546">
        <w:rPr>
          <w:rFonts w:cs="Arial"/>
        </w:rPr>
        <w:t>352</w:t>
      </w:r>
      <w:r w:rsidRPr="00303546">
        <w:rPr>
          <w:rFonts w:cs="Arial"/>
        </w:rPr>
        <w:t>.2 million (or 1</w:t>
      </w:r>
      <w:r w:rsidR="006E0788" w:rsidRPr="00303546">
        <w:rPr>
          <w:rFonts w:cs="Arial"/>
        </w:rPr>
        <w:t>3</w:t>
      </w:r>
      <w:r w:rsidRPr="00303546">
        <w:rPr>
          <w:rFonts w:cs="Arial"/>
        </w:rPr>
        <w:t xml:space="preserve">%) from 2021-22 to </w:t>
      </w:r>
      <w:r w:rsidRPr="00303546">
        <w:rPr>
          <w:rFonts w:cstheme="majorBidi"/>
          <w:lang w:val="en-PH"/>
        </w:rPr>
        <w:t>2022-23</w:t>
      </w:r>
      <w:r w:rsidRPr="00303546">
        <w:rPr>
          <w:rFonts w:cs="Arial"/>
        </w:rPr>
        <w:t xml:space="preserve">. In </w:t>
      </w:r>
      <w:r w:rsidRPr="00303546">
        <w:rPr>
          <w:rFonts w:cstheme="majorBidi"/>
          <w:lang w:val="en-PH"/>
        </w:rPr>
        <w:t>2022-23</w:t>
      </w:r>
      <w:r w:rsidRPr="00303546">
        <w:rPr>
          <w:rFonts w:cs="Arial"/>
        </w:rPr>
        <w:t>, the cost at the jurisdictional level ranged from $16</w:t>
      </w:r>
      <w:r w:rsidR="006E0788" w:rsidRPr="00303546">
        <w:rPr>
          <w:rFonts w:cs="Arial"/>
        </w:rPr>
        <w:t>2.</w:t>
      </w:r>
      <w:r w:rsidR="00642924" w:rsidRPr="00303546">
        <w:rPr>
          <w:rFonts w:cs="Arial"/>
        </w:rPr>
        <w:t>4 </w:t>
      </w:r>
      <w:r w:rsidRPr="00303546">
        <w:rPr>
          <w:rFonts w:cs="Arial"/>
        </w:rPr>
        <w:t>million (NT) to $3.</w:t>
      </w:r>
      <w:r w:rsidR="006E0788" w:rsidRPr="00303546">
        <w:rPr>
          <w:rFonts w:cs="Arial"/>
        </w:rPr>
        <w:t>6</w:t>
      </w:r>
      <w:r w:rsidRPr="00303546">
        <w:rPr>
          <w:rFonts w:cs="Arial"/>
        </w:rPr>
        <w:t xml:space="preserve"> billion (NSW).</w:t>
      </w:r>
    </w:p>
    <w:p w14:paraId="7FF9E912" w14:textId="2AF78C06" w:rsidR="0069297D" w:rsidRPr="0093558C" w:rsidRDefault="0069297D" w:rsidP="00303546">
      <w:pPr>
        <w:pStyle w:val="TableFigureheading"/>
        <w:rPr>
          <w:lang w:val="en-PH"/>
        </w:rPr>
      </w:pPr>
      <w:bookmarkStart w:id="314" w:name="_Ref185844459"/>
      <w:bookmarkStart w:id="315" w:name="_Toc151116355"/>
      <w:bookmarkStart w:id="316" w:name="_Toc151370068"/>
      <w:bookmarkStart w:id="317" w:name="_Toc187312116"/>
      <w:r w:rsidRPr="0093558C">
        <w:rPr>
          <w:lang w:val="en-PH"/>
        </w:rPr>
        <w:t xml:space="preserve">Figure </w:t>
      </w:r>
      <w:r w:rsidRPr="0093558C">
        <w:rPr>
          <w:lang w:val="en-PH"/>
        </w:rPr>
        <w:fldChar w:fldCharType="begin"/>
      </w:r>
      <w:r w:rsidRPr="0093558C">
        <w:rPr>
          <w:lang w:val="en-PH"/>
        </w:rPr>
        <w:instrText xml:space="preserve"> SEQ Figure \* ARABIC </w:instrText>
      </w:r>
      <w:r w:rsidRPr="0093558C">
        <w:rPr>
          <w:lang w:val="en-PH"/>
        </w:rPr>
        <w:fldChar w:fldCharType="separate"/>
      </w:r>
      <w:r w:rsidR="00A9792C">
        <w:rPr>
          <w:noProof/>
          <w:lang w:val="en-PH"/>
        </w:rPr>
        <w:t>20</w:t>
      </w:r>
      <w:r w:rsidRPr="0093558C">
        <w:rPr>
          <w:lang w:val="en-PH"/>
        </w:rPr>
        <w:fldChar w:fldCharType="end"/>
      </w:r>
      <w:bookmarkEnd w:id="314"/>
      <w:r w:rsidRPr="0093558C">
        <w:rPr>
          <w:lang w:val="en-PH"/>
        </w:rPr>
        <w:t xml:space="preserve">: </w:t>
      </w:r>
      <w:r w:rsidR="00397220">
        <w:rPr>
          <w:lang w:val="en-PH"/>
        </w:rPr>
        <w:t xml:space="preserve">Cost of non-admitted </w:t>
      </w:r>
      <w:r w:rsidR="00397220" w:rsidRPr="00303546">
        <w:t>service</w:t>
      </w:r>
      <w:r w:rsidR="00397220">
        <w:rPr>
          <w:lang w:val="en-PH"/>
        </w:rPr>
        <w:t xml:space="preserve"> events by jurisdiction</w:t>
      </w:r>
      <w:r w:rsidRPr="0093558C">
        <w:rPr>
          <w:lang w:val="en-PH"/>
        </w:rPr>
        <w:t xml:space="preserve">, </w:t>
      </w:r>
      <w:r w:rsidRPr="00D73FCC">
        <w:rPr>
          <w:lang w:val="en-PH"/>
        </w:rPr>
        <w:t>2020-21</w:t>
      </w:r>
      <w:r w:rsidRPr="0093558C">
        <w:rPr>
          <w:lang w:val="en-PH"/>
        </w:rPr>
        <w:t xml:space="preserve"> to </w:t>
      </w:r>
      <w:r w:rsidRPr="008B2CD8">
        <w:rPr>
          <w:lang w:val="en-PH"/>
        </w:rPr>
        <w:t>202</w:t>
      </w:r>
      <w:r>
        <w:rPr>
          <w:lang w:val="en-PH"/>
        </w:rPr>
        <w:t>2</w:t>
      </w:r>
      <w:r w:rsidRPr="008B2CD8">
        <w:rPr>
          <w:lang w:val="en-PH"/>
        </w:rPr>
        <w:t>-2</w:t>
      </w:r>
      <w:r>
        <w:rPr>
          <w:lang w:val="en-PH"/>
        </w:rPr>
        <w:t>3</w:t>
      </w:r>
      <w:bookmarkEnd w:id="315"/>
      <w:bookmarkEnd w:id="316"/>
      <w:bookmarkEnd w:id="317"/>
    </w:p>
    <w:p w14:paraId="316F4636" w14:textId="3437585B" w:rsidR="0069297D" w:rsidRPr="00CE058E" w:rsidRDefault="00E07AEB" w:rsidP="0069297D">
      <w:pPr>
        <w:jc w:val="center"/>
        <w:rPr>
          <w:rFonts w:cs="Arial"/>
        </w:rPr>
      </w:pPr>
      <w:r>
        <w:rPr>
          <w:noProof/>
        </w:rPr>
        <w:drawing>
          <wp:inline distT="0" distB="0" distL="0" distR="0" wp14:anchorId="4A455B92" wp14:editId="2E070B20">
            <wp:extent cx="6188400" cy="2268000"/>
            <wp:effectExtent l="0" t="0" r="0" b="0"/>
            <wp:docPr id="399566201" name="Chart 1">
              <a:extLst xmlns:a="http://schemas.openxmlformats.org/drawingml/2006/main">
                <a:ext uri="{FF2B5EF4-FFF2-40B4-BE49-F238E27FC236}">
                  <a16:creationId xmlns:a16="http://schemas.microsoft.com/office/drawing/2014/main" id="{21AF0585-95F1-4621-A417-5251D4A22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4E54409" w14:textId="338FD456" w:rsidR="0069297D" w:rsidRPr="00CE058E" w:rsidRDefault="0069297D" w:rsidP="0069297D">
      <w:pPr>
        <w:pStyle w:val="Heading2"/>
      </w:pPr>
      <w:bookmarkStart w:id="318" w:name="_Toc151129719"/>
      <w:bookmarkStart w:id="319" w:name="_Toc158882570"/>
      <w:bookmarkStart w:id="320" w:name="_Toc158882631"/>
      <w:r w:rsidRPr="00CE058E">
        <w:t xml:space="preserve">Non-admitted </w:t>
      </w:r>
      <w:r w:rsidR="006E0788">
        <w:t xml:space="preserve">service events </w:t>
      </w:r>
      <w:r w:rsidRPr="00CE058E">
        <w:t>average cost</w:t>
      </w:r>
      <w:bookmarkEnd w:id="318"/>
      <w:bookmarkEnd w:id="319"/>
      <w:bookmarkEnd w:id="320"/>
    </w:p>
    <w:p w14:paraId="3A6FCC82" w14:textId="0DC3306B" w:rsidR="0069297D" w:rsidRDefault="002F65E2" w:rsidP="0069297D">
      <w:pPr>
        <w:spacing w:line="276" w:lineRule="auto"/>
        <w:rPr>
          <w:rFonts w:cs="Arial"/>
          <w:color w:val="auto"/>
        </w:rPr>
      </w:pPr>
      <w:r w:rsidRPr="00303546">
        <w:rPr>
          <w:rStyle w:val="Cross-referenceChar"/>
        </w:rPr>
        <w:fldChar w:fldCharType="begin"/>
      </w:r>
      <w:r w:rsidRPr="00303546">
        <w:rPr>
          <w:rStyle w:val="Cross-referenceChar"/>
        </w:rPr>
        <w:instrText xml:space="preserve"> REF _Ref185844591 \h </w:instrText>
      </w:r>
      <w:r>
        <w:rPr>
          <w:rStyle w:val="Cross-referenceChar"/>
        </w:rPr>
        <w:instrText xml:space="preserve"> \* MERGEFORMAT </w:instrText>
      </w:r>
      <w:r w:rsidRPr="00303546">
        <w:rPr>
          <w:rStyle w:val="Cross-referenceChar"/>
        </w:rPr>
      </w:r>
      <w:r w:rsidRPr="00303546">
        <w:rPr>
          <w:rStyle w:val="Cross-referenceChar"/>
        </w:rPr>
        <w:fldChar w:fldCharType="separate"/>
      </w:r>
      <w:r w:rsidR="00A9792C" w:rsidRPr="00303546">
        <w:rPr>
          <w:rStyle w:val="Cross-referenceChar"/>
        </w:rPr>
        <w:t>Figure 21</w:t>
      </w:r>
      <w:r w:rsidRPr="00303546">
        <w:rPr>
          <w:rStyle w:val="Cross-referenceChar"/>
        </w:rPr>
        <w:fldChar w:fldCharType="end"/>
      </w:r>
      <w:r w:rsidR="0069297D" w:rsidRPr="00CE058E">
        <w:rPr>
          <w:rFonts w:cs="Arial"/>
          <w:color w:val="auto"/>
        </w:rPr>
        <w:t xml:space="preserve"> shows the average cost of non-admitted service events reported in the cost data from 2020</w:t>
      </w:r>
      <w:r w:rsidR="00642924">
        <w:rPr>
          <w:rFonts w:cs="Arial"/>
          <w:color w:val="auto"/>
        </w:rPr>
        <w:noBreakHyphen/>
      </w:r>
      <w:r w:rsidR="0069297D" w:rsidRPr="00CE058E">
        <w:rPr>
          <w:rFonts w:cs="Arial"/>
          <w:color w:val="auto"/>
        </w:rPr>
        <w:t>21</w:t>
      </w:r>
      <w:r w:rsidR="0069297D" w:rsidRPr="006E0788">
        <w:rPr>
          <w:rFonts w:cs="Arial"/>
          <w:color w:val="auto"/>
        </w:rPr>
        <w:t xml:space="preserve"> to </w:t>
      </w:r>
      <w:r w:rsidR="0069297D" w:rsidRPr="00A42FF4">
        <w:rPr>
          <w:rFonts w:cstheme="majorBidi"/>
          <w:color w:val="auto"/>
          <w:lang w:val="en-PH"/>
        </w:rPr>
        <w:t>2022-23</w:t>
      </w:r>
      <w:r w:rsidR="0069297D" w:rsidRPr="006E0788">
        <w:rPr>
          <w:rFonts w:cs="Arial"/>
          <w:color w:val="auto"/>
        </w:rPr>
        <w:t xml:space="preserve">. In </w:t>
      </w:r>
      <w:r w:rsidR="0069297D" w:rsidRPr="00A42FF4">
        <w:rPr>
          <w:rFonts w:cstheme="majorBidi"/>
          <w:color w:val="auto"/>
          <w:lang w:val="en-PH"/>
        </w:rPr>
        <w:t>2022-23</w:t>
      </w:r>
      <w:r w:rsidR="0069297D" w:rsidRPr="006E0788">
        <w:rPr>
          <w:rFonts w:cs="Arial"/>
          <w:color w:val="auto"/>
        </w:rPr>
        <w:t>, the national average cost per non-admitted service event was $</w:t>
      </w:r>
      <w:r w:rsidR="006E0788">
        <w:rPr>
          <w:rFonts w:cs="Arial"/>
          <w:color w:val="auto"/>
        </w:rPr>
        <w:t>403</w:t>
      </w:r>
      <w:r w:rsidR="0069297D" w:rsidRPr="006E0788">
        <w:rPr>
          <w:rFonts w:cs="Arial"/>
          <w:color w:val="auto"/>
        </w:rPr>
        <w:t xml:space="preserve">, a </w:t>
      </w:r>
      <w:r w:rsidR="006E0788">
        <w:rPr>
          <w:rFonts w:cs="Arial"/>
          <w:color w:val="auto"/>
        </w:rPr>
        <w:t>24</w:t>
      </w:r>
      <w:r w:rsidR="0069297D" w:rsidRPr="006E0788">
        <w:rPr>
          <w:rFonts w:cs="Arial"/>
          <w:color w:val="auto"/>
        </w:rPr>
        <w:t xml:space="preserve">% </w:t>
      </w:r>
      <w:r w:rsidR="006E0788">
        <w:rPr>
          <w:rFonts w:cs="Arial"/>
          <w:color w:val="auto"/>
        </w:rPr>
        <w:t>in</w:t>
      </w:r>
      <w:r w:rsidR="0069297D" w:rsidRPr="006E0788">
        <w:rPr>
          <w:rFonts w:cs="Arial"/>
          <w:color w:val="auto"/>
        </w:rPr>
        <w:t>crease from the 2021-22 figure of $3</w:t>
      </w:r>
      <w:r w:rsidR="006E0788">
        <w:rPr>
          <w:rFonts w:cs="Arial"/>
          <w:color w:val="auto"/>
        </w:rPr>
        <w:t>24</w:t>
      </w:r>
      <w:r w:rsidR="0069297D" w:rsidRPr="006E0788">
        <w:rPr>
          <w:rFonts w:cs="Arial"/>
          <w:color w:val="auto"/>
        </w:rPr>
        <w:t xml:space="preserve">. In </w:t>
      </w:r>
      <w:r w:rsidR="0069297D" w:rsidRPr="00A42FF4">
        <w:rPr>
          <w:rFonts w:cstheme="majorBidi"/>
          <w:color w:val="auto"/>
          <w:lang w:val="en-PH"/>
        </w:rPr>
        <w:t>2022-23</w:t>
      </w:r>
      <w:r w:rsidR="0069297D" w:rsidRPr="006E0788">
        <w:rPr>
          <w:rFonts w:cs="Arial"/>
          <w:color w:val="auto"/>
        </w:rPr>
        <w:t xml:space="preserve">, the average cost per service event at the jurisdictional </w:t>
      </w:r>
      <w:r w:rsidR="0069297D" w:rsidRPr="00CE058E">
        <w:rPr>
          <w:rFonts w:cs="Arial"/>
          <w:color w:val="auto"/>
        </w:rPr>
        <w:t>level ranged from $</w:t>
      </w:r>
      <w:r w:rsidR="006E0788">
        <w:rPr>
          <w:rFonts w:cs="Arial"/>
          <w:color w:val="auto"/>
        </w:rPr>
        <w:t>346</w:t>
      </w:r>
      <w:r w:rsidR="006E0788" w:rsidRPr="00CE058E">
        <w:rPr>
          <w:rFonts w:cs="Arial"/>
          <w:color w:val="auto"/>
        </w:rPr>
        <w:t xml:space="preserve"> </w:t>
      </w:r>
      <w:r w:rsidR="0069297D" w:rsidRPr="00CE058E">
        <w:rPr>
          <w:rFonts w:cs="Arial"/>
          <w:color w:val="auto"/>
        </w:rPr>
        <w:t>(</w:t>
      </w:r>
      <w:r w:rsidR="006E0788">
        <w:rPr>
          <w:rFonts w:cs="Arial"/>
          <w:color w:val="auto"/>
        </w:rPr>
        <w:t>NSW</w:t>
      </w:r>
      <w:r w:rsidR="0069297D" w:rsidRPr="00CE058E">
        <w:rPr>
          <w:rFonts w:cs="Arial"/>
          <w:color w:val="auto"/>
        </w:rPr>
        <w:t>) to $5</w:t>
      </w:r>
      <w:r w:rsidR="006E0788">
        <w:rPr>
          <w:rFonts w:cs="Arial"/>
          <w:color w:val="auto"/>
        </w:rPr>
        <w:t>43</w:t>
      </w:r>
      <w:r w:rsidR="0069297D" w:rsidRPr="00CE058E">
        <w:rPr>
          <w:rFonts w:cs="Arial"/>
          <w:color w:val="auto"/>
        </w:rPr>
        <w:t xml:space="preserve"> (</w:t>
      </w:r>
      <w:r w:rsidR="006E0788">
        <w:rPr>
          <w:rFonts w:cs="Arial"/>
          <w:color w:val="auto"/>
        </w:rPr>
        <w:t>South Australia</w:t>
      </w:r>
      <w:r w:rsidR="00826D18">
        <w:rPr>
          <w:rFonts w:cs="Arial"/>
          <w:color w:val="auto"/>
        </w:rPr>
        <w:t xml:space="preserve"> (SA)</w:t>
      </w:r>
      <w:r w:rsidR="0069297D" w:rsidRPr="00CE058E">
        <w:rPr>
          <w:rFonts w:cs="Arial"/>
          <w:color w:val="auto"/>
        </w:rPr>
        <w:t>).</w:t>
      </w:r>
    </w:p>
    <w:p w14:paraId="6E057CC0" w14:textId="5A31436E" w:rsidR="0069297D" w:rsidRDefault="0069297D" w:rsidP="00303546">
      <w:pPr>
        <w:pStyle w:val="TableFigureheading"/>
        <w:rPr>
          <w:lang w:val="en-PH"/>
        </w:rPr>
      </w:pPr>
      <w:bookmarkStart w:id="321" w:name="_Ref185844591"/>
      <w:bookmarkStart w:id="322" w:name="_Toc151370069"/>
      <w:bookmarkStart w:id="323" w:name="_Toc187312117"/>
      <w:r w:rsidRPr="0093558C">
        <w:rPr>
          <w:lang w:val="en-PH"/>
        </w:rPr>
        <w:t xml:space="preserve">Figure </w:t>
      </w:r>
      <w:r w:rsidRPr="0093558C">
        <w:rPr>
          <w:lang w:val="en-PH"/>
        </w:rPr>
        <w:fldChar w:fldCharType="begin"/>
      </w:r>
      <w:r w:rsidRPr="0093558C">
        <w:rPr>
          <w:lang w:val="en-PH"/>
        </w:rPr>
        <w:instrText xml:space="preserve"> SEQ Figure \* ARABIC </w:instrText>
      </w:r>
      <w:r w:rsidRPr="0093558C">
        <w:rPr>
          <w:lang w:val="en-PH"/>
        </w:rPr>
        <w:fldChar w:fldCharType="separate"/>
      </w:r>
      <w:r w:rsidR="00A9792C">
        <w:rPr>
          <w:noProof/>
          <w:lang w:val="en-PH"/>
        </w:rPr>
        <w:t>21</w:t>
      </w:r>
      <w:r w:rsidRPr="0093558C">
        <w:rPr>
          <w:lang w:val="en-PH"/>
        </w:rPr>
        <w:fldChar w:fldCharType="end"/>
      </w:r>
      <w:bookmarkEnd w:id="321"/>
      <w:r w:rsidRPr="0093558C">
        <w:rPr>
          <w:lang w:val="en-PH"/>
        </w:rPr>
        <w:t>:</w:t>
      </w:r>
      <w:bookmarkStart w:id="324" w:name="_Toc151116356"/>
      <w:r w:rsidRPr="0093558C">
        <w:rPr>
          <w:lang w:val="en-PH"/>
        </w:rPr>
        <w:t xml:space="preserve"> </w:t>
      </w:r>
      <w:r w:rsidR="00A84332">
        <w:rPr>
          <w:lang w:val="en-PH"/>
        </w:rPr>
        <w:t>Average cost per non-admitted service event by jurisdiction</w:t>
      </w:r>
      <w:r w:rsidRPr="0093558C">
        <w:rPr>
          <w:lang w:val="en-PH"/>
        </w:rPr>
        <w:t xml:space="preserve">, </w:t>
      </w:r>
      <w:r w:rsidRPr="00D73FCC">
        <w:rPr>
          <w:lang w:val="en-PH"/>
        </w:rPr>
        <w:t>2020-21</w:t>
      </w:r>
      <w:r w:rsidRPr="0093558C">
        <w:rPr>
          <w:lang w:val="en-PH"/>
        </w:rPr>
        <w:t xml:space="preserve"> to </w:t>
      </w:r>
      <w:r w:rsidRPr="008B2CD8">
        <w:rPr>
          <w:lang w:val="en-PH"/>
        </w:rPr>
        <w:t>202</w:t>
      </w:r>
      <w:r>
        <w:rPr>
          <w:lang w:val="en-PH"/>
        </w:rPr>
        <w:t>2</w:t>
      </w:r>
      <w:r w:rsidRPr="008B2CD8">
        <w:rPr>
          <w:lang w:val="en-PH"/>
        </w:rPr>
        <w:t>-2</w:t>
      </w:r>
      <w:r>
        <w:rPr>
          <w:lang w:val="en-PH"/>
        </w:rPr>
        <w:t>3</w:t>
      </w:r>
      <w:bookmarkEnd w:id="322"/>
      <w:bookmarkEnd w:id="323"/>
      <w:bookmarkEnd w:id="324"/>
    </w:p>
    <w:p w14:paraId="226975BB" w14:textId="0E180AFC" w:rsidR="00E07AEB" w:rsidRPr="0093558C" w:rsidRDefault="00C41CBA" w:rsidP="00A42FF4">
      <w:pPr>
        <w:rPr>
          <w:rFonts w:cstheme="majorBidi"/>
          <w:color w:val="104F99" w:themeColor="accent2"/>
          <w:lang w:val="en-PH"/>
        </w:rPr>
      </w:pPr>
      <w:r>
        <w:rPr>
          <w:noProof/>
        </w:rPr>
        <w:drawing>
          <wp:inline distT="0" distB="0" distL="0" distR="0" wp14:anchorId="6119A28B" wp14:editId="4EFBD429">
            <wp:extent cx="6188075" cy="2429510"/>
            <wp:effectExtent l="0" t="0" r="3175" b="8890"/>
            <wp:docPr id="449258062" name="Chart 1">
              <a:extLst xmlns:a="http://schemas.openxmlformats.org/drawingml/2006/main">
                <a:ext uri="{FF2B5EF4-FFF2-40B4-BE49-F238E27FC236}">
                  <a16:creationId xmlns:a16="http://schemas.microsoft.com/office/drawing/2014/main" id="{A402A6D7-4FE2-4710-B4B3-09AA9EF8D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57A9FAB" w14:textId="7F3AF4F2" w:rsidR="00BC60A4" w:rsidRPr="0009351E" w:rsidRDefault="00BC60A4" w:rsidP="0009351E">
      <w:pPr>
        <w:pStyle w:val="Heading2"/>
      </w:pPr>
      <w:bookmarkStart w:id="325" w:name="_Toc151129720"/>
      <w:bookmarkStart w:id="326" w:name="_Toc158882571"/>
      <w:bookmarkStart w:id="327" w:name="_Toc158882632"/>
      <w:r w:rsidRPr="00CE058E">
        <w:lastRenderedPageBreak/>
        <w:t xml:space="preserve">Non-admitted </w:t>
      </w:r>
      <w:r>
        <w:t>service event series changes</w:t>
      </w:r>
    </w:p>
    <w:p w14:paraId="597CA93C" w14:textId="0E97C1CE" w:rsidR="006D40A7" w:rsidRDefault="007E024F" w:rsidP="006D40A7">
      <w:r w:rsidRPr="00303546">
        <w:rPr>
          <w:rStyle w:val="Cross-referenceChar"/>
        </w:rPr>
        <w:fldChar w:fldCharType="begin"/>
      </w:r>
      <w:r w:rsidRPr="00303546">
        <w:rPr>
          <w:rStyle w:val="Cross-referenceChar"/>
        </w:rPr>
        <w:instrText xml:space="preserve"> REF _Ref185844724 \h </w:instrText>
      </w:r>
      <w:r>
        <w:rPr>
          <w:rStyle w:val="Cross-referenceChar"/>
        </w:rPr>
        <w:instrText xml:space="preserve"> \* MERGEFORMAT </w:instrText>
      </w:r>
      <w:r w:rsidRPr="00303546">
        <w:rPr>
          <w:rStyle w:val="Cross-referenceChar"/>
        </w:rPr>
      </w:r>
      <w:r w:rsidRPr="00303546">
        <w:rPr>
          <w:rStyle w:val="Cross-referenceChar"/>
        </w:rPr>
        <w:fldChar w:fldCharType="separate"/>
      </w:r>
      <w:r w:rsidRPr="00303546">
        <w:rPr>
          <w:rStyle w:val="Cross-referenceChar"/>
        </w:rPr>
        <w:t>Table 20</w:t>
      </w:r>
      <w:r w:rsidRPr="00303546">
        <w:rPr>
          <w:rStyle w:val="Cross-referenceChar"/>
        </w:rPr>
        <w:fldChar w:fldCharType="end"/>
      </w:r>
      <w:r w:rsidR="00986A26">
        <w:t xml:space="preserve"> </w:t>
      </w:r>
      <w:r w:rsidR="006D40A7">
        <w:t xml:space="preserve">shows the change between records, cost, and average cost for </w:t>
      </w:r>
      <w:r w:rsidR="00D11299">
        <w:t>in each</w:t>
      </w:r>
      <w:r w:rsidR="006F4A0D">
        <w:t xml:space="preserve"> </w:t>
      </w:r>
      <w:r w:rsidR="006D40A7">
        <w:t xml:space="preserve">Tier 2 </w:t>
      </w:r>
      <w:r w:rsidR="00CB4503">
        <w:t>series, from 2021-22 to 2022-23.</w:t>
      </w:r>
      <w:r w:rsidR="00986A26">
        <w:t xml:space="preserve"> In 2022-23, Tier 2 </w:t>
      </w:r>
      <w:r w:rsidR="007A737C">
        <w:t>s</w:t>
      </w:r>
      <w:r w:rsidR="00986A26">
        <w:t xml:space="preserve">eries 10 decreased by 4.6 million records and </w:t>
      </w:r>
      <w:r w:rsidR="00917F17">
        <w:t>$</w:t>
      </w:r>
      <w:r w:rsidR="00986A26">
        <w:t>18</w:t>
      </w:r>
      <w:r w:rsidR="00260A29">
        <w:t>2.</w:t>
      </w:r>
      <w:r w:rsidR="00183417">
        <w:t>5 </w:t>
      </w:r>
      <w:r w:rsidR="00986A26">
        <w:t xml:space="preserve">million </w:t>
      </w:r>
      <w:r w:rsidR="00183417">
        <w:t xml:space="preserve">in </w:t>
      </w:r>
      <w:r w:rsidR="00986A26">
        <w:t>cost</w:t>
      </w:r>
      <w:r w:rsidR="00917F17">
        <w:t xml:space="preserve">, while </w:t>
      </w:r>
      <w:r w:rsidR="007A737C">
        <w:t>s</w:t>
      </w:r>
      <w:r w:rsidR="00917F17">
        <w:t>eries 20 increased $607</w:t>
      </w:r>
      <w:r w:rsidR="00260A29">
        <w:t>.3</w:t>
      </w:r>
      <w:r w:rsidR="00917F17">
        <w:t xml:space="preserve"> million in cost.</w:t>
      </w:r>
    </w:p>
    <w:p w14:paraId="43EB78EB" w14:textId="72BA5983" w:rsidR="00CB4503" w:rsidRPr="0009351E" w:rsidRDefault="00CB4503" w:rsidP="00260452">
      <w:pPr>
        <w:pStyle w:val="TableFigureheading"/>
        <w:spacing w:before="240" w:after="240"/>
        <w:rPr>
          <w:rFonts w:cstheme="majorBidi"/>
          <w:lang w:val="en-PH"/>
        </w:rPr>
      </w:pPr>
      <w:bookmarkStart w:id="328" w:name="_Ref185844724"/>
      <w:bookmarkStart w:id="329" w:name="_Toc185852227"/>
      <w:bookmarkStart w:id="330" w:name="_Toc187312146"/>
      <w:r w:rsidRPr="0093558C">
        <w:rPr>
          <w:rFonts w:cstheme="majorBidi"/>
          <w:szCs w:val="22"/>
          <w:lang w:val="en-PH"/>
        </w:rPr>
        <w:t xml:space="preserve">Table </w:t>
      </w:r>
      <w:r w:rsidRPr="0093558C">
        <w:rPr>
          <w:rFonts w:cstheme="majorBidi"/>
          <w:szCs w:val="22"/>
          <w:lang w:val="en-PH"/>
        </w:rPr>
        <w:fldChar w:fldCharType="begin"/>
      </w:r>
      <w:r w:rsidRPr="0093558C">
        <w:rPr>
          <w:rFonts w:cstheme="majorBidi"/>
          <w:szCs w:val="22"/>
          <w:lang w:val="en-PH"/>
        </w:rPr>
        <w:instrText xml:space="preserve"> SEQ Table \* ARABIC </w:instrText>
      </w:r>
      <w:r w:rsidRPr="0093558C">
        <w:rPr>
          <w:rFonts w:cstheme="majorBidi"/>
          <w:szCs w:val="22"/>
          <w:lang w:val="en-PH"/>
        </w:rPr>
        <w:fldChar w:fldCharType="separate"/>
      </w:r>
      <w:r w:rsidR="007E024F">
        <w:rPr>
          <w:rFonts w:cstheme="majorBidi"/>
          <w:noProof/>
          <w:szCs w:val="22"/>
          <w:lang w:val="en-PH"/>
        </w:rPr>
        <w:t>20</w:t>
      </w:r>
      <w:r w:rsidRPr="0093558C">
        <w:rPr>
          <w:rFonts w:cstheme="majorBidi"/>
          <w:szCs w:val="22"/>
          <w:lang w:val="en-PH"/>
        </w:rPr>
        <w:fldChar w:fldCharType="end"/>
      </w:r>
      <w:bookmarkEnd w:id="328"/>
      <w:r w:rsidRPr="0093558C">
        <w:rPr>
          <w:rFonts w:cstheme="majorBidi"/>
          <w:szCs w:val="22"/>
          <w:lang w:val="en-PH"/>
        </w:rPr>
        <w:t xml:space="preserve">: </w:t>
      </w:r>
      <w:r w:rsidR="003A581B">
        <w:rPr>
          <w:rFonts w:cstheme="majorBidi"/>
          <w:szCs w:val="22"/>
          <w:lang w:val="en-PH"/>
        </w:rPr>
        <w:t>Change</w:t>
      </w:r>
      <w:r w:rsidR="00BA1DD7">
        <w:rPr>
          <w:rFonts w:cstheme="majorBidi"/>
          <w:szCs w:val="22"/>
          <w:lang w:val="en-PH"/>
        </w:rPr>
        <w:t>s</w:t>
      </w:r>
      <w:r w:rsidR="003A581B">
        <w:rPr>
          <w:rFonts w:cstheme="majorBidi"/>
          <w:szCs w:val="22"/>
          <w:lang w:val="en-PH"/>
        </w:rPr>
        <w:t xml:space="preserve"> in non-admitted service events by </w:t>
      </w:r>
      <w:r w:rsidR="00260452">
        <w:rPr>
          <w:rFonts w:cstheme="majorBidi"/>
          <w:szCs w:val="22"/>
          <w:lang w:val="en-PH"/>
        </w:rPr>
        <w:t>Tier 2 series, 2021-22 to 2022-23</w:t>
      </w:r>
      <w:bookmarkEnd w:id="329"/>
      <w:bookmarkEnd w:id="330"/>
    </w:p>
    <w:tbl>
      <w:tblPr>
        <w:tblW w:w="10353" w:type="dxa"/>
        <w:jc w:val="center"/>
        <w:tblLook w:val="04A0" w:firstRow="1" w:lastRow="0" w:firstColumn="1" w:lastColumn="0" w:noHBand="0" w:noVBand="1"/>
      </w:tblPr>
      <w:tblGrid>
        <w:gridCol w:w="832"/>
        <w:gridCol w:w="1017"/>
        <w:gridCol w:w="1329"/>
        <w:gridCol w:w="845"/>
        <w:gridCol w:w="1017"/>
        <w:gridCol w:w="1329"/>
        <w:gridCol w:w="845"/>
        <w:gridCol w:w="1066"/>
        <w:gridCol w:w="1212"/>
        <w:gridCol w:w="861"/>
      </w:tblGrid>
      <w:tr w:rsidR="006D40A7" w:rsidRPr="006D40A7" w14:paraId="0B0DED92" w14:textId="77777777" w:rsidTr="006D40A7">
        <w:trPr>
          <w:trHeight w:val="285"/>
          <w:jc w:val="center"/>
        </w:trPr>
        <w:tc>
          <w:tcPr>
            <w:tcW w:w="851" w:type="dxa"/>
            <w:vMerge w:val="restart"/>
            <w:tcBorders>
              <w:top w:val="nil"/>
              <w:left w:val="nil"/>
              <w:bottom w:val="single" w:sz="8" w:space="0" w:color="D9D9D9"/>
              <w:right w:val="single" w:sz="8" w:space="0" w:color="FFFFFF"/>
            </w:tcBorders>
            <w:shd w:val="clear" w:color="auto" w:fill="15272F"/>
            <w:vAlign w:val="center"/>
            <w:hideMark/>
          </w:tcPr>
          <w:p w14:paraId="44488D89" w14:textId="77777777" w:rsidR="006D40A7" w:rsidRPr="0009351E" w:rsidRDefault="006D40A7" w:rsidP="0009351E">
            <w:pPr>
              <w:spacing w:before="40" w:after="40"/>
              <w:jc w:val="center"/>
              <w:rPr>
                <w:rFonts w:cs="Arial"/>
                <w:b/>
                <w:bCs/>
                <w:color w:val="FFFFFF" w:themeColor="background2"/>
                <w:sz w:val="16"/>
                <w:szCs w:val="16"/>
              </w:rPr>
            </w:pPr>
            <w:r w:rsidRPr="0009351E">
              <w:rPr>
                <w:rFonts w:cs="Arial"/>
                <w:b/>
                <w:bCs/>
                <w:color w:val="FFFFFF" w:themeColor="background2"/>
                <w:sz w:val="16"/>
                <w:szCs w:val="16"/>
              </w:rPr>
              <w:t>Series</w:t>
            </w:r>
          </w:p>
        </w:tc>
        <w:tc>
          <w:tcPr>
            <w:tcW w:w="3143" w:type="dxa"/>
            <w:gridSpan w:val="3"/>
            <w:tcBorders>
              <w:top w:val="single" w:sz="8" w:space="0" w:color="auto"/>
              <w:left w:val="nil"/>
              <w:bottom w:val="single" w:sz="8" w:space="0" w:color="FFFFFF"/>
              <w:right w:val="single" w:sz="8" w:space="0" w:color="FFFFFF"/>
            </w:tcBorders>
            <w:shd w:val="clear" w:color="auto" w:fill="15272F"/>
            <w:vAlign w:val="center"/>
            <w:hideMark/>
          </w:tcPr>
          <w:p w14:paraId="2E6A8DA6" w14:textId="77777777" w:rsidR="006D40A7" w:rsidRPr="0009351E" w:rsidRDefault="006D40A7" w:rsidP="0009351E">
            <w:pPr>
              <w:spacing w:before="40" w:after="40"/>
              <w:jc w:val="center"/>
              <w:rPr>
                <w:rFonts w:cs="Arial"/>
                <w:b/>
                <w:bCs/>
                <w:color w:val="FFFFFF" w:themeColor="background2"/>
                <w:sz w:val="16"/>
                <w:szCs w:val="16"/>
              </w:rPr>
            </w:pPr>
            <w:r w:rsidRPr="0009351E">
              <w:rPr>
                <w:rFonts w:cs="Arial"/>
                <w:b/>
                <w:bCs/>
                <w:color w:val="FFFFFF" w:themeColor="background2"/>
                <w:sz w:val="16"/>
                <w:szCs w:val="16"/>
              </w:rPr>
              <w:t>2021-22</w:t>
            </w:r>
          </w:p>
        </w:tc>
        <w:tc>
          <w:tcPr>
            <w:tcW w:w="3143" w:type="dxa"/>
            <w:gridSpan w:val="3"/>
            <w:tcBorders>
              <w:top w:val="single" w:sz="8" w:space="0" w:color="auto"/>
              <w:left w:val="nil"/>
              <w:bottom w:val="single" w:sz="8" w:space="0" w:color="FFFFFF"/>
              <w:right w:val="single" w:sz="4" w:space="0" w:color="FFFFFF" w:themeColor="background2"/>
            </w:tcBorders>
            <w:shd w:val="clear" w:color="auto" w:fill="15272F"/>
            <w:vAlign w:val="center"/>
            <w:hideMark/>
          </w:tcPr>
          <w:p w14:paraId="48C8DAB8" w14:textId="77777777" w:rsidR="006D40A7" w:rsidRPr="0009351E" w:rsidRDefault="006D40A7" w:rsidP="0009351E">
            <w:pPr>
              <w:spacing w:before="40" w:after="40"/>
              <w:jc w:val="center"/>
              <w:rPr>
                <w:rFonts w:cs="Arial"/>
                <w:b/>
                <w:bCs/>
                <w:color w:val="FFFFFF" w:themeColor="background2"/>
                <w:sz w:val="16"/>
                <w:szCs w:val="16"/>
              </w:rPr>
            </w:pPr>
            <w:r w:rsidRPr="0009351E">
              <w:rPr>
                <w:rFonts w:cs="Arial"/>
                <w:b/>
                <w:bCs/>
                <w:color w:val="FFFFFF" w:themeColor="background2"/>
                <w:sz w:val="16"/>
                <w:szCs w:val="16"/>
              </w:rPr>
              <w:t>2022-23</w:t>
            </w:r>
          </w:p>
        </w:tc>
        <w:tc>
          <w:tcPr>
            <w:tcW w:w="3216" w:type="dxa"/>
            <w:gridSpan w:val="3"/>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15272F"/>
            <w:vAlign w:val="center"/>
            <w:hideMark/>
          </w:tcPr>
          <w:p w14:paraId="5C7B8E46" w14:textId="77777777" w:rsidR="006D40A7" w:rsidRPr="0009351E" w:rsidRDefault="006D40A7" w:rsidP="0009351E">
            <w:pPr>
              <w:spacing w:before="40" w:after="40"/>
              <w:jc w:val="center"/>
              <w:rPr>
                <w:rFonts w:cs="Arial"/>
                <w:b/>
                <w:bCs/>
                <w:color w:val="FFFFFF" w:themeColor="background2"/>
                <w:sz w:val="16"/>
                <w:szCs w:val="16"/>
              </w:rPr>
            </w:pPr>
            <w:r w:rsidRPr="0009351E">
              <w:rPr>
                <w:rFonts w:cs="Arial"/>
                <w:b/>
                <w:bCs/>
                <w:color w:val="FFFFFF" w:themeColor="background2"/>
                <w:sz w:val="16"/>
                <w:szCs w:val="16"/>
              </w:rPr>
              <w:t>Change</w:t>
            </w:r>
          </w:p>
        </w:tc>
      </w:tr>
      <w:tr w:rsidR="006D40A7" w:rsidRPr="006D40A7" w14:paraId="2DB632AB" w14:textId="77777777" w:rsidTr="006D40A7">
        <w:trPr>
          <w:trHeight w:val="290"/>
          <w:jc w:val="center"/>
        </w:trPr>
        <w:tc>
          <w:tcPr>
            <w:tcW w:w="0" w:type="auto"/>
            <w:vMerge/>
            <w:tcBorders>
              <w:top w:val="nil"/>
              <w:left w:val="nil"/>
              <w:bottom w:val="single" w:sz="8" w:space="0" w:color="D9D9D9"/>
              <w:right w:val="single" w:sz="8" w:space="0" w:color="FFFFFF"/>
            </w:tcBorders>
            <w:vAlign w:val="center"/>
            <w:hideMark/>
          </w:tcPr>
          <w:p w14:paraId="305FC139" w14:textId="77777777" w:rsidR="006D40A7" w:rsidRPr="0009351E" w:rsidRDefault="006D40A7" w:rsidP="0009351E">
            <w:pPr>
              <w:spacing w:before="40" w:after="40"/>
              <w:jc w:val="center"/>
              <w:rPr>
                <w:rFonts w:cs="Arial"/>
                <w:b/>
                <w:bCs/>
                <w:color w:val="FFFFFF" w:themeColor="background2"/>
                <w:sz w:val="16"/>
                <w:szCs w:val="16"/>
              </w:rPr>
            </w:pPr>
          </w:p>
        </w:tc>
        <w:tc>
          <w:tcPr>
            <w:tcW w:w="1017" w:type="dxa"/>
            <w:tcBorders>
              <w:top w:val="nil"/>
              <w:left w:val="nil"/>
              <w:bottom w:val="single" w:sz="8" w:space="0" w:color="D9D9D9"/>
              <w:right w:val="single" w:sz="8" w:space="0" w:color="FFFFFF"/>
            </w:tcBorders>
            <w:shd w:val="clear" w:color="auto" w:fill="15272F"/>
            <w:vAlign w:val="center"/>
            <w:hideMark/>
          </w:tcPr>
          <w:p w14:paraId="6484709C" w14:textId="32B5F5DD" w:rsidR="006D40A7" w:rsidRPr="0009351E" w:rsidRDefault="006D40A7" w:rsidP="0009351E">
            <w:pPr>
              <w:spacing w:before="40" w:after="40"/>
              <w:jc w:val="center"/>
              <w:rPr>
                <w:rFonts w:cs="Arial"/>
                <w:b/>
                <w:bCs/>
                <w:color w:val="FFFFFF" w:themeColor="background2"/>
                <w:sz w:val="16"/>
                <w:szCs w:val="16"/>
              </w:rPr>
            </w:pPr>
            <w:r>
              <w:rPr>
                <w:rFonts w:cs="Arial"/>
                <w:b/>
                <w:bCs/>
                <w:color w:val="FFFFFF" w:themeColor="background2"/>
                <w:sz w:val="16"/>
                <w:szCs w:val="16"/>
              </w:rPr>
              <w:t>Records</w:t>
            </w:r>
          </w:p>
        </w:tc>
        <w:tc>
          <w:tcPr>
            <w:tcW w:w="1240" w:type="dxa"/>
            <w:tcBorders>
              <w:top w:val="nil"/>
              <w:left w:val="nil"/>
              <w:bottom w:val="single" w:sz="8" w:space="0" w:color="D9D9D9"/>
              <w:right w:val="single" w:sz="8" w:space="0" w:color="FFFFFF"/>
            </w:tcBorders>
            <w:shd w:val="clear" w:color="auto" w:fill="15272F"/>
            <w:vAlign w:val="center"/>
            <w:hideMark/>
          </w:tcPr>
          <w:p w14:paraId="47E106C2" w14:textId="34870B4E" w:rsidR="006D40A7" w:rsidRPr="0009351E" w:rsidRDefault="006D40A7" w:rsidP="0009351E">
            <w:pPr>
              <w:spacing w:before="40" w:after="40"/>
              <w:jc w:val="center"/>
              <w:rPr>
                <w:rFonts w:cs="Arial"/>
                <w:b/>
                <w:bCs/>
                <w:color w:val="FFFFFF" w:themeColor="background2"/>
                <w:sz w:val="16"/>
                <w:szCs w:val="16"/>
              </w:rPr>
            </w:pPr>
            <w:r w:rsidRPr="0009351E">
              <w:rPr>
                <w:rFonts w:cs="Arial"/>
                <w:b/>
                <w:bCs/>
                <w:color w:val="FFFFFF" w:themeColor="background2"/>
                <w:sz w:val="16"/>
                <w:szCs w:val="16"/>
              </w:rPr>
              <w:t>Cost</w:t>
            </w:r>
            <w:r>
              <w:rPr>
                <w:rFonts w:cs="Arial"/>
                <w:b/>
                <w:bCs/>
                <w:color w:val="FFFFFF" w:themeColor="background2"/>
                <w:sz w:val="16"/>
                <w:szCs w:val="16"/>
              </w:rPr>
              <w:t xml:space="preserve"> ($)</w:t>
            </w:r>
          </w:p>
        </w:tc>
        <w:tc>
          <w:tcPr>
            <w:tcW w:w="886" w:type="dxa"/>
            <w:tcBorders>
              <w:top w:val="nil"/>
              <w:left w:val="nil"/>
              <w:bottom w:val="single" w:sz="8" w:space="0" w:color="D9D9D9"/>
              <w:right w:val="single" w:sz="8" w:space="0" w:color="FFFFFF"/>
            </w:tcBorders>
            <w:shd w:val="clear" w:color="auto" w:fill="15272F"/>
            <w:vAlign w:val="center"/>
            <w:hideMark/>
          </w:tcPr>
          <w:p w14:paraId="1ECD2482" w14:textId="77777777" w:rsidR="006D40A7" w:rsidRPr="0009351E" w:rsidRDefault="006D40A7" w:rsidP="0009351E">
            <w:pPr>
              <w:spacing w:before="40" w:after="40"/>
              <w:jc w:val="center"/>
              <w:rPr>
                <w:rFonts w:cs="Arial"/>
                <w:b/>
                <w:bCs/>
                <w:color w:val="FFFFFF" w:themeColor="background2"/>
                <w:sz w:val="16"/>
                <w:szCs w:val="16"/>
              </w:rPr>
            </w:pPr>
            <w:r w:rsidRPr="0009351E">
              <w:rPr>
                <w:rFonts w:cs="Arial"/>
                <w:b/>
                <w:bCs/>
                <w:color w:val="FFFFFF" w:themeColor="background2"/>
                <w:sz w:val="16"/>
                <w:szCs w:val="16"/>
              </w:rPr>
              <w:t>Av cost</w:t>
            </w:r>
          </w:p>
        </w:tc>
        <w:tc>
          <w:tcPr>
            <w:tcW w:w="1017" w:type="dxa"/>
            <w:tcBorders>
              <w:top w:val="nil"/>
              <w:left w:val="nil"/>
              <w:bottom w:val="single" w:sz="8" w:space="0" w:color="D9D9D9"/>
              <w:right w:val="single" w:sz="8" w:space="0" w:color="FFFFFF"/>
            </w:tcBorders>
            <w:shd w:val="clear" w:color="auto" w:fill="15272F"/>
            <w:vAlign w:val="center"/>
            <w:hideMark/>
          </w:tcPr>
          <w:p w14:paraId="3EFE5582" w14:textId="3B377C7E" w:rsidR="006D40A7" w:rsidRPr="0009351E" w:rsidRDefault="006D40A7" w:rsidP="0009351E">
            <w:pPr>
              <w:spacing w:before="40" w:after="40"/>
              <w:jc w:val="center"/>
              <w:rPr>
                <w:rFonts w:cs="Arial"/>
                <w:b/>
                <w:bCs/>
                <w:color w:val="FFFFFF" w:themeColor="background2"/>
                <w:sz w:val="16"/>
                <w:szCs w:val="16"/>
              </w:rPr>
            </w:pPr>
            <w:r>
              <w:rPr>
                <w:rFonts w:cs="Arial"/>
                <w:b/>
                <w:bCs/>
                <w:color w:val="FFFFFF" w:themeColor="background2"/>
                <w:sz w:val="16"/>
                <w:szCs w:val="16"/>
              </w:rPr>
              <w:t>Records</w:t>
            </w:r>
          </w:p>
        </w:tc>
        <w:tc>
          <w:tcPr>
            <w:tcW w:w="1240" w:type="dxa"/>
            <w:tcBorders>
              <w:top w:val="nil"/>
              <w:left w:val="nil"/>
              <w:bottom w:val="single" w:sz="8" w:space="0" w:color="D9D9D9"/>
              <w:right w:val="single" w:sz="8" w:space="0" w:color="FFFFFF"/>
            </w:tcBorders>
            <w:shd w:val="clear" w:color="auto" w:fill="15272F"/>
            <w:vAlign w:val="center"/>
            <w:hideMark/>
          </w:tcPr>
          <w:p w14:paraId="3E23449A" w14:textId="256BC6FF" w:rsidR="006D40A7" w:rsidRPr="0009351E" w:rsidRDefault="006D40A7" w:rsidP="0009351E">
            <w:pPr>
              <w:spacing w:before="40" w:after="40"/>
              <w:jc w:val="center"/>
              <w:rPr>
                <w:rFonts w:cs="Arial"/>
                <w:b/>
                <w:bCs/>
                <w:color w:val="FFFFFF" w:themeColor="background2"/>
                <w:sz w:val="16"/>
                <w:szCs w:val="16"/>
              </w:rPr>
            </w:pPr>
            <w:r w:rsidRPr="0009351E">
              <w:rPr>
                <w:rFonts w:cs="Arial"/>
                <w:b/>
                <w:bCs/>
                <w:color w:val="FFFFFF" w:themeColor="background2"/>
                <w:sz w:val="16"/>
                <w:szCs w:val="16"/>
              </w:rPr>
              <w:t>Cost</w:t>
            </w:r>
            <w:r>
              <w:rPr>
                <w:rFonts w:cs="Arial"/>
                <w:b/>
                <w:bCs/>
                <w:color w:val="FFFFFF" w:themeColor="background2"/>
                <w:sz w:val="16"/>
                <w:szCs w:val="16"/>
              </w:rPr>
              <w:t xml:space="preserve"> ($)</w:t>
            </w:r>
          </w:p>
        </w:tc>
        <w:tc>
          <w:tcPr>
            <w:tcW w:w="886" w:type="dxa"/>
            <w:tcBorders>
              <w:top w:val="nil"/>
              <w:left w:val="nil"/>
              <w:bottom w:val="single" w:sz="8" w:space="0" w:color="D9D9D9"/>
              <w:right w:val="single" w:sz="8" w:space="0" w:color="FFFFFF"/>
            </w:tcBorders>
            <w:shd w:val="clear" w:color="auto" w:fill="15272F"/>
            <w:vAlign w:val="center"/>
            <w:hideMark/>
          </w:tcPr>
          <w:p w14:paraId="6A0BA2C2" w14:textId="77777777" w:rsidR="006D40A7" w:rsidRPr="0009351E" w:rsidRDefault="006D40A7" w:rsidP="0009351E">
            <w:pPr>
              <w:spacing w:before="40" w:after="40"/>
              <w:jc w:val="center"/>
              <w:rPr>
                <w:rFonts w:cs="Arial"/>
                <w:b/>
                <w:bCs/>
                <w:color w:val="FFFFFF" w:themeColor="background2"/>
                <w:sz w:val="16"/>
                <w:szCs w:val="16"/>
              </w:rPr>
            </w:pPr>
            <w:r w:rsidRPr="0009351E">
              <w:rPr>
                <w:rFonts w:cs="Arial"/>
                <w:b/>
                <w:bCs/>
                <w:color w:val="FFFFFF" w:themeColor="background2"/>
                <w:sz w:val="16"/>
                <w:szCs w:val="16"/>
              </w:rPr>
              <w:t>Av cost</w:t>
            </w:r>
          </w:p>
        </w:tc>
        <w:tc>
          <w:tcPr>
            <w:tcW w:w="1085" w:type="dxa"/>
            <w:tcBorders>
              <w:top w:val="single" w:sz="8" w:space="0" w:color="D9D9D9"/>
              <w:left w:val="nil"/>
              <w:bottom w:val="single" w:sz="8" w:space="0" w:color="D9D9D9"/>
              <w:right w:val="single" w:sz="4" w:space="0" w:color="FFFFFF" w:themeColor="background2"/>
            </w:tcBorders>
            <w:shd w:val="clear" w:color="auto" w:fill="15272F"/>
            <w:vAlign w:val="center"/>
            <w:hideMark/>
          </w:tcPr>
          <w:p w14:paraId="5B6FCC02" w14:textId="656CDEEB" w:rsidR="006D40A7" w:rsidRPr="0009351E" w:rsidRDefault="006D40A7" w:rsidP="0009351E">
            <w:pPr>
              <w:spacing w:before="40" w:after="40"/>
              <w:jc w:val="center"/>
              <w:rPr>
                <w:rFonts w:cs="Arial"/>
                <w:b/>
                <w:bCs/>
                <w:color w:val="FFFFFF" w:themeColor="background2"/>
                <w:sz w:val="16"/>
                <w:szCs w:val="16"/>
              </w:rPr>
            </w:pPr>
            <w:r>
              <w:rPr>
                <w:rFonts w:cs="Arial"/>
                <w:b/>
                <w:bCs/>
                <w:color w:val="FFFFFF" w:themeColor="background2"/>
                <w:sz w:val="16"/>
                <w:szCs w:val="16"/>
              </w:rPr>
              <w:t>Records</w:t>
            </w:r>
          </w:p>
        </w:tc>
        <w:tc>
          <w:tcPr>
            <w:tcW w:w="122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15272F"/>
            <w:vAlign w:val="center"/>
            <w:hideMark/>
          </w:tcPr>
          <w:p w14:paraId="6AF25944" w14:textId="51B49505" w:rsidR="006D40A7" w:rsidRPr="0009351E" w:rsidRDefault="006D40A7" w:rsidP="0009351E">
            <w:pPr>
              <w:spacing w:before="40" w:after="40"/>
              <w:jc w:val="center"/>
              <w:rPr>
                <w:rFonts w:cs="Arial"/>
                <w:b/>
                <w:bCs/>
                <w:color w:val="FFFFFF" w:themeColor="background2"/>
                <w:sz w:val="16"/>
                <w:szCs w:val="16"/>
              </w:rPr>
            </w:pPr>
            <w:r w:rsidRPr="0009351E">
              <w:rPr>
                <w:rFonts w:cs="Arial"/>
                <w:b/>
                <w:bCs/>
                <w:color w:val="FFFFFF" w:themeColor="background2"/>
                <w:sz w:val="16"/>
                <w:szCs w:val="16"/>
              </w:rPr>
              <w:t>Cost</w:t>
            </w:r>
            <w:r>
              <w:rPr>
                <w:rFonts w:cs="Arial"/>
                <w:b/>
                <w:bCs/>
                <w:color w:val="FFFFFF" w:themeColor="background2"/>
                <w:sz w:val="16"/>
                <w:szCs w:val="16"/>
              </w:rPr>
              <w:t xml:space="preserve"> ($)</w:t>
            </w:r>
          </w:p>
        </w:tc>
        <w:tc>
          <w:tcPr>
            <w:tcW w:w="88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15272F"/>
            <w:vAlign w:val="center"/>
            <w:hideMark/>
          </w:tcPr>
          <w:p w14:paraId="6E577F29" w14:textId="77777777" w:rsidR="006D40A7" w:rsidRPr="0009351E" w:rsidRDefault="006D40A7" w:rsidP="0009351E">
            <w:pPr>
              <w:spacing w:before="40" w:after="40"/>
              <w:jc w:val="center"/>
              <w:rPr>
                <w:rFonts w:cs="Arial"/>
                <w:b/>
                <w:bCs/>
                <w:color w:val="FFFFFF" w:themeColor="background2"/>
                <w:sz w:val="16"/>
                <w:szCs w:val="16"/>
              </w:rPr>
            </w:pPr>
            <w:r w:rsidRPr="0009351E">
              <w:rPr>
                <w:rFonts w:cs="Arial"/>
                <w:b/>
                <w:bCs/>
                <w:color w:val="FFFFFF" w:themeColor="background2"/>
                <w:sz w:val="16"/>
                <w:szCs w:val="16"/>
              </w:rPr>
              <w:t>Av cost</w:t>
            </w:r>
          </w:p>
        </w:tc>
      </w:tr>
      <w:tr w:rsidR="006D40A7" w:rsidRPr="006D40A7" w14:paraId="32E20A8B" w14:textId="77777777" w:rsidTr="0009351E">
        <w:trPr>
          <w:trHeight w:val="290"/>
          <w:jc w:val="center"/>
        </w:trPr>
        <w:tc>
          <w:tcPr>
            <w:tcW w:w="851" w:type="dxa"/>
            <w:tcBorders>
              <w:top w:val="nil"/>
              <w:left w:val="nil"/>
              <w:bottom w:val="single" w:sz="8" w:space="0" w:color="D9D9D9"/>
              <w:right w:val="single" w:sz="8" w:space="0" w:color="FFFFFF"/>
            </w:tcBorders>
            <w:vAlign w:val="center"/>
            <w:hideMark/>
          </w:tcPr>
          <w:p w14:paraId="41C29DD1" w14:textId="77777777" w:rsidR="006D40A7" w:rsidRPr="0009351E" w:rsidRDefault="006D40A7" w:rsidP="0009351E">
            <w:pPr>
              <w:spacing w:before="40" w:after="40"/>
              <w:rPr>
                <w:rFonts w:cs="Arial"/>
                <w:sz w:val="16"/>
                <w:szCs w:val="16"/>
              </w:rPr>
            </w:pPr>
            <w:r w:rsidRPr="0009351E">
              <w:rPr>
                <w:rFonts w:cs="Arial"/>
                <w:sz w:val="16"/>
                <w:szCs w:val="16"/>
              </w:rPr>
              <w:t>10</w:t>
            </w:r>
          </w:p>
        </w:tc>
        <w:tc>
          <w:tcPr>
            <w:tcW w:w="1017" w:type="dxa"/>
            <w:tcBorders>
              <w:top w:val="nil"/>
              <w:left w:val="nil"/>
              <w:bottom w:val="nil"/>
              <w:right w:val="single" w:sz="8" w:space="0" w:color="FFFFFF"/>
            </w:tcBorders>
            <w:shd w:val="clear" w:color="auto" w:fill="F2F2F2"/>
            <w:vAlign w:val="center"/>
            <w:hideMark/>
          </w:tcPr>
          <w:p w14:paraId="622D30A4" w14:textId="77777777" w:rsidR="006D40A7" w:rsidRPr="0009351E" w:rsidRDefault="006D40A7" w:rsidP="0009351E">
            <w:pPr>
              <w:spacing w:before="40" w:after="40"/>
              <w:jc w:val="right"/>
              <w:rPr>
                <w:rFonts w:cs="Arial"/>
                <w:b/>
                <w:sz w:val="16"/>
                <w:szCs w:val="16"/>
                <w:u w:val="single"/>
              </w:rPr>
            </w:pPr>
            <w:r w:rsidRPr="0009351E">
              <w:rPr>
                <w:rFonts w:cs="Arial"/>
                <w:sz w:val="16"/>
                <w:szCs w:val="16"/>
              </w:rPr>
              <w:t>6,152,648</w:t>
            </w:r>
          </w:p>
        </w:tc>
        <w:tc>
          <w:tcPr>
            <w:tcW w:w="1240" w:type="dxa"/>
            <w:tcBorders>
              <w:top w:val="nil"/>
              <w:left w:val="nil"/>
              <w:bottom w:val="nil"/>
              <w:right w:val="single" w:sz="8" w:space="0" w:color="FFFFFF"/>
            </w:tcBorders>
            <w:shd w:val="clear" w:color="auto" w:fill="F2F2F2"/>
            <w:vAlign w:val="center"/>
            <w:hideMark/>
          </w:tcPr>
          <w:p w14:paraId="7AAFFBFC" w14:textId="77777777" w:rsidR="006D40A7" w:rsidRPr="0009351E" w:rsidRDefault="006D40A7" w:rsidP="0009351E">
            <w:pPr>
              <w:spacing w:before="40" w:after="40"/>
              <w:jc w:val="right"/>
              <w:rPr>
                <w:rFonts w:cs="Arial"/>
                <w:b/>
                <w:sz w:val="16"/>
                <w:szCs w:val="16"/>
                <w:u w:val="single"/>
              </w:rPr>
            </w:pPr>
            <w:r w:rsidRPr="0009351E">
              <w:rPr>
                <w:rFonts w:cs="Arial"/>
                <w:sz w:val="16"/>
                <w:szCs w:val="16"/>
              </w:rPr>
              <w:t>1,557,674,602</w:t>
            </w:r>
          </w:p>
        </w:tc>
        <w:tc>
          <w:tcPr>
            <w:tcW w:w="886" w:type="dxa"/>
            <w:tcBorders>
              <w:top w:val="nil"/>
              <w:left w:val="nil"/>
              <w:bottom w:val="nil"/>
              <w:right w:val="single" w:sz="8" w:space="0" w:color="FFFFFF"/>
            </w:tcBorders>
            <w:shd w:val="clear" w:color="auto" w:fill="F2F2F2"/>
            <w:vAlign w:val="center"/>
            <w:hideMark/>
          </w:tcPr>
          <w:p w14:paraId="4C62EEC7" w14:textId="77777777" w:rsidR="006D40A7" w:rsidRPr="0009351E" w:rsidRDefault="006D40A7" w:rsidP="0009351E">
            <w:pPr>
              <w:spacing w:before="40" w:after="40"/>
              <w:jc w:val="right"/>
              <w:rPr>
                <w:rFonts w:cs="Arial"/>
                <w:b/>
                <w:sz w:val="16"/>
                <w:szCs w:val="16"/>
                <w:u w:val="single"/>
              </w:rPr>
            </w:pPr>
            <w:r w:rsidRPr="0009351E">
              <w:rPr>
                <w:rFonts w:cs="Arial"/>
                <w:sz w:val="16"/>
                <w:szCs w:val="16"/>
              </w:rPr>
              <w:t>253</w:t>
            </w:r>
          </w:p>
        </w:tc>
        <w:tc>
          <w:tcPr>
            <w:tcW w:w="1017" w:type="dxa"/>
            <w:tcBorders>
              <w:top w:val="nil"/>
              <w:left w:val="nil"/>
              <w:bottom w:val="single" w:sz="8" w:space="0" w:color="D9D9D9"/>
              <w:right w:val="single" w:sz="8" w:space="0" w:color="FFFFFF"/>
            </w:tcBorders>
            <w:shd w:val="clear" w:color="auto" w:fill="F2F2F2"/>
            <w:vAlign w:val="center"/>
            <w:hideMark/>
          </w:tcPr>
          <w:p w14:paraId="0A6F286E" w14:textId="77777777" w:rsidR="006D40A7" w:rsidRPr="0009351E" w:rsidRDefault="006D40A7" w:rsidP="0009351E">
            <w:pPr>
              <w:spacing w:before="40" w:after="40"/>
              <w:jc w:val="right"/>
              <w:rPr>
                <w:rFonts w:cs="Arial"/>
                <w:sz w:val="16"/>
                <w:szCs w:val="16"/>
              </w:rPr>
            </w:pPr>
            <w:r w:rsidRPr="0009351E">
              <w:rPr>
                <w:rFonts w:cs="Arial"/>
                <w:sz w:val="16"/>
                <w:szCs w:val="16"/>
              </w:rPr>
              <w:t>1,556,074</w:t>
            </w:r>
          </w:p>
        </w:tc>
        <w:tc>
          <w:tcPr>
            <w:tcW w:w="1240" w:type="dxa"/>
            <w:tcBorders>
              <w:top w:val="nil"/>
              <w:left w:val="nil"/>
              <w:bottom w:val="nil"/>
              <w:right w:val="single" w:sz="8" w:space="0" w:color="FFFFFF"/>
            </w:tcBorders>
            <w:shd w:val="clear" w:color="auto" w:fill="F2F2F2"/>
            <w:vAlign w:val="center"/>
            <w:hideMark/>
          </w:tcPr>
          <w:p w14:paraId="656EB928" w14:textId="77777777" w:rsidR="006D40A7" w:rsidRPr="0009351E" w:rsidRDefault="006D40A7" w:rsidP="0009351E">
            <w:pPr>
              <w:spacing w:before="40" w:after="40"/>
              <w:jc w:val="right"/>
              <w:rPr>
                <w:rFonts w:cs="Arial"/>
                <w:sz w:val="16"/>
                <w:szCs w:val="16"/>
              </w:rPr>
            </w:pPr>
            <w:r w:rsidRPr="0009351E">
              <w:rPr>
                <w:rFonts w:cs="Arial"/>
                <w:sz w:val="16"/>
                <w:szCs w:val="16"/>
              </w:rPr>
              <w:t>1,375,153,467</w:t>
            </w:r>
          </w:p>
        </w:tc>
        <w:tc>
          <w:tcPr>
            <w:tcW w:w="886" w:type="dxa"/>
            <w:tcBorders>
              <w:top w:val="nil"/>
              <w:left w:val="nil"/>
              <w:bottom w:val="nil"/>
              <w:right w:val="single" w:sz="8" w:space="0" w:color="FFFFFF"/>
            </w:tcBorders>
            <w:shd w:val="clear" w:color="auto" w:fill="F2F2F2"/>
            <w:vAlign w:val="center"/>
            <w:hideMark/>
          </w:tcPr>
          <w:p w14:paraId="63C23262" w14:textId="77777777" w:rsidR="006D40A7" w:rsidRPr="0009351E" w:rsidRDefault="006D40A7" w:rsidP="0009351E">
            <w:pPr>
              <w:spacing w:before="40" w:after="40"/>
              <w:jc w:val="right"/>
              <w:rPr>
                <w:rFonts w:cs="Arial"/>
                <w:b/>
                <w:sz w:val="16"/>
                <w:szCs w:val="16"/>
                <w:u w:val="single"/>
              </w:rPr>
            </w:pPr>
            <w:r w:rsidRPr="0009351E">
              <w:rPr>
                <w:rFonts w:cs="Arial"/>
                <w:sz w:val="16"/>
                <w:szCs w:val="16"/>
              </w:rPr>
              <w:t>884</w:t>
            </w:r>
          </w:p>
        </w:tc>
        <w:tc>
          <w:tcPr>
            <w:tcW w:w="1085" w:type="dxa"/>
            <w:tcBorders>
              <w:top w:val="nil"/>
              <w:left w:val="nil"/>
              <w:bottom w:val="nil"/>
              <w:right w:val="single" w:sz="8" w:space="0" w:color="FFFFFF"/>
            </w:tcBorders>
            <w:shd w:val="clear" w:color="auto" w:fill="F2F2F2"/>
            <w:vAlign w:val="center"/>
            <w:hideMark/>
          </w:tcPr>
          <w:p w14:paraId="2C13C74C" w14:textId="77777777" w:rsidR="006D40A7" w:rsidRPr="0009351E" w:rsidRDefault="006D40A7" w:rsidP="0009351E">
            <w:pPr>
              <w:spacing w:before="40" w:after="40"/>
              <w:jc w:val="right"/>
              <w:rPr>
                <w:rFonts w:cs="Arial"/>
                <w:sz w:val="16"/>
                <w:szCs w:val="16"/>
              </w:rPr>
            </w:pPr>
            <w:r w:rsidRPr="0009351E">
              <w:rPr>
                <w:rFonts w:cs="Arial"/>
                <w:sz w:val="16"/>
                <w:szCs w:val="16"/>
              </w:rPr>
              <w:t>- 4,596,574</w:t>
            </w:r>
          </w:p>
        </w:tc>
        <w:tc>
          <w:tcPr>
            <w:tcW w:w="1227" w:type="dxa"/>
            <w:tcBorders>
              <w:top w:val="single" w:sz="4" w:space="0" w:color="FFFFFF" w:themeColor="background2"/>
              <w:left w:val="nil"/>
              <w:bottom w:val="nil"/>
              <w:right w:val="single" w:sz="8" w:space="0" w:color="FFFFFF"/>
            </w:tcBorders>
            <w:shd w:val="clear" w:color="auto" w:fill="F2F2F2"/>
            <w:vAlign w:val="center"/>
            <w:hideMark/>
          </w:tcPr>
          <w:p w14:paraId="0DD18574" w14:textId="77777777" w:rsidR="006D40A7" w:rsidRPr="0009351E" w:rsidRDefault="006D40A7" w:rsidP="0009351E">
            <w:pPr>
              <w:spacing w:before="40" w:after="40"/>
              <w:jc w:val="right"/>
              <w:rPr>
                <w:rFonts w:cs="Arial"/>
                <w:sz w:val="16"/>
                <w:szCs w:val="16"/>
              </w:rPr>
            </w:pPr>
            <w:r w:rsidRPr="0009351E">
              <w:rPr>
                <w:rFonts w:cs="Arial"/>
                <w:sz w:val="16"/>
                <w:szCs w:val="16"/>
              </w:rPr>
              <w:t>- 182,521,135</w:t>
            </w:r>
          </w:p>
        </w:tc>
        <w:tc>
          <w:tcPr>
            <w:tcW w:w="887" w:type="dxa"/>
            <w:tcBorders>
              <w:top w:val="single" w:sz="4" w:space="0" w:color="FFFFFF" w:themeColor="background2"/>
              <w:left w:val="nil"/>
              <w:bottom w:val="nil"/>
              <w:right w:val="single" w:sz="8" w:space="0" w:color="FFFFFF"/>
            </w:tcBorders>
            <w:shd w:val="clear" w:color="auto" w:fill="F2F2F2"/>
            <w:vAlign w:val="center"/>
            <w:hideMark/>
          </w:tcPr>
          <w:p w14:paraId="39F97A9F" w14:textId="77777777" w:rsidR="006D40A7" w:rsidRPr="0009351E" w:rsidRDefault="006D40A7" w:rsidP="0009351E">
            <w:pPr>
              <w:spacing w:before="40" w:after="40"/>
              <w:jc w:val="right"/>
              <w:rPr>
                <w:rFonts w:cs="Arial"/>
                <w:sz w:val="16"/>
                <w:szCs w:val="16"/>
              </w:rPr>
            </w:pPr>
            <w:r w:rsidRPr="0009351E">
              <w:rPr>
                <w:rFonts w:cs="Arial"/>
                <w:sz w:val="16"/>
                <w:szCs w:val="16"/>
              </w:rPr>
              <w:t>631</w:t>
            </w:r>
          </w:p>
        </w:tc>
      </w:tr>
      <w:tr w:rsidR="006D40A7" w:rsidRPr="006D40A7" w14:paraId="122D1357" w14:textId="77777777" w:rsidTr="0009351E">
        <w:trPr>
          <w:trHeight w:val="290"/>
          <w:jc w:val="center"/>
        </w:trPr>
        <w:tc>
          <w:tcPr>
            <w:tcW w:w="851" w:type="dxa"/>
            <w:tcBorders>
              <w:top w:val="nil"/>
              <w:left w:val="nil"/>
              <w:bottom w:val="single" w:sz="8" w:space="0" w:color="D9D9D9"/>
              <w:right w:val="single" w:sz="8" w:space="0" w:color="FFFFFF"/>
            </w:tcBorders>
            <w:vAlign w:val="center"/>
            <w:hideMark/>
          </w:tcPr>
          <w:p w14:paraId="24BB35BD" w14:textId="77777777" w:rsidR="006D40A7" w:rsidRPr="0009351E" w:rsidRDefault="006D40A7" w:rsidP="0009351E">
            <w:pPr>
              <w:spacing w:before="40" w:after="40"/>
              <w:rPr>
                <w:rFonts w:cs="Arial"/>
                <w:sz w:val="16"/>
                <w:szCs w:val="16"/>
              </w:rPr>
            </w:pPr>
            <w:r w:rsidRPr="0009351E">
              <w:rPr>
                <w:rFonts w:cs="Arial"/>
                <w:sz w:val="16"/>
                <w:szCs w:val="16"/>
              </w:rPr>
              <w:t>20</w:t>
            </w:r>
          </w:p>
        </w:tc>
        <w:tc>
          <w:tcPr>
            <w:tcW w:w="1017" w:type="dxa"/>
            <w:tcBorders>
              <w:top w:val="single" w:sz="8" w:space="0" w:color="D9D9D9"/>
              <w:left w:val="nil"/>
              <w:bottom w:val="single" w:sz="8" w:space="0" w:color="D9D9D9"/>
              <w:right w:val="single" w:sz="8" w:space="0" w:color="FFFFFF"/>
            </w:tcBorders>
            <w:shd w:val="clear" w:color="auto" w:fill="F2F2F2"/>
            <w:vAlign w:val="center"/>
            <w:hideMark/>
          </w:tcPr>
          <w:p w14:paraId="3D0952D3" w14:textId="77777777" w:rsidR="006D40A7" w:rsidRPr="0009351E" w:rsidRDefault="006D40A7" w:rsidP="0009351E">
            <w:pPr>
              <w:spacing w:before="40" w:after="40"/>
              <w:jc w:val="right"/>
              <w:rPr>
                <w:rFonts w:cs="Arial"/>
                <w:sz w:val="16"/>
                <w:szCs w:val="16"/>
              </w:rPr>
            </w:pPr>
            <w:r w:rsidRPr="0009351E">
              <w:rPr>
                <w:rFonts w:cs="Arial"/>
                <w:sz w:val="16"/>
                <w:szCs w:val="16"/>
              </w:rPr>
              <w:t>11,338,179</w:t>
            </w:r>
          </w:p>
        </w:tc>
        <w:tc>
          <w:tcPr>
            <w:tcW w:w="1240" w:type="dxa"/>
            <w:tcBorders>
              <w:top w:val="single" w:sz="8" w:space="0" w:color="D9D9D9"/>
              <w:left w:val="nil"/>
              <w:bottom w:val="single" w:sz="8" w:space="0" w:color="D9D9D9"/>
              <w:right w:val="single" w:sz="8" w:space="0" w:color="FFFFFF"/>
            </w:tcBorders>
            <w:shd w:val="clear" w:color="auto" w:fill="F2F2F2"/>
            <w:vAlign w:val="center"/>
            <w:hideMark/>
          </w:tcPr>
          <w:p w14:paraId="29BB4737" w14:textId="77777777" w:rsidR="006D40A7" w:rsidRPr="0009351E" w:rsidRDefault="006D40A7" w:rsidP="0009351E">
            <w:pPr>
              <w:spacing w:before="40" w:after="40"/>
              <w:jc w:val="right"/>
              <w:rPr>
                <w:rFonts w:cs="Arial"/>
                <w:sz w:val="16"/>
                <w:szCs w:val="16"/>
              </w:rPr>
            </w:pPr>
            <w:r w:rsidRPr="0009351E">
              <w:rPr>
                <w:rFonts w:cs="Arial"/>
                <w:sz w:val="16"/>
                <w:szCs w:val="16"/>
              </w:rPr>
              <w:t>5,052,698,638</w:t>
            </w:r>
          </w:p>
        </w:tc>
        <w:tc>
          <w:tcPr>
            <w:tcW w:w="886" w:type="dxa"/>
            <w:tcBorders>
              <w:top w:val="single" w:sz="8" w:space="0" w:color="D9D9D9"/>
              <w:left w:val="nil"/>
              <w:bottom w:val="single" w:sz="8" w:space="0" w:color="D9D9D9"/>
              <w:right w:val="single" w:sz="8" w:space="0" w:color="FFFFFF"/>
            </w:tcBorders>
            <w:shd w:val="clear" w:color="auto" w:fill="F2F2F2"/>
            <w:vAlign w:val="center"/>
            <w:hideMark/>
          </w:tcPr>
          <w:p w14:paraId="10A7C54D" w14:textId="77777777" w:rsidR="006D40A7" w:rsidRPr="0009351E" w:rsidRDefault="006D40A7" w:rsidP="0009351E">
            <w:pPr>
              <w:spacing w:before="40" w:after="40"/>
              <w:jc w:val="right"/>
              <w:rPr>
                <w:rFonts w:cs="Arial"/>
                <w:sz w:val="16"/>
                <w:szCs w:val="16"/>
              </w:rPr>
            </w:pPr>
            <w:r w:rsidRPr="0009351E">
              <w:rPr>
                <w:rFonts w:cs="Arial"/>
                <w:sz w:val="16"/>
                <w:szCs w:val="16"/>
              </w:rPr>
              <w:t>446</w:t>
            </w:r>
          </w:p>
        </w:tc>
        <w:tc>
          <w:tcPr>
            <w:tcW w:w="1017" w:type="dxa"/>
            <w:tcBorders>
              <w:top w:val="nil"/>
              <w:left w:val="nil"/>
              <w:bottom w:val="single" w:sz="8" w:space="0" w:color="D9D9D9"/>
              <w:right w:val="single" w:sz="8" w:space="0" w:color="FFFFFF"/>
            </w:tcBorders>
            <w:shd w:val="clear" w:color="auto" w:fill="F2F2F2"/>
            <w:vAlign w:val="center"/>
            <w:hideMark/>
          </w:tcPr>
          <w:p w14:paraId="0F48D6EB" w14:textId="77777777" w:rsidR="006D40A7" w:rsidRPr="0009351E" w:rsidRDefault="006D40A7" w:rsidP="0009351E">
            <w:pPr>
              <w:spacing w:before="40" w:after="40"/>
              <w:jc w:val="right"/>
              <w:rPr>
                <w:rFonts w:cs="Arial"/>
                <w:sz w:val="16"/>
                <w:szCs w:val="16"/>
              </w:rPr>
            </w:pPr>
            <w:r w:rsidRPr="0009351E">
              <w:rPr>
                <w:rFonts w:cs="Arial"/>
                <w:sz w:val="16"/>
                <w:szCs w:val="16"/>
              </w:rPr>
              <w:t>11,760,618</w:t>
            </w:r>
          </w:p>
        </w:tc>
        <w:tc>
          <w:tcPr>
            <w:tcW w:w="1240" w:type="dxa"/>
            <w:tcBorders>
              <w:top w:val="single" w:sz="8" w:space="0" w:color="D9D9D9"/>
              <w:left w:val="nil"/>
              <w:bottom w:val="single" w:sz="8" w:space="0" w:color="D9D9D9"/>
              <w:right w:val="single" w:sz="8" w:space="0" w:color="FFFFFF"/>
            </w:tcBorders>
            <w:shd w:val="clear" w:color="auto" w:fill="F2F2F2"/>
            <w:vAlign w:val="center"/>
            <w:hideMark/>
          </w:tcPr>
          <w:p w14:paraId="7869B4D5" w14:textId="77777777" w:rsidR="006D40A7" w:rsidRPr="0009351E" w:rsidRDefault="006D40A7" w:rsidP="0009351E">
            <w:pPr>
              <w:spacing w:before="40" w:after="40"/>
              <w:jc w:val="right"/>
              <w:rPr>
                <w:rFonts w:cs="Arial"/>
                <w:sz w:val="16"/>
                <w:szCs w:val="16"/>
              </w:rPr>
            </w:pPr>
            <w:r w:rsidRPr="0009351E">
              <w:rPr>
                <w:rFonts w:cs="Arial"/>
                <w:sz w:val="16"/>
                <w:szCs w:val="16"/>
              </w:rPr>
              <w:t>5,659,957,533</w:t>
            </w:r>
          </w:p>
        </w:tc>
        <w:tc>
          <w:tcPr>
            <w:tcW w:w="886" w:type="dxa"/>
            <w:tcBorders>
              <w:top w:val="single" w:sz="8" w:space="0" w:color="D9D9D9"/>
              <w:left w:val="nil"/>
              <w:bottom w:val="single" w:sz="8" w:space="0" w:color="D9D9D9"/>
              <w:right w:val="single" w:sz="8" w:space="0" w:color="FFFFFF"/>
            </w:tcBorders>
            <w:shd w:val="clear" w:color="auto" w:fill="F2F2F2"/>
            <w:vAlign w:val="center"/>
            <w:hideMark/>
          </w:tcPr>
          <w:p w14:paraId="0A4B49D1" w14:textId="77777777" w:rsidR="006D40A7" w:rsidRPr="0009351E" w:rsidRDefault="006D40A7" w:rsidP="0009351E">
            <w:pPr>
              <w:spacing w:before="40" w:after="40"/>
              <w:jc w:val="right"/>
              <w:rPr>
                <w:rFonts w:cs="Arial"/>
                <w:sz w:val="16"/>
                <w:szCs w:val="16"/>
              </w:rPr>
            </w:pPr>
            <w:r w:rsidRPr="0009351E">
              <w:rPr>
                <w:rFonts w:cs="Arial"/>
                <w:sz w:val="16"/>
                <w:szCs w:val="16"/>
              </w:rPr>
              <w:t>481</w:t>
            </w:r>
          </w:p>
        </w:tc>
        <w:tc>
          <w:tcPr>
            <w:tcW w:w="1085" w:type="dxa"/>
            <w:tcBorders>
              <w:top w:val="single" w:sz="8" w:space="0" w:color="D9D9D9"/>
              <w:left w:val="nil"/>
              <w:bottom w:val="single" w:sz="8" w:space="0" w:color="D9D9D9"/>
              <w:right w:val="single" w:sz="8" w:space="0" w:color="FFFFFF"/>
            </w:tcBorders>
            <w:shd w:val="clear" w:color="auto" w:fill="F2F2F2"/>
            <w:vAlign w:val="center"/>
            <w:hideMark/>
          </w:tcPr>
          <w:p w14:paraId="055B82EA" w14:textId="77777777" w:rsidR="006D40A7" w:rsidRPr="0009351E" w:rsidRDefault="006D40A7" w:rsidP="0009351E">
            <w:pPr>
              <w:spacing w:before="40" w:after="40"/>
              <w:jc w:val="right"/>
              <w:rPr>
                <w:rFonts w:cs="Arial"/>
                <w:sz w:val="16"/>
                <w:szCs w:val="16"/>
              </w:rPr>
            </w:pPr>
            <w:r w:rsidRPr="0009351E">
              <w:rPr>
                <w:rFonts w:cs="Arial"/>
                <w:sz w:val="16"/>
                <w:szCs w:val="16"/>
              </w:rPr>
              <w:t>422,439</w:t>
            </w:r>
          </w:p>
        </w:tc>
        <w:tc>
          <w:tcPr>
            <w:tcW w:w="1227" w:type="dxa"/>
            <w:tcBorders>
              <w:top w:val="single" w:sz="8" w:space="0" w:color="D9D9D9"/>
              <w:left w:val="nil"/>
              <w:bottom w:val="single" w:sz="8" w:space="0" w:color="D9D9D9"/>
              <w:right w:val="single" w:sz="8" w:space="0" w:color="FFFFFF"/>
            </w:tcBorders>
            <w:shd w:val="clear" w:color="auto" w:fill="F2F2F2"/>
            <w:vAlign w:val="center"/>
            <w:hideMark/>
          </w:tcPr>
          <w:p w14:paraId="22B9F006" w14:textId="77777777" w:rsidR="006D40A7" w:rsidRPr="0009351E" w:rsidRDefault="006D40A7" w:rsidP="0009351E">
            <w:pPr>
              <w:spacing w:before="40" w:after="40"/>
              <w:jc w:val="right"/>
              <w:rPr>
                <w:rFonts w:cs="Arial"/>
                <w:sz w:val="16"/>
                <w:szCs w:val="16"/>
              </w:rPr>
            </w:pPr>
            <w:r w:rsidRPr="0009351E">
              <w:rPr>
                <w:rFonts w:cs="Arial"/>
                <w:sz w:val="16"/>
                <w:szCs w:val="16"/>
              </w:rPr>
              <w:t>607,258,894</w:t>
            </w:r>
          </w:p>
        </w:tc>
        <w:tc>
          <w:tcPr>
            <w:tcW w:w="887" w:type="dxa"/>
            <w:tcBorders>
              <w:top w:val="single" w:sz="8" w:space="0" w:color="D9D9D9"/>
              <w:left w:val="nil"/>
              <w:bottom w:val="single" w:sz="8" w:space="0" w:color="D9D9D9"/>
              <w:right w:val="single" w:sz="8" w:space="0" w:color="FFFFFF"/>
            </w:tcBorders>
            <w:shd w:val="clear" w:color="auto" w:fill="F2F2F2"/>
            <w:vAlign w:val="center"/>
            <w:hideMark/>
          </w:tcPr>
          <w:p w14:paraId="5239E5AE" w14:textId="77777777" w:rsidR="006D40A7" w:rsidRPr="0009351E" w:rsidRDefault="006D40A7" w:rsidP="0009351E">
            <w:pPr>
              <w:spacing w:before="40" w:after="40"/>
              <w:jc w:val="right"/>
              <w:rPr>
                <w:rFonts w:cs="Arial"/>
                <w:sz w:val="16"/>
                <w:szCs w:val="16"/>
              </w:rPr>
            </w:pPr>
            <w:r w:rsidRPr="0009351E">
              <w:rPr>
                <w:rFonts w:cs="Arial"/>
                <w:sz w:val="16"/>
                <w:szCs w:val="16"/>
              </w:rPr>
              <w:t>36</w:t>
            </w:r>
          </w:p>
        </w:tc>
      </w:tr>
      <w:tr w:rsidR="006D40A7" w:rsidRPr="006D40A7" w14:paraId="20C492F1" w14:textId="77777777" w:rsidTr="0009351E">
        <w:trPr>
          <w:trHeight w:val="290"/>
          <w:jc w:val="center"/>
        </w:trPr>
        <w:tc>
          <w:tcPr>
            <w:tcW w:w="851" w:type="dxa"/>
            <w:tcBorders>
              <w:top w:val="nil"/>
              <w:left w:val="nil"/>
              <w:bottom w:val="single" w:sz="8" w:space="0" w:color="D9D9D9"/>
              <w:right w:val="single" w:sz="8" w:space="0" w:color="FFFFFF"/>
            </w:tcBorders>
            <w:vAlign w:val="center"/>
            <w:hideMark/>
          </w:tcPr>
          <w:p w14:paraId="664B9CE3" w14:textId="77777777" w:rsidR="006D40A7" w:rsidRPr="0009351E" w:rsidRDefault="006D40A7" w:rsidP="0009351E">
            <w:pPr>
              <w:spacing w:before="40" w:after="40"/>
              <w:rPr>
                <w:rFonts w:cs="Arial"/>
                <w:sz w:val="16"/>
                <w:szCs w:val="16"/>
              </w:rPr>
            </w:pPr>
            <w:r w:rsidRPr="0009351E">
              <w:rPr>
                <w:rFonts w:cs="Arial"/>
                <w:sz w:val="16"/>
                <w:szCs w:val="16"/>
              </w:rPr>
              <w:t>30</w:t>
            </w:r>
          </w:p>
        </w:tc>
        <w:tc>
          <w:tcPr>
            <w:tcW w:w="1017" w:type="dxa"/>
            <w:tcBorders>
              <w:top w:val="nil"/>
              <w:left w:val="nil"/>
              <w:bottom w:val="nil"/>
              <w:right w:val="single" w:sz="8" w:space="0" w:color="FFFFFF"/>
            </w:tcBorders>
            <w:shd w:val="clear" w:color="auto" w:fill="F2F2F2"/>
            <w:vAlign w:val="center"/>
            <w:hideMark/>
          </w:tcPr>
          <w:p w14:paraId="7DCE97B6" w14:textId="77777777" w:rsidR="006D40A7" w:rsidRPr="0009351E" w:rsidRDefault="006D40A7" w:rsidP="0009351E">
            <w:pPr>
              <w:spacing w:before="40" w:after="40"/>
              <w:jc w:val="right"/>
              <w:rPr>
                <w:rFonts w:cs="Arial"/>
                <w:b/>
                <w:sz w:val="16"/>
                <w:szCs w:val="16"/>
                <w:u w:val="single"/>
              </w:rPr>
            </w:pPr>
            <w:r w:rsidRPr="0009351E">
              <w:rPr>
                <w:rFonts w:cs="Arial"/>
                <w:sz w:val="16"/>
                <w:szCs w:val="16"/>
              </w:rPr>
              <w:t>921,648</w:t>
            </w:r>
          </w:p>
        </w:tc>
        <w:tc>
          <w:tcPr>
            <w:tcW w:w="1240" w:type="dxa"/>
            <w:tcBorders>
              <w:top w:val="nil"/>
              <w:left w:val="nil"/>
              <w:bottom w:val="nil"/>
              <w:right w:val="single" w:sz="8" w:space="0" w:color="FFFFFF"/>
            </w:tcBorders>
            <w:shd w:val="clear" w:color="auto" w:fill="F2F2F2"/>
            <w:vAlign w:val="center"/>
            <w:hideMark/>
          </w:tcPr>
          <w:p w14:paraId="799F2CDB" w14:textId="77777777" w:rsidR="006D40A7" w:rsidRPr="0009351E" w:rsidRDefault="006D40A7" w:rsidP="0009351E">
            <w:pPr>
              <w:spacing w:before="40" w:after="40"/>
              <w:jc w:val="right"/>
              <w:rPr>
                <w:rFonts w:cs="Arial"/>
                <w:sz w:val="16"/>
                <w:szCs w:val="16"/>
              </w:rPr>
            </w:pPr>
            <w:r w:rsidRPr="0009351E">
              <w:rPr>
                <w:rFonts w:cs="Arial"/>
                <w:sz w:val="16"/>
                <w:szCs w:val="16"/>
              </w:rPr>
              <w:t>119,480,675</w:t>
            </w:r>
          </w:p>
        </w:tc>
        <w:tc>
          <w:tcPr>
            <w:tcW w:w="886" w:type="dxa"/>
            <w:tcBorders>
              <w:top w:val="nil"/>
              <w:left w:val="nil"/>
              <w:bottom w:val="nil"/>
              <w:right w:val="single" w:sz="8" w:space="0" w:color="FFFFFF"/>
            </w:tcBorders>
            <w:shd w:val="clear" w:color="auto" w:fill="F2F2F2"/>
            <w:vAlign w:val="center"/>
            <w:hideMark/>
          </w:tcPr>
          <w:p w14:paraId="6A88C49E" w14:textId="77777777" w:rsidR="006D40A7" w:rsidRPr="0009351E" w:rsidRDefault="006D40A7" w:rsidP="0009351E">
            <w:pPr>
              <w:spacing w:before="40" w:after="40"/>
              <w:jc w:val="right"/>
              <w:rPr>
                <w:rFonts w:cs="Arial"/>
                <w:b/>
                <w:sz w:val="16"/>
                <w:szCs w:val="16"/>
                <w:u w:val="single"/>
              </w:rPr>
            </w:pPr>
            <w:r w:rsidRPr="0009351E">
              <w:rPr>
                <w:rFonts w:cs="Arial"/>
                <w:sz w:val="16"/>
                <w:szCs w:val="16"/>
              </w:rPr>
              <w:t>130</w:t>
            </w:r>
          </w:p>
        </w:tc>
        <w:tc>
          <w:tcPr>
            <w:tcW w:w="1017" w:type="dxa"/>
            <w:tcBorders>
              <w:top w:val="nil"/>
              <w:left w:val="nil"/>
              <w:bottom w:val="single" w:sz="8" w:space="0" w:color="D9D9D9"/>
              <w:right w:val="single" w:sz="8" w:space="0" w:color="FFFFFF"/>
            </w:tcBorders>
            <w:shd w:val="clear" w:color="auto" w:fill="F2F2F2"/>
            <w:vAlign w:val="center"/>
            <w:hideMark/>
          </w:tcPr>
          <w:p w14:paraId="1BEBD35E" w14:textId="77777777" w:rsidR="006D40A7" w:rsidRPr="0009351E" w:rsidRDefault="006D40A7" w:rsidP="0009351E">
            <w:pPr>
              <w:spacing w:before="40" w:after="40"/>
              <w:jc w:val="right"/>
              <w:rPr>
                <w:rFonts w:cs="Arial"/>
                <w:sz w:val="16"/>
                <w:szCs w:val="16"/>
              </w:rPr>
            </w:pPr>
            <w:r w:rsidRPr="0009351E">
              <w:rPr>
                <w:rFonts w:cs="Arial"/>
                <w:sz w:val="16"/>
                <w:szCs w:val="16"/>
              </w:rPr>
              <w:t>322,460</w:t>
            </w:r>
          </w:p>
        </w:tc>
        <w:tc>
          <w:tcPr>
            <w:tcW w:w="1240" w:type="dxa"/>
            <w:tcBorders>
              <w:top w:val="nil"/>
              <w:left w:val="nil"/>
              <w:bottom w:val="nil"/>
              <w:right w:val="single" w:sz="8" w:space="0" w:color="FFFFFF"/>
            </w:tcBorders>
            <w:shd w:val="clear" w:color="auto" w:fill="F2F2F2"/>
            <w:vAlign w:val="center"/>
            <w:hideMark/>
          </w:tcPr>
          <w:p w14:paraId="41187B30" w14:textId="77777777" w:rsidR="006D40A7" w:rsidRPr="0009351E" w:rsidRDefault="006D40A7" w:rsidP="0009351E">
            <w:pPr>
              <w:spacing w:before="40" w:after="40"/>
              <w:jc w:val="right"/>
              <w:rPr>
                <w:rFonts w:cs="Arial"/>
                <w:sz w:val="16"/>
                <w:szCs w:val="16"/>
              </w:rPr>
            </w:pPr>
            <w:r w:rsidRPr="0009351E">
              <w:rPr>
                <w:rFonts w:cs="Arial"/>
                <w:sz w:val="16"/>
                <w:szCs w:val="16"/>
              </w:rPr>
              <w:t>121,463,629</w:t>
            </w:r>
          </w:p>
        </w:tc>
        <w:tc>
          <w:tcPr>
            <w:tcW w:w="886" w:type="dxa"/>
            <w:tcBorders>
              <w:top w:val="nil"/>
              <w:left w:val="nil"/>
              <w:bottom w:val="nil"/>
              <w:right w:val="single" w:sz="8" w:space="0" w:color="FFFFFF"/>
            </w:tcBorders>
            <w:shd w:val="clear" w:color="auto" w:fill="F2F2F2"/>
            <w:vAlign w:val="center"/>
            <w:hideMark/>
          </w:tcPr>
          <w:p w14:paraId="633AC98F" w14:textId="77777777" w:rsidR="006D40A7" w:rsidRPr="0009351E" w:rsidRDefault="006D40A7" w:rsidP="0009351E">
            <w:pPr>
              <w:spacing w:before="40" w:after="40"/>
              <w:jc w:val="right"/>
              <w:rPr>
                <w:rFonts w:cs="Arial"/>
                <w:sz w:val="16"/>
                <w:szCs w:val="16"/>
              </w:rPr>
            </w:pPr>
            <w:r w:rsidRPr="0009351E">
              <w:rPr>
                <w:rFonts w:cs="Arial"/>
                <w:sz w:val="16"/>
                <w:szCs w:val="16"/>
              </w:rPr>
              <w:t>377</w:t>
            </w:r>
          </w:p>
        </w:tc>
        <w:tc>
          <w:tcPr>
            <w:tcW w:w="1085" w:type="dxa"/>
            <w:tcBorders>
              <w:top w:val="nil"/>
              <w:left w:val="nil"/>
              <w:bottom w:val="nil"/>
              <w:right w:val="single" w:sz="8" w:space="0" w:color="FFFFFF"/>
            </w:tcBorders>
            <w:shd w:val="clear" w:color="auto" w:fill="F2F2F2"/>
            <w:vAlign w:val="center"/>
            <w:hideMark/>
          </w:tcPr>
          <w:p w14:paraId="61536D15" w14:textId="77777777" w:rsidR="006D40A7" w:rsidRPr="0009351E" w:rsidRDefault="006D40A7" w:rsidP="0009351E">
            <w:pPr>
              <w:spacing w:before="40" w:after="40"/>
              <w:jc w:val="right"/>
              <w:rPr>
                <w:rFonts w:cs="Arial"/>
                <w:sz w:val="16"/>
                <w:szCs w:val="16"/>
              </w:rPr>
            </w:pPr>
            <w:r w:rsidRPr="0009351E">
              <w:rPr>
                <w:rFonts w:cs="Arial"/>
                <w:sz w:val="16"/>
                <w:szCs w:val="16"/>
              </w:rPr>
              <w:t>-599,188</w:t>
            </w:r>
          </w:p>
        </w:tc>
        <w:tc>
          <w:tcPr>
            <w:tcW w:w="1227" w:type="dxa"/>
            <w:tcBorders>
              <w:top w:val="nil"/>
              <w:left w:val="nil"/>
              <w:bottom w:val="nil"/>
              <w:right w:val="single" w:sz="8" w:space="0" w:color="FFFFFF"/>
            </w:tcBorders>
            <w:shd w:val="clear" w:color="auto" w:fill="F2F2F2"/>
            <w:vAlign w:val="center"/>
            <w:hideMark/>
          </w:tcPr>
          <w:p w14:paraId="588C9B50" w14:textId="77777777" w:rsidR="006D40A7" w:rsidRPr="0009351E" w:rsidRDefault="006D40A7" w:rsidP="0009351E">
            <w:pPr>
              <w:spacing w:before="40" w:after="40"/>
              <w:jc w:val="right"/>
              <w:rPr>
                <w:rFonts w:cs="Arial"/>
                <w:sz w:val="16"/>
                <w:szCs w:val="16"/>
              </w:rPr>
            </w:pPr>
            <w:r w:rsidRPr="0009351E">
              <w:rPr>
                <w:rFonts w:cs="Arial"/>
                <w:sz w:val="16"/>
                <w:szCs w:val="16"/>
              </w:rPr>
              <w:t>1,982,954</w:t>
            </w:r>
          </w:p>
        </w:tc>
        <w:tc>
          <w:tcPr>
            <w:tcW w:w="887" w:type="dxa"/>
            <w:tcBorders>
              <w:top w:val="nil"/>
              <w:left w:val="nil"/>
              <w:bottom w:val="nil"/>
              <w:right w:val="single" w:sz="8" w:space="0" w:color="FFFFFF"/>
            </w:tcBorders>
            <w:shd w:val="clear" w:color="auto" w:fill="F2F2F2"/>
            <w:vAlign w:val="center"/>
            <w:hideMark/>
          </w:tcPr>
          <w:p w14:paraId="252F405A" w14:textId="77777777" w:rsidR="006D40A7" w:rsidRPr="0009351E" w:rsidRDefault="006D40A7" w:rsidP="0009351E">
            <w:pPr>
              <w:spacing w:before="40" w:after="40"/>
              <w:jc w:val="right"/>
              <w:rPr>
                <w:rFonts w:cs="Arial"/>
                <w:sz w:val="16"/>
                <w:szCs w:val="16"/>
              </w:rPr>
            </w:pPr>
            <w:r w:rsidRPr="0009351E">
              <w:rPr>
                <w:rFonts w:cs="Arial"/>
                <w:sz w:val="16"/>
                <w:szCs w:val="16"/>
              </w:rPr>
              <w:t>247</w:t>
            </w:r>
          </w:p>
        </w:tc>
      </w:tr>
      <w:tr w:rsidR="006D40A7" w:rsidRPr="006D40A7" w14:paraId="7B416057" w14:textId="77777777" w:rsidTr="0009351E">
        <w:trPr>
          <w:trHeight w:val="290"/>
          <w:jc w:val="center"/>
        </w:trPr>
        <w:tc>
          <w:tcPr>
            <w:tcW w:w="851" w:type="dxa"/>
            <w:tcBorders>
              <w:top w:val="nil"/>
              <w:left w:val="nil"/>
              <w:bottom w:val="nil"/>
              <w:right w:val="single" w:sz="8" w:space="0" w:color="FFFFFF"/>
            </w:tcBorders>
            <w:vAlign w:val="center"/>
            <w:hideMark/>
          </w:tcPr>
          <w:p w14:paraId="3045DDA6" w14:textId="77777777" w:rsidR="006D40A7" w:rsidRPr="0009351E" w:rsidRDefault="006D40A7" w:rsidP="0009351E">
            <w:pPr>
              <w:spacing w:before="40" w:after="40"/>
              <w:rPr>
                <w:rFonts w:cs="Arial"/>
                <w:sz w:val="16"/>
                <w:szCs w:val="16"/>
              </w:rPr>
            </w:pPr>
            <w:r w:rsidRPr="0009351E">
              <w:rPr>
                <w:rFonts w:cs="Arial"/>
                <w:sz w:val="16"/>
                <w:szCs w:val="16"/>
              </w:rPr>
              <w:t>40</w:t>
            </w:r>
          </w:p>
        </w:tc>
        <w:tc>
          <w:tcPr>
            <w:tcW w:w="1017" w:type="dxa"/>
            <w:tcBorders>
              <w:top w:val="single" w:sz="8" w:space="0" w:color="D9D9D9"/>
              <w:left w:val="nil"/>
              <w:bottom w:val="single" w:sz="8" w:space="0" w:color="D9D9D9"/>
              <w:right w:val="single" w:sz="8" w:space="0" w:color="FFFFFF"/>
            </w:tcBorders>
            <w:shd w:val="clear" w:color="auto" w:fill="F2F2F2"/>
            <w:vAlign w:val="center"/>
            <w:hideMark/>
          </w:tcPr>
          <w:p w14:paraId="035508B1" w14:textId="77777777" w:rsidR="006D40A7" w:rsidRPr="0009351E" w:rsidRDefault="006D40A7" w:rsidP="0009351E">
            <w:pPr>
              <w:spacing w:before="40" w:after="40"/>
              <w:jc w:val="right"/>
              <w:rPr>
                <w:rFonts w:cs="Arial"/>
                <w:sz w:val="16"/>
                <w:szCs w:val="16"/>
              </w:rPr>
            </w:pPr>
            <w:r w:rsidRPr="0009351E">
              <w:rPr>
                <w:rFonts w:cs="Arial"/>
                <w:sz w:val="16"/>
                <w:szCs w:val="16"/>
              </w:rPr>
              <w:t>13,982,038</w:t>
            </w:r>
          </w:p>
        </w:tc>
        <w:tc>
          <w:tcPr>
            <w:tcW w:w="1240" w:type="dxa"/>
            <w:tcBorders>
              <w:top w:val="single" w:sz="8" w:space="0" w:color="D9D9D9"/>
              <w:left w:val="nil"/>
              <w:bottom w:val="single" w:sz="8" w:space="0" w:color="D9D9D9"/>
              <w:right w:val="single" w:sz="8" w:space="0" w:color="FFFFFF"/>
            </w:tcBorders>
            <w:shd w:val="clear" w:color="auto" w:fill="F2F2F2"/>
            <w:vAlign w:val="center"/>
            <w:hideMark/>
          </w:tcPr>
          <w:p w14:paraId="703B2A8A" w14:textId="77777777" w:rsidR="006D40A7" w:rsidRPr="0009351E" w:rsidRDefault="006D40A7" w:rsidP="0009351E">
            <w:pPr>
              <w:spacing w:before="40" w:after="40"/>
              <w:jc w:val="right"/>
              <w:rPr>
                <w:rFonts w:cs="Arial"/>
                <w:sz w:val="16"/>
                <w:szCs w:val="16"/>
              </w:rPr>
            </w:pPr>
            <w:r w:rsidRPr="0009351E">
              <w:rPr>
                <w:rFonts w:cs="Arial"/>
                <w:sz w:val="16"/>
                <w:szCs w:val="16"/>
              </w:rPr>
              <w:t>3,774,195,384</w:t>
            </w:r>
          </w:p>
        </w:tc>
        <w:tc>
          <w:tcPr>
            <w:tcW w:w="886" w:type="dxa"/>
            <w:tcBorders>
              <w:top w:val="single" w:sz="8" w:space="0" w:color="D9D9D9"/>
              <w:left w:val="nil"/>
              <w:bottom w:val="single" w:sz="8" w:space="0" w:color="D9D9D9"/>
              <w:right w:val="single" w:sz="8" w:space="0" w:color="FFFFFF"/>
            </w:tcBorders>
            <w:shd w:val="clear" w:color="auto" w:fill="F2F2F2"/>
            <w:vAlign w:val="center"/>
            <w:hideMark/>
          </w:tcPr>
          <w:p w14:paraId="28DBF1D6" w14:textId="77777777" w:rsidR="006D40A7" w:rsidRPr="0009351E" w:rsidRDefault="006D40A7" w:rsidP="0009351E">
            <w:pPr>
              <w:spacing w:before="40" w:after="40"/>
              <w:jc w:val="right"/>
              <w:rPr>
                <w:rFonts w:cs="Arial"/>
                <w:sz w:val="16"/>
                <w:szCs w:val="16"/>
              </w:rPr>
            </w:pPr>
            <w:r w:rsidRPr="0009351E">
              <w:rPr>
                <w:rFonts w:cs="Arial"/>
                <w:sz w:val="16"/>
                <w:szCs w:val="16"/>
              </w:rPr>
              <w:t>270</w:t>
            </w:r>
          </w:p>
        </w:tc>
        <w:tc>
          <w:tcPr>
            <w:tcW w:w="1017" w:type="dxa"/>
            <w:tcBorders>
              <w:top w:val="nil"/>
              <w:left w:val="nil"/>
              <w:bottom w:val="nil"/>
              <w:right w:val="single" w:sz="8" w:space="0" w:color="FFFFFF"/>
            </w:tcBorders>
            <w:shd w:val="clear" w:color="auto" w:fill="F2F2F2"/>
            <w:vAlign w:val="center"/>
            <w:hideMark/>
          </w:tcPr>
          <w:p w14:paraId="18D97955" w14:textId="77777777" w:rsidR="006D40A7" w:rsidRPr="0009351E" w:rsidRDefault="006D40A7" w:rsidP="0009351E">
            <w:pPr>
              <w:spacing w:before="40" w:after="40"/>
              <w:jc w:val="right"/>
              <w:rPr>
                <w:rFonts w:cs="Arial"/>
                <w:sz w:val="16"/>
                <w:szCs w:val="16"/>
              </w:rPr>
            </w:pPr>
            <w:r w:rsidRPr="0009351E">
              <w:rPr>
                <w:rFonts w:cs="Arial"/>
                <w:sz w:val="16"/>
                <w:szCs w:val="16"/>
              </w:rPr>
              <w:t>14,160,705</w:t>
            </w:r>
          </w:p>
        </w:tc>
        <w:tc>
          <w:tcPr>
            <w:tcW w:w="1240" w:type="dxa"/>
            <w:tcBorders>
              <w:top w:val="single" w:sz="8" w:space="0" w:color="D9D9D9"/>
              <w:left w:val="nil"/>
              <w:bottom w:val="single" w:sz="8" w:space="0" w:color="D9D9D9"/>
              <w:right w:val="single" w:sz="8" w:space="0" w:color="FFFFFF"/>
            </w:tcBorders>
            <w:shd w:val="clear" w:color="auto" w:fill="F2F2F2"/>
            <w:vAlign w:val="center"/>
            <w:hideMark/>
          </w:tcPr>
          <w:p w14:paraId="6A107C81" w14:textId="77777777" w:rsidR="006D40A7" w:rsidRPr="0009351E" w:rsidRDefault="006D40A7" w:rsidP="0009351E">
            <w:pPr>
              <w:spacing w:before="40" w:after="40"/>
              <w:jc w:val="right"/>
              <w:rPr>
                <w:rFonts w:cs="Arial"/>
                <w:sz w:val="16"/>
                <w:szCs w:val="16"/>
              </w:rPr>
            </w:pPr>
            <w:r w:rsidRPr="0009351E">
              <w:rPr>
                <w:rFonts w:cs="Arial"/>
                <w:sz w:val="16"/>
                <w:szCs w:val="16"/>
              </w:rPr>
              <w:t>4,037,867,852</w:t>
            </w:r>
          </w:p>
        </w:tc>
        <w:tc>
          <w:tcPr>
            <w:tcW w:w="886" w:type="dxa"/>
            <w:tcBorders>
              <w:top w:val="single" w:sz="8" w:space="0" w:color="D9D9D9"/>
              <w:left w:val="nil"/>
              <w:bottom w:val="single" w:sz="8" w:space="0" w:color="D9D9D9"/>
              <w:right w:val="single" w:sz="8" w:space="0" w:color="FFFFFF"/>
            </w:tcBorders>
            <w:shd w:val="clear" w:color="auto" w:fill="F2F2F2"/>
            <w:vAlign w:val="center"/>
            <w:hideMark/>
          </w:tcPr>
          <w:p w14:paraId="15855DC6" w14:textId="77777777" w:rsidR="006D40A7" w:rsidRPr="0009351E" w:rsidRDefault="006D40A7" w:rsidP="0009351E">
            <w:pPr>
              <w:spacing w:before="40" w:after="40"/>
              <w:jc w:val="right"/>
              <w:rPr>
                <w:rFonts w:cs="Arial"/>
                <w:sz w:val="16"/>
                <w:szCs w:val="16"/>
              </w:rPr>
            </w:pPr>
            <w:r w:rsidRPr="0009351E">
              <w:rPr>
                <w:rFonts w:cs="Arial"/>
                <w:sz w:val="16"/>
                <w:szCs w:val="16"/>
              </w:rPr>
              <w:t>285</w:t>
            </w:r>
          </w:p>
        </w:tc>
        <w:tc>
          <w:tcPr>
            <w:tcW w:w="1085" w:type="dxa"/>
            <w:tcBorders>
              <w:top w:val="single" w:sz="8" w:space="0" w:color="D9D9D9"/>
              <w:left w:val="nil"/>
              <w:bottom w:val="single" w:sz="8" w:space="0" w:color="D9D9D9"/>
              <w:right w:val="single" w:sz="8" w:space="0" w:color="FFFFFF"/>
            </w:tcBorders>
            <w:shd w:val="clear" w:color="auto" w:fill="F2F2F2"/>
            <w:vAlign w:val="center"/>
            <w:hideMark/>
          </w:tcPr>
          <w:p w14:paraId="386B208A" w14:textId="77777777" w:rsidR="006D40A7" w:rsidRPr="0009351E" w:rsidRDefault="006D40A7" w:rsidP="0009351E">
            <w:pPr>
              <w:spacing w:before="40" w:after="40"/>
              <w:jc w:val="right"/>
              <w:rPr>
                <w:rFonts w:cs="Arial"/>
                <w:sz w:val="16"/>
                <w:szCs w:val="16"/>
              </w:rPr>
            </w:pPr>
            <w:r w:rsidRPr="0009351E">
              <w:rPr>
                <w:rFonts w:cs="Arial"/>
                <w:sz w:val="16"/>
                <w:szCs w:val="16"/>
              </w:rPr>
              <w:t>178,667</w:t>
            </w:r>
          </w:p>
        </w:tc>
        <w:tc>
          <w:tcPr>
            <w:tcW w:w="1227" w:type="dxa"/>
            <w:tcBorders>
              <w:top w:val="single" w:sz="8" w:space="0" w:color="D9D9D9"/>
              <w:left w:val="nil"/>
              <w:bottom w:val="single" w:sz="8" w:space="0" w:color="D9D9D9"/>
              <w:right w:val="single" w:sz="8" w:space="0" w:color="FFFFFF"/>
            </w:tcBorders>
            <w:shd w:val="clear" w:color="auto" w:fill="F2F2F2"/>
            <w:vAlign w:val="center"/>
            <w:hideMark/>
          </w:tcPr>
          <w:p w14:paraId="00CC1D09" w14:textId="77777777" w:rsidR="006D40A7" w:rsidRPr="0009351E" w:rsidRDefault="006D40A7" w:rsidP="0009351E">
            <w:pPr>
              <w:spacing w:before="40" w:after="40"/>
              <w:jc w:val="right"/>
              <w:rPr>
                <w:rFonts w:cs="Arial"/>
                <w:sz w:val="16"/>
                <w:szCs w:val="16"/>
              </w:rPr>
            </w:pPr>
            <w:r w:rsidRPr="0009351E">
              <w:rPr>
                <w:rFonts w:cs="Arial"/>
                <w:sz w:val="16"/>
                <w:szCs w:val="16"/>
              </w:rPr>
              <w:t>263,672,468</w:t>
            </w:r>
          </w:p>
        </w:tc>
        <w:tc>
          <w:tcPr>
            <w:tcW w:w="887" w:type="dxa"/>
            <w:tcBorders>
              <w:top w:val="single" w:sz="8" w:space="0" w:color="D9D9D9"/>
              <w:left w:val="nil"/>
              <w:bottom w:val="single" w:sz="8" w:space="0" w:color="D9D9D9"/>
              <w:right w:val="single" w:sz="8" w:space="0" w:color="FFFFFF"/>
            </w:tcBorders>
            <w:shd w:val="clear" w:color="auto" w:fill="F2F2F2"/>
            <w:vAlign w:val="center"/>
            <w:hideMark/>
          </w:tcPr>
          <w:p w14:paraId="3182A003" w14:textId="77777777" w:rsidR="006D40A7" w:rsidRPr="0009351E" w:rsidRDefault="006D40A7" w:rsidP="0009351E">
            <w:pPr>
              <w:spacing w:before="40" w:after="40"/>
              <w:jc w:val="right"/>
              <w:rPr>
                <w:rFonts w:cs="Arial"/>
                <w:sz w:val="16"/>
                <w:szCs w:val="16"/>
              </w:rPr>
            </w:pPr>
            <w:r w:rsidRPr="0009351E">
              <w:rPr>
                <w:rFonts w:cs="Arial"/>
                <w:sz w:val="16"/>
                <w:szCs w:val="16"/>
              </w:rPr>
              <w:t>15</w:t>
            </w:r>
          </w:p>
        </w:tc>
      </w:tr>
      <w:tr w:rsidR="006D40A7" w:rsidRPr="006D40A7" w14:paraId="75C92D04" w14:textId="77777777" w:rsidTr="0009351E">
        <w:trPr>
          <w:trHeight w:val="290"/>
          <w:jc w:val="center"/>
        </w:trPr>
        <w:tc>
          <w:tcPr>
            <w:tcW w:w="851" w:type="dxa"/>
            <w:tcBorders>
              <w:top w:val="nil"/>
              <w:left w:val="nil"/>
              <w:bottom w:val="single" w:sz="8" w:space="0" w:color="D9D9D9"/>
              <w:right w:val="single" w:sz="8" w:space="0" w:color="FFFFFF"/>
            </w:tcBorders>
            <w:shd w:val="clear" w:color="auto" w:fill="DFEBF1" w:themeFill="text2" w:themeFillTint="1A"/>
            <w:vAlign w:val="center"/>
            <w:hideMark/>
          </w:tcPr>
          <w:p w14:paraId="1619D95D" w14:textId="77777777" w:rsidR="006D40A7" w:rsidRPr="0009351E" w:rsidRDefault="006D40A7" w:rsidP="0009351E">
            <w:pPr>
              <w:spacing w:before="40" w:after="40"/>
              <w:rPr>
                <w:rFonts w:cs="Arial"/>
                <w:b/>
                <w:bCs/>
                <w:sz w:val="16"/>
                <w:szCs w:val="16"/>
              </w:rPr>
            </w:pPr>
            <w:r w:rsidRPr="0009351E">
              <w:rPr>
                <w:rFonts w:cs="Arial"/>
                <w:b/>
                <w:bCs/>
                <w:sz w:val="16"/>
                <w:szCs w:val="16"/>
              </w:rPr>
              <w:t>Total</w:t>
            </w:r>
          </w:p>
        </w:tc>
        <w:tc>
          <w:tcPr>
            <w:tcW w:w="1017" w:type="dxa"/>
            <w:tcBorders>
              <w:top w:val="single" w:sz="8" w:space="0" w:color="D9D9D9"/>
              <w:left w:val="nil"/>
              <w:bottom w:val="single" w:sz="8" w:space="0" w:color="D9D9D9"/>
              <w:right w:val="single" w:sz="8" w:space="0" w:color="FFFFFF"/>
            </w:tcBorders>
            <w:shd w:val="clear" w:color="auto" w:fill="DFEBF1" w:themeFill="text2" w:themeFillTint="1A"/>
            <w:vAlign w:val="center"/>
            <w:hideMark/>
          </w:tcPr>
          <w:p w14:paraId="78B4884B" w14:textId="77777777" w:rsidR="006D40A7" w:rsidRPr="0009351E" w:rsidRDefault="006D40A7" w:rsidP="0009351E">
            <w:pPr>
              <w:spacing w:before="40" w:after="40"/>
              <w:jc w:val="right"/>
              <w:rPr>
                <w:rFonts w:cs="Arial"/>
                <w:b/>
                <w:bCs/>
                <w:sz w:val="16"/>
                <w:szCs w:val="16"/>
              </w:rPr>
            </w:pPr>
            <w:r w:rsidRPr="0009351E">
              <w:rPr>
                <w:rFonts w:cs="Arial"/>
                <w:b/>
                <w:bCs/>
                <w:sz w:val="16"/>
                <w:szCs w:val="16"/>
              </w:rPr>
              <w:t>32,394,513</w:t>
            </w:r>
          </w:p>
        </w:tc>
        <w:tc>
          <w:tcPr>
            <w:tcW w:w="1240" w:type="dxa"/>
            <w:tcBorders>
              <w:top w:val="single" w:sz="8" w:space="0" w:color="D9D9D9"/>
              <w:left w:val="nil"/>
              <w:bottom w:val="single" w:sz="8" w:space="0" w:color="D9D9D9"/>
              <w:right w:val="single" w:sz="8" w:space="0" w:color="FFFFFF"/>
            </w:tcBorders>
            <w:shd w:val="clear" w:color="auto" w:fill="DFEBF1" w:themeFill="text2" w:themeFillTint="1A"/>
            <w:vAlign w:val="center"/>
            <w:hideMark/>
          </w:tcPr>
          <w:p w14:paraId="40DD9856" w14:textId="77777777" w:rsidR="006D40A7" w:rsidRPr="0009351E" w:rsidRDefault="006D40A7" w:rsidP="0009351E">
            <w:pPr>
              <w:spacing w:before="40" w:after="40"/>
              <w:jc w:val="right"/>
              <w:rPr>
                <w:rFonts w:cs="Arial"/>
                <w:b/>
                <w:bCs/>
                <w:sz w:val="16"/>
                <w:szCs w:val="16"/>
              </w:rPr>
            </w:pPr>
            <w:r w:rsidRPr="0009351E">
              <w:rPr>
                <w:rFonts w:cs="Arial"/>
                <w:b/>
                <w:bCs/>
                <w:sz w:val="16"/>
                <w:szCs w:val="16"/>
              </w:rPr>
              <w:t>10,504,049,300</w:t>
            </w:r>
          </w:p>
        </w:tc>
        <w:tc>
          <w:tcPr>
            <w:tcW w:w="886" w:type="dxa"/>
            <w:tcBorders>
              <w:top w:val="single" w:sz="8" w:space="0" w:color="D9D9D9"/>
              <w:left w:val="nil"/>
              <w:bottom w:val="single" w:sz="8" w:space="0" w:color="D9D9D9"/>
              <w:right w:val="single" w:sz="8" w:space="0" w:color="FFFFFF"/>
            </w:tcBorders>
            <w:shd w:val="clear" w:color="auto" w:fill="DFEBF1" w:themeFill="text2" w:themeFillTint="1A"/>
            <w:vAlign w:val="center"/>
            <w:hideMark/>
          </w:tcPr>
          <w:p w14:paraId="1029F516" w14:textId="77777777" w:rsidR="006D40A7" w:rsidRPr="0009351E" w:rsidRDefault="006D40A7" w:rsidP="0009351E">
            <w:pPr>
              <w:spacing w:before="40" w:after="40"/>
              <w:jc w:val="right"/>
              <w:rPr>
                <w:rFonts w:cs="Arial"/>
                <w:b/>
                <w:bCs/>
                <w:sz w:val="16"/>
                <w:szCs w:val="16"/>
              </w:rPr>
            </w:pPr>
            <w:r w:rsidRPr="0009351E">
              <w:rPr>
                <w:rFonts w:cs="Arial"/>
                <w:b/>
                <w:bCs/>
                <w:sz w:val="16"/>
                <w:szCs w:val="16"/>
              </w:rPr>
              <w:t>324</w:t>
            </w:r>
          </w:p>
        </w:tc>
        <w:tc>
          <w:tcPr>
            <w:tcW w:w="1017" w:type="dxa"/>
            <w:tcBorders>
              <w:top w:val="nil"/>
              <w:left w:val="nil"/>
              <w:bottom w:val="single" w:sz="8" w:space="0" w:color="D9D9D9"/>
              <w:right w:val="single" w:sz="8" w:space="0" w:color="FFFFFF"/>
            </w:tcBorders>
            <w:shd w:val="clear" w:color="auto" w:fill="DFEBF1" w:themeFill="text2" w:themeFillTint="1A"/>
            <w:vAlign w:val="center"/>
            <w:hideMark/>
          </w:tcPr>
          <w:p w14:paraId="34ABF84D" w14:textId="77777777" w:rsidR="006D40A7" w:rsidRPr="0009351E" w:rsidRDefault="006D40A7" w:rsidP="0009351E">
            <w:pPr>
              <w:spacing w:before="40" w:after="40"/>
              <w:jc w:val="right"/>
              <w:rPr>
                <w:rFonts w:cs="Arial"/>
                <w:b/>
                <w:bCs/>
                <w:sz w:val="16"/>
                <w:szCs w:val="16"/>
              </w:rPr>
            </w:pPr>
            <w:r w:rsidRPr="0009351E">
              <w:rPr>
                <w:rFonts w:cs="Arial"/>
                <w:b/>
                <w:bCs/>
                <w:sz w:val="16"/>
                <w:szCs w:val="16"/>
              </w:rPr>
              <w:t>27,799,857</w:t>
            </w:r>
          </w:p>
        </w:tc>
        <w:tc>
          <w:tcPr>
            <w:tcW w:w="1240" w:type="dxa"/>
            <w:tcBorders>
              <w:top w:val="single" w:sz="8" w:space="0" w:color="D9D9D9"/>
              <w:left w:val="nil"/>
              <w:bottom w:val="single" w:sz="8" w:space="0" w:color="D9D9D9"/>
              <w:right w:val="single" w:sz="8" w:space="0" w:color="FFFFFF"/>
            </w:tcBorders>
            <w:shd w:val="clear" w:color="auto" w:fill="DFEBF1" w:themeFill="text2" w:themeFillTint="1A"/>
            <w:vAlign w:val="center"/>
            <w:hideMark/>
          </w:tcPr>
          <w:p w14:paraId="44617B5D" w14:textId="77777777" w:rsidR="006D40A7" w:rsidRPr="0009351E" w:rsidRDefault="006D40A7" w:rsidP="0009351E">
            <w:pPr>
              <w:spacing w:before="40" w:after="40"/>
              <w:jc w:val="right"/>
              <w:rPr>
                <w:rFonts w:cs="Arial"/>
                <w:b/>
                <w:bCs/>
                <w:sz w:val="16"/>
                <w:szCs w:val="16"/>
              </w:rPr>
            </w:pPr>
            <w:r w:rsidRPr="0009351E">
              <w:rPr>
                <w:rFonts w:cs="Arial"/>
                <w:b/>
                <w:bCs/>
                <w:sz w:val="16"/>
                <w:szCs w:val="16"/>
              </w:rPr>
              <w:t>11,194,442,480</w:t>
            </w:r>
          </w:p>
        </w:tc>
        <w:tc>
          <w:tcPr>
            <w:tcW w:w="886" w:type="dxa"/>
            <w:tcBorders>
              <w:top w:val="single" w:sz="8" w:space="0" w:color="D9D9D9"/>
              <w:left w:val="nil"/>
              <w:bottom w:val="single" w:sz="8" w:space="0" w:color="D9D9D9"/>
              <w:right w:val="single" w:sz="8" w:space="0" w:color="FFFFFF"/>
            </w:tcBorders>
            <w:shd w:val="clear" w:color="auto" w:fill="DFEBF1" w:themeFill="text2" w:themeFillTint="1A"/>
            <w:vAlign w:val="center"/>
            <w:hideMark/>
          </w:tcPr>
          <w:p w14:paraId="6AC66D02" w14:textId="77777777" w:rsidR="006D40A7" w:rsidRPr="0009351E" w:rsidRDefault="006D40A7" w:rsidP="0009351E">
            <w:pPr>
              <w:spacing w:before="40" w:after="40"/>
              <w:jc w:val="right"/>
              <w:rPr>
                <w:rFonts w:cs="Arial"/>
                <w:b/>
                <w:bCs/>
                <w:sz w:val="16"/>
                <w:szCs w:val="16"/>
              </w:rPr>
            </w:pPr>
            <w:r w:rsidRPr="0009351E">
              <w:rPr>
                <w:rFonts w:cs="Arial"/>
                <w:b/>
                <w:bCs/>
                <w:sz w:val="16"/>
                <w:szCs w:val="16"/>
              </w:rPr>
              <w:t>403</w:t>
            </w:r>
          </w:p>
        </w:tc>
        <w:tc>
          <w:tcPr>
            <w:tcW w:w="1085" w:type="dxa"/>
            <w:tcBorders>
              <w:top w:val="single" w:sz="8" w:space="0" w:color="D9D9D9"/>
              <w:left w:val="nil"/>
              <w:bottom w:val="single" w:sz="8" w:space="0" w:color="D9D9D9"/>
              <w:right w:val="single" w:sz="8" w:space="0" w:color="FFFFFF"/>
            </w:tcBorders>
            <w:shd w:val="clear" w:color="auto" w:fill="DFEBF1" w:themeFill="text2" w:themeFillTint="1A"/>
            <w:vAlign w:val="center"/>
            <w:hideMark/>
          </w:tcPr>
          <w:p w14:paraId="5950D7D7" w14:textId="77777777" w:rsidR="006D40A7" w:rsidRPr="0009351E" w:rsidRDefault="006D40A7" w:rsidP="0009351E">
            <w:pPr>
              <w:spacing w:before="40" w:after="40"/>
              <w:jc w:val="right"/>
              <w:rPr>
                <w:rFonts w:cs="Arial"/>
                <w:b/>
                <w:bCs/>
                <w:sz w:val="16"/>
                <w:szCs w:val="16"/>
              </w:rPr>
            </w:pPr>
            <w:r w:rsidRPr="0009351E">
              <w:rPr>
                <w:rFonts w:cs="Arial"/>
                <w:b/>
                <w:bCs/>
                <w:sz w:val="16"/>
                <w:szCs w:val="16"/>
              </w:rPr>
              <w:t>- 4,594,656</w:t>
            </w:r>
          </w:p>
        </w:tc>
        <w:tc>
          <w:tcPr>
            <w:tcW w:w="1227" w:type="dxa"/>
            <w:tcBorders>
              <w:top w:val="single" w:sz="8" w:space="0" w:color="D9D9D9"/>
              <w:left w:val="nil"/>
              <w:bottom w:val="single" w:sz="8" w:space="0" w:color="D9D9D9"/>
              <w:right w:val="single" w:sz="8" w:space="0" w:color="FFFFFF"/>
            </w:tcBorders>
            <w:shd w:val="clear" w:color="auto" w:fill="DFEBF1" w:themeFill="text2" w:themeFillTint="1A"/>
            <w:vAlign w:val="center"/>
            <w:hideMark/>
          </w:tcPr>
          <w:p w14:paraId="0D754586" w14:textId="77777777" w:rsidR="006D40A7" w:rsidRPr="0009351E" w:rsidRDefault="006D40A7" w:rsidP="0009351E">
            <w:pPr>
              <w:spacing w:before="40" w:after="40"/>
              <w:jc w:val="right"/>
              <w:rPr>
                <w:rFonts w:cs="Arial"/>
                <w:b/>
                <w:bCs/>
                <w:sz w:val="16"/>
                <w:szCs w:val="16"/>
              </w:rPr>
            </w:pPr>
            <w:r w:rsidRPr="0009351E">
              <w:rPr>
                <w:rFonts w:cs="Arial"/>
                <w:b/>
                <w:bCs/>
                <w:sz w:val="16"/>
                <w:szCs w:val="16"/>
              </w:rPr>
              <w:t>690,393,180</w:t>
            </w:r>
          </w:p>
        </w:tc>
        <w:tc>
          <w:tcPr>
            <w:tcW w:w="887" w:type="dxa"/>
            <w:tcBorders>
              <w:top w:val="single" w:sz="8" w:space="0" w:color="D9D9D9"/>
              <w:left w:val="nil"/>
              <w:bottom w:val="single" w:sz="8" w:space="0" w:color="D9D9D9"/>
              <w:right w:val="single" w:sz="8" w:space="0" w:color="FFFFFF"/>
            </w:tcBorders>
            <w:shd w:val="clear" w:color="auto" w:fill="DFEBF1" w:themeFill="text2" w:themeFillTint="1A"/>
            <w:vAlign w:val="center"/>
            <w:hideMark/>
          </w:tcPr>
          <w:p w14:paraId="66F8E72A" w14:textId="77777777" w:rsidR="006D40A7" w:rsidRPr="0009351E" w:rsidRDefault="006D40A7" w:rsidP="0009351E">
            <w:pPr>
              <w:spacing w:before="40" w:after="40"/>
              <w:jc w:val="right"/>
              <w:rPr>
                <w:rFonts w:cs="Arial"/>
                <w:b/>
                <w:bCs/>
                <w:sz w:val="16"/>
                <w:szCs w:val="16"/>
              </w:rPr>
            </w:pPr>
            <w:r w:rsidRPr="0009351E">
              <w:rPr>
                <w:rFonts w:cs="Arial"/>
                <w:b/>
                <w:bCs/>
                <w:sz w:val="16"/>
                <w:szCs w:val="16"/>
              </w:rPr>
              <w:t>78</w:t>
            </w:r>
          </w:p>
        </w:tc>
      </w:tr>
    </w:tbl>
    <w:p w14:paraId="58F08800" w14:textId="6D67CED3" w:rsidR="00260A29" w:rsidRDefault="00D9469E" w:rsidP="00AF182D">
      <w:pPr>
        <w:spacing w:before="240"/>
      </w:pPr>
      <w:r>
        <w:fldChar w:fldCharType="begin"/>
      </w:r>
      <w:r>
        <w:instrText xml:space="preserve"> REF _Ref191975520 \h </w:instrText>
      </w:r>
      <w:r>
        <w:fldChar w:fldCharType="separate"/>
      </w:r>
      <w:r w:rsidRPr="0093558C">
        <w:rPr>
          <w:lang w:val="en-PH"/>
        </w:rPr>
        <w:t xml:space="preserve">Table </w:t>
      </w:r>
      <w:r>
        <w:rPr>
          <w:noProof/>
          <w:lang w:val="en-PH"/>
        </w:rPr>
        <w:t>21</w:t>
      </w:r>
      <w:r>
        <w:fldChar w:fldCharType="end"/>
      </w:r>
      <w:r>
        <w:t xml:space="preserve"> </w:t>
      </w:r>
      <w:r w:rsidR="00CB4503">
        <w:t xml:space="preserve">shows the </w:t>
      </w:r>
      <w:r w:rsidR="00917F17">
        <w:t>Tier 2 end</w:t>
      </w:r>
      <w:r w:rsidR="00984F28">
        <w:t>-</w:t>
      </w:r>
      <w:r w:rsidR="00917F17">
        <w:t>classes that contributed the most to the reduction in service events, from 2021-22 to 2022-23. In 2022-23, the total service events COVID-19 Vaccination (10.21) was 60,806, decreasing by 4.5 million records, from 2021-22.</w:t>
      </w:r>
    </w:p>
    <w:p w14:paraId="05CABD69" w14:textId="65B59D93" w:rsidR="00CB4503" w:rsidRDefault="00CB4503" w:rsidP="00303546">
      <w:pPr>
        <w:pStyle w:val="TableFigureheading"/>
        <w:rPr>
          <w:lang w:val="en-PH"/>
        </w:rPr>
      </w:pPr>
      <w:bookmarkStart w:id="331" w:name="_Ref191975520"/>
      <w:bookmarkStart w:id="332" w:name="_Toc185852228"/>
      <w:bookmarkStart w:id="333" w:name="_Toc187312147"/>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E54684">
        <w:rPr>
          <w:noProof/>
          <w:lang w:val="en-PH"/>
        </w:rPr>
        <w:t>21</w:t>
      </w:r>
      <w:r w:rsidRPr="0093558C">
        <w:rPr>
          <w:lang w:val="en-PH"/>
        </w:rPr>
        <w:fldChar w:fldCharType="end"/>
      </w:r>
      <w:bookmarkEnd w:id="331"/>
      <w:r w:rsidRPr="0093558C">
        <w:rPr>
          <w:lang w:val="en-PH"/>
        </w:rPr>
        <w:t xml:space="preserve">: </w:t>
      </w:r>
      <w:r w:rsidR="00FD668D">
        <w:rPr>
          <w:lang w:val="en-PH"/>
        </w:rPr>
        <w:t>Top 5 Tier 2 end-classes with greatest change in service events</w:t>
      </w:r>
      <w:r w:rsidR="00260452">
        <w:rPr>
          <w:lang w:val="en-PH"/>
        </w:rPr>
        <w:t>, 2021-22 to 2022-23</w:t>
      </w:r>
      <w:bookmarkEnd w:id="332"/>
      <w:bookmarkEnd w:id="333"/>
    </w:p>
    <w:tbl>
      <w:tblPr>
        <w:tblW w:w="9072" w:type="dxa"/>
        <w:jc w:val="center"/>
        <w:tblLook w:val="04A0" w:firstRow="1" w:lastRow="0" w:firstColumn="1" w:lastColumn="0" w:noHBand="0" w:noVBand="1"/>
      </w:tblPr>
      <w:tblGrid>
        <w:gridCol w:w="1235"/>
        <w:gridCol w:w="3868"/>
        <w:gridCol w:w="1418"/>
        <w:gridCol w:w="1285"/>
        <w:gridCol w:w="1266"/>
      </w:tblGrid>
      <w:tr w:rsidR="00BB0088" w:rsidRPr="0024020B" w14:paraId="7EA6D889" w14:textId="77777777" w:rsidTr="0009351E">
        <w:trPr>
          <w:trHeight w:val="290"/>
          <w:jc w:val="center"/>
        </w:trPr>
        <w:tc>
          <w:tcPr>
            <w:tcW w:w="0" w:type="auto"/>
            <w:tcBorders>
              <w:top w:val="nil"/>
              <w:left w:val="nil"/>
              <w:bottom w:val="single" w:sz="8" w:space="0" w:color="D9D9D9"/>
              <w:right w:val="single" w:sz="8" w:space="0" w:color="FFFFFF"/>
            </w:tcBorders>
            <w:shd w:val="clear" w:color="auto" w:fill="15272F"/>
            <w:vAlign w:val="center"/>
            <w:hideMark/>
          </w:tcPr>
          <w:p w14:paraId="77F3321A" w14:textId="3DDBB7E2" w:rsidR="00BB0088" w:rsidRPr="0024020B" w:rsidRDefault="00BB0088" w:rsidP="00BB0088">
            <w:pPr>
              <w:spacing w:before="40" w:after="40"/>
              <w:jc w:val="center"/>
              <w:rPr>
                <w:rFonts w:cs="Arial"/>
                <w:b/>
                <w:bCs/>
                <w:color w:val="FFFFFF" w:themeColor="background2"/>
                <w:sz w:val="16"/>
                <w:szCs w:val="16"/>
              </w:rPr>
            </w:pPr>
            <w:r>
              <w:rPr>
                <w:rFonts w:cs="Arial"/>
                <w:b/>
                <w:bCs/>
                <w:color w:val="FFFFFF" w:themeColor="background2"/>
                <w:sz w:val="16"/>
                <w:szCs w:val="16"/>
              </w:rPr>
              <w:t>Tier 2 Code</w:t>
            </w:r>
          </w:p>
        </w:tc>
        <w:tc>
          <w:tcPr>
            <w:tcW w:w="3868" w:type="dxa"/>
            <w:tcBorders>
              <w:top w:val="nil"/>
              <w:left w:val="nil"/>
              <w:bottom w:val="single" w:sz="8" w:space="0" w:color="D9D9D9"/>
              <w:right w:val="single" w:sz="8" w:space="0" w:color="FFFFFF"/>
            </w:tcBorders>
            <w:shd w:val="clear" w:color="auto" w:fill="15272F"/>
            <w:vAlign w:val="center"/>
            <w:hideMark/>
          </w:tcPr>
          <w:p w14:paraId="47D60336" w14:textId="63B471D4" w:rsidR="00BB0088" w:rsidRPr="0024020B" w:rsidRDefault="00BB0088" w:rsidP="00BB0088">
            <w:pPr>
              <w:spacing w:before="40" w:after="40"/>
              <w:jc w:val="center"/>
              <w:rPr>
                <w:rFonts w:cs="Arial"/>
                <w:b/>
                <w:bCs/>
                <w:color w:val="FFFFFF" w:themeColor="background2"/>
                <w:sz w:val="16"/>
                <w:szCs w:val="16"/>
              </w:rPr>
            </w:pPr>
            <w:r>
              <w:rPr>
                <w:rFonts w:eastAsia="Times New Roman" w:cs="Arial"/>
                <w:b/>
                <w:bCs/>
                <w:color w:val="FFFFFF" w:themeColor="background2"/>
                <w:sz w:val="16"/>
                <w:szCs w:val="16"/>
                <w:lang w:eastAsia="en-AU"/>
              </w:rPr>
              <w:t>Description</w:t>
            </w:r>
          </w:p>
        </w:tc>
        <w:tc>
          <w:tcPr>
            <w:tcW w:w="1418" w:type="dxa"/>
            <w:tcBorders>
              <w:top w:val="nil"/>
              <w:left w:val="nil"/>
              <w:bottom w:val="single" w:sz="8" w:space="0" w:color="D9D9D9"/>
              <w:right w:val="single" w:sz="8" w:space="0" w:color="FFFFFF"/>
            </w:tcBorders>
            <w:shd w:val="clear" w:color="auto" w:fill="15272F"/>
            <w:vAlign w:val="center"/>
            <w:hideMark/>
          </w:tcPr>
          <w:p w14:paraId="7845FA84" w14:textId="02FFBD6D" w:rsidR="00BB0088" w:rsidRPr="0024020B" w:rsidRDefault="00BB0088" w:rsidP="00BB0088">
            <w:pPr>
              <w:spacing w:before="40" w:after="40"/>
              <w:jc w:val="center"/>
              <w:rPr>
                <w:rFonts w:cs="Arial"/>
                <w:b/>
                <w:bCs/>
                <w:color w:val="FFFFFF" w:themeColor="background2"/>
                <w:sz w:val="16"/>
                <w:szCs w:val="16"/>
              </w:rPr>
            </w:pPr>
            <w:r w:rsidRPr="0024020B">
              <w:rPr>
                <w:rFonts w:eastAsia="Times New Roman" w:cs="Arial"/>
                <w:b/>
                <w:bCs/>
                <w:color w:val="FFFFFF" w:themeColor="background2"/>
                <w:sz w:val="16"/>
                <w:szCs w:val="16"/>
                <w:lang w:eastAsia="en-AU"/>
              </w:rPr>
              <w:t>2022-23</w:t>
            </w:r>
          </w:p>
        </w:tc>
        <w:tc>
          <w:tcPr>
            <w:tcW w:w="1285" w:type="dxa"/>
            <w:tcBorders>
              <w:top w:val="nil"/>
              <w:left w:val="nil"/>
              <w:bottom w:val="single" w:sz="8" w:space="0" w:color="D9D9D9"/>
              <w:right w:val="single" w:sz="8" w:space="0" w:color="FFFFFF"/>
            </w:tcBorders>
            <w:shd w:val="clear" w:color="auto" w:fill="15272F"/>
            <w:vAlign w:val="center"/>
            <w:hideMark/>
          </w:tcPr>
          <w:p w14:paraId="2FA89A3B" w14:textId="6D9D1339" w:rsidR="00BB0088" w:rsidRPr="0024020B" w:rsidRDefault="00BB0088" w:rsidP="00BB0088">
            <w:pPr>
              <w:spacing w:before="40" w:after="40"/>
              <w:jc w:val="center"/>
              <w:rPr>
                <w:rFonts w:cs="Arial"/>
                <w:b/>
                <w:bCs/>
                <w:color w:val="FFFFFF" w:themeColor="background2"/>
                <w:sz w:val="16"/>
                <w:szCs w:val="16"/>
              </w:rPr>
            </w:pPr>
            <w:r w:rsidRPr="0024020B">
              <w:rPr>
                <w:rFonts w:eastAsia="Times New Roman" w:cs="Arial"/>
                <w:b/>
                <w:bCs/>
                <w:color w:val="FFFFFF" w:themeColor="background2"/>
                <w:sz w:val="16"/>
                <w:szCs w:val="16"/>
                <w:lang w:eastAsia="en-AU"/>
              </w:rPr>
              <w:t>2021-22</w:t>
            </w:r>
          </w:p>
        </w:tc>
        <w:tc>
          <w:tcPr>
            <w:tcW w:w="1266" w:type="dxa"/>
            <w:tcBorders>
              <w:top w:val="nil"/>
              <w:left w:val="nil"/>
              <w:bottom w:val="single" w:sz="8" w:space="0" w:color="D9D9D9"/>
              <w:right w:val="single" w:sz="8" w:space="0" w:color="FFFFFF"/>
            </w:tcBorders>
            <w:shd w:val="clear" w:color="auto" w:fill="15272F"/>
            <w:vAlign w:val="center"/>
            <w:hideMark/>
          </w:tcPr>
          <w:p w14:paraId="7231A212" w14:textId="591EC649" w:rsidR="00BB0088" w:rsidRPr="0024020B" w:rsidRDefault="00BB0088" w:rsidP="00BB0088">
            <w:pPr>
              <w:spacing w:before="40" w:after="40"/>
              <w:jc w:val="center"/>
              <w:rPr>
                <w:rFonts w:cs="Arial"/>
                <w:b/>
                <w:bCs/>
                <w:color w:val="FFFFFF" w:themeColor="background2"/>
                <w:sz w:val="16"/>
                <w:szCs w:val="16"/>
              </w:rPr>
            </w:pPr>
            <w:r w:rsidRPr="0024020B">
              <w:rPr>
                <w:rFonts w:eastAsia="Times New Roman" w:cs="Arial"/>
                <w:b/>
                <w:bCs/>
                <w:color w:val="FFFFFF" w:themeColor="background2"/>
                <w:sz w:val="16"/>
                <w:szCs w:val="16"/>
                <w:lang w:eastAsia="en-AU"/>
              </w:rPr>
              <w:t>Change</w:t>
            </w:r>
          </w:p>
        </w:tc>
      </w:tr>
      <w:tr w:rsidR="00BB0088" w:rsidRPr="0024020B" w14:paraId="589D1537" w14:textId="77777777" w:rsidTr="0009351E">
        <w:trPr>
          <w:trHeight w:val="290"/>
          <w:jc w:val="center"/>
        </w:trPr>
        <w:tc>
          <w:tcPr>
            <w:tcW w:w="1235" w:type="dxa"/>
            <w:tcBorders>
              <w:top w:val="nil"/>
              <w:left w:val="nil"/>
              <w:bottom w:val="single" w:sz="8" w:space="0" w:color="D9D9D9"/>
              <w:right w:val="single" w:sz="8" w:space="0" w:color="FFFFFF"/>
            </w:tcBorders>
            <w:vAlign w:val="center"/>
            <w:hideMark/>
          </w:tcPr>
          <w:p w14:paraId="61CE02AB" w14:textId="4DC51F1E" w:rsidR="00BB0088" w:rsidRPr="0024020B" w:rsidRDefault="00BB0088" w:rsidP="0009351E">
            <w:pPr>
              <w:spacing w:before="40" w:after="40"/>
              <w:jc w:val="center"/>
              <w:rPr>
                <w:rFonts w:cs="Arial"/>
                <w:sz w:val="16"/>
                <w:szCs w:val="16"/>
              </w:rPr>
            </w:pPr>
            <w:r w:rsidRPr="007743D5">
              <w:rPr>
                <w:rFonts w:eastAsia="Times New Roman" w:cs="Arial"/>
                <w:color w:val="000000"/>
                <w:sz w:val="16"/>
                <w:szCs w:val="16"/>
                <w:lang w:eastAsia="en-AU"/>
              </w:rPr>
              <w:t>40.53</w:t>
            </w:r>
          </w:p>
        </w:tc>
        <w:tc>
          <w:tcPr>
            <w:tcW w:w="3868" w:type="dxa"/>
            <w:tcBorders>
              <w:top w:val="nil"/>
              <w:left w:val="nil"/>
              <w:bottom w:val="nil"/>
              <w:right w:val="single" w:sz="8" w:space="0" w:color="FFFFFF"/>
            </w:tcBorders>
            <w:shd w:val="clear" w:color="auto" w:fill="F2F2F2"/>
            <w:vAlign w:val="center"/>
            <w:hideMark/>
          </w:tcPr>
          <w:p w14:paraId="3749408D" w14:textId="3C0BF4E2" w:rsidR="00BB0088" w:rsidRPr="0024020B" w:rsidRDefault="00BB0088" w:rsidP="0009351E">
            <w:pPr>
              <w:spacing w:before="40" w:after="40"/>
              <w:rPr>
                <w:rFonts w:cs="Arial"/>
                <w:b/>
                <w:sz w:val="16"/>
                <w:szCs w:val="16"/>
                <w:u w:val="single"/>
              </w:rPr>
            </w:pPr>
            <w:r w:rsidRPr="007743D5">
              <w:rPr>
                <w:rFonts w:eastAsia="Times New Roman" w:cs="Arial"/>
                <w:color w:val="000000"/>
                <w:sz w:val="16"/>
                <w:szCs w:val="16"/>
                <w:lang w:eastAsia="en-AU"/>
              </w:rPr>
              <w:t>General Medicine</w:t>
            </w:r>
          </w:p>
        </w:tc>
        <w:tc>
          <w:tcPr>
            <w:tcW w:w="1418" w:type="dxa"/>
            <w:tcBorders>
              <w:top w:val="nil"/>
              <w:left w:val="nil"/>
              <w:bottom w:val="nil"/>
              <w:right w:val="single" w:sz="8" w:space="0" w:color="FFFFFF"/>
            </w:tcBorders>
            <w:shd w:val="clear" w:color="auto" w:fill="F2F2F2"/>
            <w:vAlign w:val="center"/>
            <w:hideMark/>
          </w:tcPr>
          <w:p w14:paraId="103E2051" w14:textId="70722BDB" w:rsidR="00BB0088" w:rsidRPr="0024020B" w:rsidRDefault="00BB0088" w:rsidP="00BB0088">
            <w:pPr>
              <w:spacing w:before="40" w:after="40"/>
              <w:jc w:val="right"/>
              <w:rPr>
                <w:rFonts w:cs="Arial"/>
                <w:b/>
                <w:sz w:val="16"/>
                <w:szCs w:val="16"/>
                <w:u w:val="single"/>
              </w:rPr>
            </w:pPr>
            <w:r w:rsidRPr="007743D5">
              <w:rPr>
                <w:rFonts w:eastAsia="Times New Roman" w:cs="Arial"/>
                <w:color w:val="000000"/>
                <w:sz w:val="16"/>
                <w:szCs w:val="16"/>
                <w:lang w:eastAsia="en-AU"/>
              </w:rPr>
              <w:t>116,658</w:t>
            </w:r>
          </w:p>
        </w:tc>
        <w:tc>
          <w:tcPr>
            <w:tcW w:w="1285" w:type="dxa"/>
            <w:tcBorders>
              <w:top w:val="nil"/>
              <w:left w:val="nil"/>
              <w:bottom w:val="nil"/>
              <w:right w:val="single" w:sz="8" w:space="0" w:color="FFFFFF"/>
            </w:tcBorders>
            <w:shd w:val="clear" w:color="auto" w:fill="F2F2F2"/>
            <w:vAlign w:val="center"/>
            <w:hideMark/>
          </w:tcPr>
          <w:p w14:paraId="3A6A74A8" w14:textId="6EB0CC2C" w:rsidR="00BB0088" w:rsidRPr="0024020B" w:rsidRDefault="00BB0088" w:rsidP="00BB0088">
            <w:pPr>
              <w:spacing w:before="40" w:after="40"/>
              <w:jc w:val="right"/>
              <w:rPr>
                <w:rFonts w:cs="Arial"/>
                <w:b/>
                <w:sz w:val="16"/>
                <w:szCs w:val="16"/>
                <w:u w:val="single"/>
              </w:rPr>
            </w:pPr>
            <w:r w:rsidRPr="007743D5">
              <w:rPr>
                <w:rFonts w:eastAsia="Times New Roman" w:cs="Arial"/>
                <w:color w:val="000000"/>
                <w:sz w:val="16"/>
                <w:szCs w:val="16"/>
                <w:lang w:eastAsia="en-AU"/>
              </w:rPr>
              <w:t>248,016</w:t>
            </w:r>
          </w:p>
        </w:tc>
        <w:tc>
          <w:tcPr>
            <w:tcW w:w="1266" w:type="dxa"/>
            <w:tcBorders>
              <w:top w:val="nil"/>
              <w:left w:val="nil"/>
              <w:bottom w:val="single" w:sz="8" w:space="0" w:color="D9D9D9"/>
              <w:right w:val="single" w:sz="8" w:space="0" w:color="FFFFFF"/>
            </w:tcBorders>
            <w:shd w:val="clear" w:color="auto" w:fill="F2F2F2"/>
            <w:vAlign w:val="center"/>
            <w:hideMark/>
          </w:tcPr>
          <w:p w14:paraId="210A1179" w14:textId="71A9D40F" w:rsidR="00BB0088" w:rsidRPr="0024020B" w:rsidRDefault="00BB0088" w:rsidP="00BB0088">
            <w:pPr>
              <w:spacing w:before="40" w:after="40"/>
              <w:jc w:val="right"/>
              <w:rPr>
                <w:rFonts w:cs="Arial"/>
                <w:sz w:val="16"/>
                <w:szCs w:val="16"/>
              </w:rPr>
            </w:pPr>
            <w:r>
              <w:rPr>
                <w:rFonts w:eastAsia="Times New Roman" w:cs="Arial"/>
                <w:color w:val="000000"/>
                <w:sz w:val="16"/>
                <w:szCs w:val="16"/>
                <w:lang w:eastAsia="en-AU"/>
              </w:rPr>
              <w:t>-</w:t>
            </w:r>
            <w:r w:rsidRPr="007743D5">
              <w:rPr>
                <w:rFonts w:eastAsia="Times New Roman" w:cs="Arial"/>
                <w:color w:val="000000"/>
                <w:sz w:val="16"/>
                <w:szCs w:val="16"/>
                <w:lang w:eastAsia="en-AU"/>
              </w:rPr>
              <w:t>131,358</w:t>
            </w:r>
          </w:p>
        </w:tc>
      </w:tr>
      <w:tr w:rsidR="00BB0088" w:rsidRPr="0024020B" w14:paraId="141D13E7" w14:textId="77777777" w:rsidTr="0009351E">
        <w:trPr>
          <w:trHeight w:val="290"/>
          <w:jc w:val="center"/>
        </w:trPr>
        <w:tc>
          <w:tcPr>
            <w:tcW w:w="1235" w:type="dxa"/>
            <w:tcBorders>
              <w:top w:val="nil"/>
              <w:left w:val="nil"/>
              <w:bottom w:val="single" w:sz="8" w:space="0" w:color="D9D9D9"/>
              <w:right w:val="single" w:sz="8" w:space="0" w:color="FFFFFF"/>
            </w:tcBorders>
            <w:vAlign w:val="center"/>
            <w:hideMark/>
          </w:tcPr>
          <w:p w14:paraId="1D43D5AB" w14:textId="444CAD8E" w:rsidR="00BB0088" w:rsidRPr="0024020B" w:rsidRDefault="00BB0088" w:rsidP="0009351E">
            <w:pPr>
              <w:spacing w:before="40" w:after="40"/>
              <w:jc w:val="center"/>
              <w:rPr>
                <w:rFonts w:cs="Arial"/>
                <w:sz w:val="16"/>
                <w:szCs w:val="16"/>
              </w:rPr>
            </w:pPr>
            <w:r w:rsidRPr="007743D5">
              <w:rPr>
                <w:rFonts w:eastAsia="Times New Roman" w:cs="Arial"/>
                <w:color w:val="000000"/>
                <w:sz w:val="16"/>
                <w:szCs w:val="16"/>
                <w:lang w:eastAsia="en-AU"/>
              </w:rPr>
              <w:t>20.57</w:t>
            </w:r>
          </w:p>
        </w:tc>
        <w:tc>
          <w:tcPr>
            <w:tcW w:w="3868" w:type="dxa"/>
            <w:tcBorders>
              <w:top w:val="single" w:sz="8" w:space="0" w:color="D9D9D9"/>
              <w:left w:val="nil"/>
              <w:bottom w:val="single" w:sz="8" w:space="0" w:color="D9D9D9"/>
              <w:right w:val="single" w:sz="8" w:space="0" w:color="FFFFFF"/>
            </w:tcBorders>
            <w:shd w:val="clear" w:color="auto" w:fill="F2F2F2"/>
            <w:vAlign w:val="center"/>
            <w:hideMark/>
          </w:tcPr>
          <w:p w14:paraId="4E68D02B" w14:textId="5891FF88" w:rsidR="00BB0088" w:rsidRPr="0024020B" w:rsidRDefault="00BB0088" w:rsidP="0009351E">
            <w:pPr>
              <w:spacing w:before="40" w:after="40"/>
              <w:rPr>
                <w:rFonts w:cs="Arial"/>
                <w:sz w:val="16"/>
                <w:szCs w:val="16"/>
              </w:rPr>
            </w:pPr>
            <w:r w:rsidRPr="007743D5">
              <w:rPr>
                <w:rFonts w:eastAsia="Times New Roman" w:cs="Arial"/>
                <w:color w:val="000000"/>
                <w:sz w:val="16"/>
                <w:szCs w:val="16"/>
                <w:lang w:eastAsia="en-AU"/>
              </w:rPr>
              <w:t>COVID-19 response</w:t>
            </w:r>
          </w:p>
        </w:tc>
        <w:tc>
          <w:tcPr>
            <w:tcW w:w="1418" w:type="dxa"/>
            <w:tcBorders>
              <w:top w:val="single" w:sz="8" w:space="0" w:color="D9D9D9"/>
              <w:left w:val="nil"/>
              <w:bottom w:val="single" w:sz="8" w:space="0" w:color="D9D9D9"/>
              <w:right w:val="single" w:sz="8" w:space="0" w:color="FFFFFF"/>
            </w:tcBorders>
            <w:shd w:val="clear" w:color="auto" w:fill="F2F2F2"/>
            <w:vAlign w:val="center"/>
            <w:hideMark/>
          </w:tcPr>
          <w:p w14:paraId="2606F3AA" w14:textId="7D52A013"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23,923</w:t>
            </w:r>
          </w:p>
        </w:tc>
        <w:tc>
          <w:tcPr>
            <w:tcW w:w="1285" w:type="dxa"/>
            <w:tcBorders>
              <w:top w:val="single" w:sz="8" w:space="0" w:color="D9D9D9"/>
              <w:left w:val="nil"/>
              <w:bottom w:val="single" w:sz="8" w:space="0" w:color="D9D9D9"/>
              <w:right w:val="single" w:sz="8" w:space="0" w:color="FFFFFF"/>
            </w:tcBorders>
            <w:shd w:val="clear" w:color="auto" w:fill="F2F2F2"/>
            <w:vAlign w:val="center"/>
            <w:hideMark/>
          </w:tcPr>
          <w:p w14:paraId="73BE85C4" w14:textId="1224BA3F"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200,778</w:t>
            </w:r>
          </w:p>
        </w:tc>
        <w:tc>
          <w:tcPr>
            <w:tcW w:w="1266" w:type="dxa"/>
            <w:tcBorders>
              <w:top w:val="nil"/>
              <w:left w:val="nil"/>
              <w:bottom w:val="single" w:sz="8" w:space="0" w:color="D9D9D9"/>
              <w:right w:val="single" w:sz="8" w:space="0" w:color="FFFFFF"/>
            </w:tcBorders>
            <w:shd w:val="clear" w:color="auto" w:fill="F2F2F2"/>
            <w:vAlign w:val="center"/>
            <w:hideMark/>
          </w:tcPr>
          <w:p w14:paraId="6F1E9534" w14:textId="6677879D" w:rsidR="00BB0088" w:rsidRPr="0024020B" w:rsidRDefault="00BB0088" w:rsidP="00BB0088">
            <w:pPr>
              <w:spacing w:before="40" w:after="40"/>
              <w:jc w:val="right"/>
              <w:rPr>
                <w:rFonts w:cs="Arial"/>
                <w:sz w:val="16"/>
                <w:szCs w:val="16"/>
              </w:rPr>
            </w:pPr>
            <w:r>
              <w:rPr>
                <w:rFonts w:eastAsia="Times New Roman" w:cs="Arial"/>
                <w:color w:val="000000"/>
                <w:sz w:val="16"/>
                <w:szCs w:val="16"/>
                <w:lang w:eastAsia="en-AU"/>
              </w:rPr>
              <w:t>-</w:t>
            </w:r>
            <w:r w:rsidRPr="007743D5">
              <w:rPr>
                <w:rFonts w:eastAsia="Times New Roman" w:cs="Arial"/>
                <w:color w:val="000000"/>
                <w:sz w:val="16"/>
                <w:szCs w:val="16"/>
                <w:lang w:eastAsia="en-AU"/>
              </w:rPr>
              <w:t>176,855</w:t>
            </w:r>
          </w:p>
        </w:tc>
      </w:tr>
      <w:tr w:rsidR="00BB0088" w:rsidRPr="0024020B" w14:paraId="2E942909" w14:textId="77777777" w:rsidTr="00AF2065">
        <w:trPr>
          <w:trHeight w:val="290"/>
          <w:jc w:val="center"/>
        </w:trPr>
        <w:tc>
          <w:tcPr>
            <w:tcW w:w="1235" w:type="dxa"/>
            <w:tcBorders>
              <w:top w:val="nil"/>
              <w:left w:val="nil"/>
              <w:bottom w:val="single" w:sz="8" w:space="0" w:color="D9D9D9"/>
              <w:right w:val="single" w:sz="8" w:space="0" w:color="FFFFFF"/>
            </w:tcBorders>
            <w:vAlign w:val="center"/>
            <w:hideMark/>
          </w:tcPr>
          <w:p w14:paraId="3A91498B" w14:textId="2A9D60C8" w:rsidR="00BB0088" w:rsidRPr="0024020B" w:rsidRDefault="00BB0088" w:rsidP="0009351E">
            <w:pPr>
              <w:spacing w:before="40" w:after="40"/>
              <w:jc w:val="center"/>
              <w:rPr>
                <w:rFonts w:cs="Arial"/>
                <w:sz w:val="16"/>
                <w:szCs w:val="16"/>
              </w:rPr>
            </w:pPr>
            <w:r w:rsidRPr="007743D5">
              <w:rPr>
                <w:rFonts w:eastAsia="Times New Roman" w:cs="Arial"/>
                <w:color w:val="000000"/>
                <w:sz w:val="16"/>
                <w:szCs w:val="16"/>
                <w:lang w:eastAsia="en-AU"/>
              </w:rPr>
              <w:t>30.09</w:t>
            </w:r>
          </w:p>
        </w:tc>
        <w:tc>
          <w:tcPr>
            <w:tcW w:w="3868" w:type="dxa"/>
            <w:tcBorders>
              <w:top w:val="nil"/>
              <w:left w:val="nil"/>
              <w:bottom w:val="nil"/>
              <w:right w:val="single" w:sz="8" w:space="0" w:color="FFFFFF"/>
            </w:tcBorders>
            <w:shd w:val="clear" w:color="auto" w:fill="F2F2F2"/>
            <w:vAlign w:val="center"/>
            <w:hideMark/>
          </w:tcPr>
          <w:p w14:paraId="72BF32C5" w14:textId="194AAF52" w:rsidR="00BB0088" w:rsidRPr="0024020B" w:rsidRDefault="00BB0088" w:rsidP="0009351E">
            <w:pPr>
              <w:spacing w:before="40" w:after="40"/>
              <w:rPr>
                <w:rFonts w:cs="Arial"/>
                <w:b/>
                <w:sz w:val="16"/>
                <w:szCs w:val="16"/>
                <w:u w:val="single"/>
              </w:rPr>
            </w:pPr>
            <w:r w:rsidRPr="007743D5">
              <w:rPr>
                <w:rFonts w:eastAsia="Times New Roman" w:cs="Arial"/>
                <w:color w:val="000000"/>
                <w:sz w:val="16"/>
                <w:szCs w:val="16"/>
                <w:lang w:eastAsia="en-AU"/>
              </w:rPr>
              <w:t>COVID-19 response diagnostics</w:t>
            </w:r>
          </w:p>
        </w:tc>
        <w:tc>
          <w:tcPr>
            <w:tcW w:w="1418" w:type="dxa"/>
            <w:tcBorders>
              <w:top w:val="nil"/>
              <w:left w:val="nil"/>
              <w:bottom w:val="nil"/>
              <w:right w:val="single" w:sz="8" w:space="0" w:color="FFFFFF"/>
            </w:tcBorders>
            <w:shd w:val="clear" w:color="auto" w:fill="F2F2F2"/>
            <w:vAlign w:val="center"/>
            <w:hideMark/>
          </w:tcPr>
          <w:p w14:paraId="2C0BACD9" w14:textId="3BB9EDE8"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61,322</w:t>
            </w:r>
          </w:p>
        </w:tc>
        <w:tc>
          <w:tcPr>
            <w:tcW w:w="1285" w:type="dxa"/>
            <w:tcBorders>
              <w:top w:val="nil"/>
              <w:left w:val="nil"/>
              <w:bottom w:val="nil"/>
              <w:right w:val="single" w:sz="8" w:space="0" w:color="FFFFFF"/>
            </w:tcBorders>
            <w:shd w:val="clear" w:color="auto" w:fill="F2F2F2"/>
            <w:vAlign w:val="center"/>
            <w:hideMark/>
          </w:tcPr>
          <w:p w14:paraId="56F2CF48" w14:textId="0705861D" w:rsidR="00BB0088" w:rsidRPr="0024020B" w:rsidRDefault="00BB0088" w:rsidP="00BB0088">
            <w:pPr>
              <w:spacing w:before="40" w:after="40"/>
              <w:jc w:val="right"/>
              <w:rPr>
                <w:rFonts w:cs="Arial"/>
                <w:b/>
                <w:sz w:val="16"/>
                <w:szCs w:val="16"/>
                <w:u w:val="single"/>
              </w:rPr>
            </w:pPr>
            <w:r w:rsidRPr="007743D5">
              <w:rPr>
                <w:rFonts w:eastAsia="Times New Roman" w:cs="Arial"/>
                <w:color w:val="000000"/>
                <w:sz w:val="16"/>
                <w:szCs w:val="16"/>
                <w:lang w:eastAsia="en-AU"/>
              </w:rPr>
              <w:t>696,921</w:t>
            </w:r>
          </w:p>
        </w:tc>
        <w:tc>
          <w:tcPr>
            <w:tcW w:w="1266" w:type="dxa"/>
            <w:tcBorders>
              <w:top w:val="nil"/>
              <w:left w:val="nil"/>
              <w:bottom w:val="single" w:sz="8" w:space="0" w:color="D9D9D9"/>
              <w:right w:val="single" w:sz="8" w:space="0" w:color="FFFFFF"/>
            </w:tcBorders>
            <w:shd w:val="clear" w:color="auto" w:fill="F2F2F2"/>
            <w:vAlign w:val="center"/>
            <w:hideMark/>
          </w:tcPr>
          <w:p w14:paraId="3C06DDD0" w14:textId="736824F3" w:rsidR="00BB0088" w:rsidRPr="0024020B" w:rsidRDefault="00BB0088" w:rsidP="00BB0088">
            <w:pPr>
              <w:spacing w:before="40" w:after="40"/>
              <w:jc w:val="right"/>
              <w:rPr>
                <w:rFonts w:cs="Arial"/>
                <w:sz w:val="16"/>
                <w:szCs w:val="16"/>
              </w:rPr>
            </w:pPr>
            <w:r>
              <w:rPr>
                <w:rFonts w:eastAsia="Times New Roman" w:cs="Arial"/>
                <w:color w:val="000000"/>
                <w:sz w:val="16"/>
                <w:szCs w:val="16"/>
                <w:lang w:eastAsia="en-AU"/>
              </w:rPr>
              <w:t>-</w:t>
            </w:r>
            <w:r w:rsidRPr="007743D5">
              <w:rPr>
                <w:rFonts w:eastAsia="Times New Roman" w:cs="Arial"/>
                <w:color w:val="000000"/>
                <w:sz w:val="16"/>
                <w:szCs w:val="16"/>
                <w:lang w:eastAsia="en-AU"/>
              </w:rPr>
              <w:t>635,599</w:t>
            </w:r>
          </w:p>
        </w:tc>
      </w:tr>
      <w:tr w:rsidR="00BB0088" w:rsidRPr="0024020B" w14:paraId="5B0D8B14" w14:textId="77777777" w:rsidTr="00AF2065">
        <w:trPr>
          <w:trHeight w:val="290"/>
          <w:jc w:val="center"/>
        </w:trPr>
        <w:tc>
          <w:tcPr>
            <w:tcW w:w="1235" w:type="dxa"/>
            <w:tcBorders>
              <w:top w:val="single" w:sz="8" w:space="0" w:color="D9D9D9"/>
              <w:left w:val="nil"/>
              <w:bottom w:val="single" w:sz="4" w:space="0" w:color="D9D9D9" w:themeColor="background2" w:themeShade="D9"/>
              <w:right w:val="single" w:sz="8" w:space="0" w:color="FFFFFF"/>
            </w:tcBorders>
            <w:vAlign w:val="center"/>
            <w:hideMark/>
          </w:tcPr>
          <w:p w14:paraId="04F6FC77" w14:textId="41097B4D" w:rsidR="00BB0088" w:rsidRPr="0024020B" w:rsidRDefault="00BB0088" w:rsidP="0009351E">
            <w:pPr>
              <w:spacing w:before="40" w:after="40"/>
              <w:jc w:val="center"/>
              <w:rPr>
                <w:rFonts w:cs="Arial"/>
                <w:sz w:val="16"/>
                <w:szCs w:val="16"/>
              </w:rPr>
            </w:pPr>
            <w:r w:rsidRPr="007743D5">
              <w:rPr>
                <w:rFonts w:eastAsia="Times New Roman" w:cs="Arial"/>
                <w:color w:val="000000"/>
                <w:sz w:val="16"/>
                <w:szCs w:val="16"/>
                <w:lang w:eastAsia="en-AU"/>
              </w:rPr>
              <w:t>40.63</w:t>
            </w:r>
          </w:p>
        </w:tc>
        <w:tc>
          <w:tcPr>
            <w:tcW w:w="3868" w:type="dxa"/>
            <w:tcBorders>
              <w:top w:val="single" w:sz="8" w:space="0" w:color="D9D9D9"/>
              <w:left w:val="nil"/>
              <w:bottom w:val="single" w:sz="8" w:space="0" w:color="D9D9D9"/>
              <w:right w:val="single" w:sz="8" w:space="0" w:color="FFFFFF"/>
            </w:tcBorders>
            <w:shd w:val="clear" w:color="auto" w:fill="F2F2F2"/>
            <w:vAlign w:val="center"/>
            <w:hideMark/>
          </w:tcPr>
          <w:p w14:paraId="12400B91" w14:textId="647C63F1" w:rsidR="00BB0088" w:rsidRPr="0024020B" w:rsidRDefault="00BB0088" w:rsidP="0009351E">
            <w:pPr>
              <w:spacing w:before="40" w:after="40"/>
              <w:rPr>
                <w:rFonts w:cs="Arial"/>
                <w:sz w:val="16"/>
                <w:szCs w:val="16"/>
              </w:rPr>
            </w:pPr>
            <w:r w:rsidRPr="007743D5">
              <w:rPr>
                <w:rFonts w:eastAsia="Times New Roman" w:cs="Arial"/>
                <w:color w:val="000000"/>
                <w:sz w:val="16"/>
                <w:szCs w:val="16"/>
                <w:lang w:eastAsia="en-AU"/>
              </w:rPr>
              <w:t>COVID-19 response</w:t>
            </w:r>
          </w:p>
        </w:tc>
        <w:tc>
          <w:tcPr>
            <w:tcW w:w="1418" w:type="dxa"/>
            <w:tcBorders>
              <w:top w:val="single" w:sz="8" w:space="0" w:color="D9D9D9"/>
              <w:left w:val="nil"/>
              <w:bottom w:val="single" w:sz="8" w:space="0" w:color="D9D9D9"/>
              <w:right w:val="single" w:sz="8" w:space="0" w:color="FFFFFF"/>
            </w:tcBorders>
            <w:shd w:val="clear" w:color="auto" w:fill="F2F2F2"/>
            <w:vAlign w:val="center"/>
            <w:hideMark/>
          </w:tcPr>
          <w:p w14:paraId="3E088534" w14:textId="5D1E8CA6"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161,978</w:t>
            </w:r>
          </w:p>
        </w:tc>
        <w:tc>
          <w:tcPr>
            <w:tcW w:w="1285" w:type="dxa"/>
            <w:tcBorders>
              <w:top w:val="single" w:sz="8" w:space="0" w:color="D9D9D9"/>
              <w:left w:val="nil"/>
              <w:bottom w:val="single" w:sz="8" w:space="0" w:color="D9D9D9"/>
              <w:right w:val="single" w:sz="8" w:space="0" w:color="FFFFFF"/>
            </w:tcBorders>
            <w:shd w:val="clear" w:color="auto" w:fill="F2F2F2"/>
            <w:vAlign w:val="center"/>
            <w:hideMark/>
          </w:tcPr>
          <w:p w14:paraId="67EAF953" w14:textId="2FCC1A57"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1,120,122</w:t>
            </w:r>
          </w:p>
        </w:tc>
        <w:tc>
          <w:tcPr>
            <w:tcW w:w="1266" w:type="dxa"/>
            <w:tcBorders>
              <w:top w:val="single" w:sz="8" w:space="0" w:color="D9D9D9"/>
              <w:left w:val="nil"/>
              <w:bottom w:val="single" w:sz="4" w:space="0" w:color="D9D9D9" w:themeColor="background2" w:themeShade="D9"/>
              <w:right w:val="single" w:sz="8" w:space="0" w:color="FFFFFF"/>
            </w:tcBorders>
            <w:shd w:val="clear" w:color="auto" w:fill="F2F2F2"/>
            <w:vAlign w:val="center"/>
            <w:hideMark/>
          </w:tcPr>
          <w:p w14:paraId="3C6BD266" w14:textId="3746D901" w:rsidR="00BB0088" w:rsidRPr="0024020B" w:rsidRDefault="00BB0088" w:rsidP="00BB0088">
            <w:pPr>
              <w:spacing w:before="40" w:after="40"/>
              <w:jc w:val="right"/>
              <w:rPr>
                <w:rFonts w:cs="Arial"/>
                <w:sz w:val="16"/>
                <w:szCs w:val="16"/>
              </w:rPr>
            </w:pPr>
            <w:r>
              <w:rPr>
                <w:rFonts w:eastAsia="Times New Roman" w:cs="Arial"/>
                <w:color w:val="000000"/>
                <w:sz w:val="16"/>
                <w:szCs w:val="16"/>
                <w:lang w:eastAsia="en-AU"/>
              </w:rPr>
              <w:t>-</w:t>
            </w:r>
            <w:r w:rsidRPr="007743D5">
              <w:rPr>
                <w:rFonts w:eastAsia="Times New Roman" w:cs="Arial"/>
                <w:color w:val="000000"/>
                <w:sz w:val="16"/>
                <w:szCs w:val="16"/>
                <w:lang w:eastAsia="en-AU"/>
              </w:rPr>
              <w:t>958,144</w:t>
            </w:r>
          </w:p>
        </w:tc>
      </w:tr>
      <w:tr w:rsidR="00BB0088" w:rsidRPr="0024020B" w14:paraId="44ADD8C7" w14:textId="77777777" w:rsidTr="00AF2065">
        <w:trPr>
          <w:trHeight w:val="290"/>
          <w:jc w:val="center"/>
        </w:trPr>
        <w:tc>
          <w:tcPr>
            <w:tcW w:w="1235" w:type="dxa"/>
            <w:tcBorders>
              <w:top w:val="single" w:sz="4" w:space="0" w:color="D9D9D9" w:themeColor="background2" w:themeShade="D9"/>
              <w:left w:val="nil"/>
              <w:bottom w:val="single" w:sz="4" w:space="0" w:color="D9D9D9" w:themeColor="background2" w:themeShade="D9"/>
              <w:right w:val="single" w:sz="8" w:space="0" w:color="FFFFFF"/>
            </w:tcBorders>
            <w:vAlign w:val="center"/>
          </w:tcPr>
          <w:p w14:paraId="2DE043A1" w14:textId="3B02D21F" w:rsidR="00BB0088" w:rsidRPr="00A63C8A" w:rsidRDefault="00BB0088" w:rsidP="0009351E">
            <w:pPr>
              <w:spacing w:before="40" w:after="40"/>
              <w:jc w:val="center"/>
              <w:rPr>
                <w:rFonts w:cs="Arial"/>
                <w:sz w:val="16"/>
                <w:szCs w:val="16"/>
              </w:rPr>
            </w:pPr>
            <w:r w:rsidRPr="007743D5">
              <w:rPr>
                <w:rFonts w:eastAsia="Times New Roman" w:cs="Arial"/>
                <w:color w:val="000000"/>
                <w:sz w:val="16"/>
                <w:szCs w:val="16"/>
                <w:lang w:eastAsia="en-AU"/>
              </w:rPr>
              <w:t>10.21</w:t>
            </w:r>
          </w:p>
        </w:tc>
        <w:tc>
          <w:tcPr>
            <w:tcW w:w="3868" w:type="dxa"/>
            <w:tcBorders>
              <w:top w:val="single" w:sz="8" w:space="0" w:color="D9D9D9"/>
              <w:left w:val="nil"/>
              <w:bottom w:val="single" w:sz="8" w:space="0" w:color="D9D9D9"/>
              <w:right w:val="single" w:sz="8" w:space="0" w:color="FFFFFF"/>
            </w:tcBorders>
            <w:shd w:val="clear" w:color="auto" w:fill="F2F2F2"/>
            <w:vAlign w:val="center"/>
          </w:tcPr>
          <w:p w14:paraId="0F8F402C" w14:textId="7643B2B2" w:rsidR="00BB0088" w:rsidRPr="00A63C8A" w:rsidRDefault="00BB0088" w:rsidP="0009351E">
            <w:pPr>
              <w:spacing w:before="40" w:after="40"/>
              <w:rPr>
                <w:rFonts w:cs="Arial"/>
                <w:sz w:val="16"/>
                <w:szCs w:val="16"/>
              </w:rPr>
            </w:pPr>
            <w:r w:rsidRPr="007743D5">
              <w:rPr>
                <w:rFonts w:eastAsia="Times New Roman" w:cs="Arial"/>
                <w:color w:val="000000"/>
                <w:sz w:val="16"/>
                <w:szCs w:val="16"/>
                <w:lang w:eastAsia="en-AU"/>
              </w:rPr>
              <w:t>COVID-19 Vaccination</w:t>
            </w:r>
          </w:p>
        </w:tc>
        <w:tc>
          <w:tcPr>
            <w:tcW w:w="1418" w:type="dxa"/>
            <w:tcBorders>
              <w:top w:val="single" w:sz="8" w:space="0" w:color="D9D9D9"/>
              <w:left w:val="nil"/>
              <w:bottom w:val="single" w:sz="8" w:space="0" w:color="D9D9D9"/>
              <w:right w:val="single" w:sz="8" w:space="0" w:color="FFFFFF"/>
            </w:tcBorders>
            <w:shd w:val="clear" w:color="auto" w:fill="F2F2F2"/>
            <w:vAlign w:val="center"/>
          </w:tcPr>
          <w:p w14:paraId="059D92CF" w14:textId="1E2B42CA" w:rsidR="00BB0088" w:rsidRPr="00A63C8A" w:rsidRDefault="00BB0088" w:rsidP="00BB0088">
            <w:pPr>
              <w:spacing w:before="40" w:after="40"/>
              <w:jc w:val="right"/>
              <w:rPr>
                <w:rFonts w:cs="Arial"/>
                <w:sz w:val="16"/>
                <w:szCs w:val="16"/>
              </w:rPr>
            </w:pPr>
            <w:r w:rsidRPr="007743D5">
              <w:rPr>
                <w:rFonts w:eastAsia="Times New Roman" w:cs="Arial"/>
                <w:color w:val="000000"/>
                <w:sz w:val="16"/>
                <w:szCs w:val="16"/>
                <w:lang w:eastAsia="en-AU"/>
              </w:rPr>
              <w:t>60,806</w:t>
            </w:r>
          </w:p>
        </w:tc>
        <w:tc>
          <w:tcPr>
            <w:tcW w:w="1285" w:type="dxa"/>
            <w:tcBorders>
              <w:top w:val="single" w:sz="8" w:space="0" w:color="D9D9D9"/>
              <w:left w:val="nil"/>
              <w:bottom w:val="single" w:sz="8" w:space="0" w:color="D9D9D9"/>
              <w:right w:val="single" w:sz="8" w:space="0" w:color="FFFFFF"/>
            </w:tcBorders>
            <w:shd w:val="clear" w:color="auto" w:fill="F2F2F2"/>
            <w:vAlign w:val="center"/>
          </w:tcPr>
          <w:p w14:paraId="0915B2DE" w14:textId="7CADF70D" w:rsidR="00BB0088" w:rsidRPr="00A63C8A" w:rsidRDefault="00BB0088" w:rsidP="00BB0088">
            <w:pPr>
              <w:spacing w:before="40" w:after="40"/>
              <w:jc w:val="right"/>
              <w:rPr>
                <w:rFonts w:cs="Arial"/>
                <w:sz w:val="16"/>
                <w:szCs w:val="16"/>
              </w:rPr>
            </w:pPr>
            <w:r w:rsidRPr="007743D5">
              <w:rPr>
                <w:rFonts w:eastAsia="Times New Roman" w:cs="Arial"/>
                <w:color w:val="000000"/>
                <w:sz w:val="16"/>
                <w:szCs w:val="16"/>
                <w:lang w:eastAsia="en-AU"/>
              </w:rPr>
              <w:t>4,572,906</w:t>
            </w:r>
          </w:p>
        </w:tc>
        <w:tc>
          <w:tcPr>
            <w:tcW w:w="1266" w:type="dxa"/>
            <w:tcBorders>
              <w:top w:val="single" w:sz="4" w:space="0" w:color="D9D9D9" w:themeColor="background2" w:themeShade="D9"/>
              <w:left w:val="nil"/>
              <w:bottom w:val="single" w:sz="4" w:space="0" w:color="D9D9D9" w:themeColor="background2" w:themeShade="D9"/>
              <w:right w:val="single" w:sz="8" w:space="0" w:color="FFFFFF"/>
            </w:tcBorders>
            <w:shd w:val="clear" w:color="auto" w:fill="F2F2F2"/>
            <w:vAlign w:val="center"/>
          </w:tcPr>
          <w:p w14:paraId="207BB3CF" w14:textId="2CD276E0" w:rsidR="00BB0088" w:rsidRPr="00A63C8A" w:rsidRDefault="00BB0088" w:rsidP="00BB0088">
            <w:pPr>
              <w:spacing w:before="40" w:after="40"/>
              <w:jc w:val="right"/>
              <w:rPr>
                <w:rFonts w:cs="Arial"/>
                <w:sz w:val="16"/>
                <w:szCs w:val="16"/>
              </w:rPr>
            </w:pPr>
            <w:r>
              <w:rPr>
                <w:rFonts w:eastAsia="Times New Roman" w:cs="Arial"/>
                <w:color w:val="000000"/>
                <w:sz w:val="16"/>
                <w:szCs w:val="16"/>
                <w:lang w:eastAsia="en-AU"/>
              </w:rPr>
              <w:t>-</w:t>
            </w:r>
            <w:r w:rsidRPr="007743D5">
              <w:rPr>
                <w:rFonts w:eastAsia="Times New Roman" w:cs="Arial"/>
                <w:color w:val="000000"/>
                <w:sz w:val="16"/>
                <w:szCs w:val="16"/>
                <w:lang w:eastAsia="en-AU"/>
              </w:rPr>
              <w:t>4,512,100</w:t>
            </w:r>
          </w:p>
        </w:tc>
      </w:tr>
    </w:tbl>
    <w:p w14:paraId="24E42D68" w14:textId="3D23DF16" w:rsidR="00917F17" w:rsidRPr="0009351E" w:rsidRDefault="00E54684" w:rsidP="0009351E">
      <w:pPr>
        <w:spacing w:before="240"/>
      </w:pPr>
      <w:r>
        <w:fldChar w:fldCharType="begin"/>
      </w:r>
      <w:r>
        <w:instrText xml:space="preserve"> REF _Ref185844841 \h </w:instrText>
      </w:r>
      <w:r>
        <w:fldChar w:fldCharType="separate"/>
      </w:r>
      <w:r w:rsidRPr="0093558C">
        <w:rPr>
          <w:lang w:val="en-PH"/>
        </w:rPr>
        <w:t xml:space="preserve">Table </w:t>
      </w:r>
      <w:r>
        <w:rPr>
          <w:noProof/>
          <w:lang w:val="en-PH"/>
        </w:rPr>
        <w:t>22</w:t>
      </w:r>
      <w:r>
        <w:fldChar w:fldCharType="end"/>
      </w:r>
      <w:r w:rsidR="00917F17">
        <w:t xml:space="preserve"> shows the Tier 2 end classes that contributed the most to the increase in total cost, from 2021-22 to 2022-23. In 2022-23, the total cost for Endoscopy – Gastrointestinal (10.06) was $346</w:t>
      </w:r>
      <w:r w:rsidR="00260A29">
        <w:t>.2</w:t>
      </w:r>
      <w:r w:rsidR="001C0285">
        <w:t> </w:t>
      </w:r>
      <w:r w:rsidR="00917F17">
        <w:t>million, increasing by $124</w:t>
      </w:r>
      <w:r w:rsidR="00260A29">
        <w:t>.0</w:t>
      </w:r>
      <w:r w:rsidR="00917F17">
        <w:t xml:space="preserve"> million cost, from 2021-22.</w:t>
      </w:r>
    </w:p>
    <w:p w14:paraId="07D8B609" w14:textId="48370962" w:rsidR="00BB0088" w:rsidRDefault="00BB0088" w:rsidP="00303546">
      <w:pPr>
        <w:pStyle w:val="TableFigureheading"/>
        <w:rPr>
          <w:lang w:val="en-PH"/>
        </w:rPr>
      </w:pPr>
      <w:bookmarkStart w:id="334" w:name="_Ref185844841"/>
      <w:bookmarkStart w:id="335" w:name="_Toc185852229"/>
      <w:bookmarkStart w:id="336" w:name="_Toc187312148"/>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E54684">
        <w:rPr>
          <w:noProof/>
          <w:lang w:val="en-PH"/>
        </w:rPr>
        <w:t>22</w:t>
      </w:r>
      <w:r w:rsidRPr="0093558C">
        <w:rPr>
          <w:lang w:val="en-PH"/>
        </w:rPr>
        <w:fldChar w:fldCharType="end"/>
      </w:r>
      <w:bookmarkEnd w:id="334"/>
      <w:r w:rsidRPr="0093558C">
        <w:rPr>
          <w:lang w:val="en-PH"/>
        </w:rPr>
        <w:t xml:space="preserve">: </w:t>
      </w:r>
      <w:r w:rsidR="00826042">
        <w:rPr>
          <w:lang w:val="en-PH"/>
        </w:rPr>
        <w:t xml:space="preserve">Top 5 </w:t>
      </w:r>
      <w:r w:rsidR="00260452">
        <w:rPr>
          <w:lang w:val="en-PH"/>
        </w:rPr>
        <w:t xml:space="preserve">Tier 2 </w:t>
      </w:r>
      <w:r w:rsidR="00826042">
        <w:rPr>
          <w:lang w:val="en-PH"/>
        </w:rPr>
        <w:t xml:space="preserve">end-classes with greatest change in </w:t>
      </w:r>
      <w:r w:rsidR="00B25D33">
        <w:rPr>
          <w:lang w:val="en-PH"/>
        </w:rPr>
        <w:t xml:space="preserve">total </w:t>
      </w:r>
      <w:r w:rsidR="00260452">
        <w:rPr>
          <w:lang w:val="en-PH"/>
        </w:rPr>
        <w:t>cost, 2021-22 to 2022-23</w:t>
      </w:r>
      <w:bookmarkEnd w:id="335"/>
      <w:bookmarkEnd w:id="336"/>
    </w:p>
    <w:tbl>
      <w:tblPr>
        <w:tblW w:w="9072" w:type="dxa"/>
        <w:jc w:val="center"/>
        <w:tblLook w:val="04A0" w:firstRow="1" w:lastRow="0" w:firstColumn="1" w:lastColumn="0" w:noHBand="0" w:noVBand="1"/>
      </w:tblPr>
      <w:tblGrid>
        <w:gridCol w:w="1235"/>
        <w:gridCol w:w="3868"/>
        <w:gridCol w:w="1418"/>
        <w:gridCol w:w="1285"/>
        <w:gridCol w:w="1266"/>
      </w:tblGrid>
      <w:tr w:rsidR="00BB0088" w:rsidRPr="0024020B" w14:paraId="72C308CE" w14:textId="77777777" w:rsidTr="00BB0088">
        <w:trPr>
          <w:trHeight w:val="290"/>
          <w:jc w:val="center"/>
        </w:trPr>
        <w:tc>
          <w:tcPr>
            <w:tcW w:w="0" w:type="auto"/>
            <w:tcBorders>
              <w:top w:val="nil"/>
              <w:left w:val="nil"/>
              <w:bottom w:val="single" w:sz="8" w:space="0" w:color="D9D9D9"/>
              <w:right w:val="single" w:sz="8" w:space="0" w:color="FFFFFF"/>
            </w:tcBorders>
            <w:shd w:val="clear" w:color="auto" w:fill="15272F"/>
            <w:vAlign w:val="center"/>
            <w:hideMark/>
          </w:tcPr>
          <w:p w14:paraId="1FCC2DF8" w14:textId="77777777" w:rsidR="00BB0088" w:rsidRPr="0024020B" w:rsidRDefault="00BB0088" w:rsidP="00E04435">
            <w:pPr>
              <w:spacing w:before="40" w:after="40"/>
              <w:jc w:val="center"/>
              <w:rPr>
                <w:rFonts w:cs="Arial"/>
                <w:b/>
                <w:bCs/>
                <w:color w:val="FFFFFF" w:themeColor="background2"/>
                <w:sz w:val="16"/>
                <w:szCs w:val="16"/>
              </w:rPr>
            </w:pPr>
            <w:r>
              <w:rPr>
                <w:rFonts w:cs="Arial"/>
                <w:b/>
                <w:bCs/>
                <w:color w:val="FFFFFF" w:themeColor="background2"/>
                <w:sz w:val="16"/>
                <w:szCs w:val="16"/>
              </w:rPr>
              <w:t>Tier 2 Code</w:t>
            </w:r>
          </w:p>
        </w:tc>
        <w:tc>
          <w:tcPr>
            <w:tcW w:w="3868" w:type="dxa"/>
            <w:tcBorders>
              <w:top w:val="nil"/>
              <w:left w:val="nil"/>
              <w:bottom w:val="single" w:sz="8" w:space="0" w:color="D9D9D9"/>
              <w:right w:val="single" w:sz="8" w:space="0" w:color="FFFFFF"/>
            </w:tcBorders>
            <w:shd w:val="clear" w:color="auto" w:fill="15272F"/>
            <w:vAlign w:val="center"/>
            <w:hideMark/>
          </w:tcPr>
          <w:p w14:paraId="770C4D7F" w14:textId="77777777" w:rsidR="00BB0088" w:rsidRPr="0024020B" w:rsidRDefault="00BB0088" w:rsidP="00E04435">
            <w:pPr>
              <w:spacing w:before="40" w:after="40"/>
              <w:jc w:val="center"/>
              <w:rPr>
                <w:rFonts w:cs="Arial"/>
                <w:b/>
                <w:bCs/>
                <w:color w:val="FFFFFF" w:themeColor="background2"/>
                <w:sz w:val="16"/>
                <w:szCs w:val="16"/>
              </w:rPr>
            </w:pPr>
            <w:r>
              <w:rPr>
                <w:rFonts w:eastAsia="Times New Roman" w:cs="Arial"/>
                <w:b/>
                <w:bCs/>
                <w:color w:val="FFFFFF" w:themeColor="background2"/>
                <w:sz w:val="16"/>
                <w:szCs w:val="16"/>
                <w:lang w:eastAsia="en-AU"/>
              </w:rPr>
              <w:t>Description</w:t>
            </w:r>
          </w:p>
        </w:tc>
        <w:tc>
          <w:tcPr>
            <w:tcW w:w="1418" w:type="dxa"/>
            <w:tcBorders>
              <w:top w:val="nil"/>
              <w:left w:val="nil"/>
              <w:bottom w:val="single" w:sz="8" w:space="0" w:color="D9D9D9"/>
              <w:right w:val="single" w:sz="8" w:space="0" w:color="FFFFFF"/>
            </w:tcBorders>
            <w:shd w:val="clear" w:color="auto" w:fill="15272F"/>
            <w:vAlign w:val="center"/>
            <w:hideMark/>
          </w:tcPr>
          <w:p w14:paraId="2E05E923" w14:textId="458DF8AE" w:rsidR="00BB0088" w:rsidRPr="0024020B" w:rsidRDefault="00BB0088" w:rsidP="00E04435">
            <w:pPr>
              <w:spacing w:before="40" w:after="40"/>
              <w:jc w:val="center"/>
              <w:rPr>
                <w:rFonts w:cs="Arial"/>
                <w:b/>
                <w:bCs/>
                <w:color w:val="FFFFFF" w:themeColor="background2"/>
                <w:sz w:val="16"/>
                <w:szCs w:val="16"/>
              </w:rPr>
            </w:pPr>
            <w:r w:rsidRPr="0024020B">
              <w:rPr>
                <w:rFonts w:eastAsia="Times New Roman" w:cs="Arial"/>
                <w:b/>
                <w:bCs/>
                <w:color w:val="FFFFFF" w:themeColor="background2"/>
                <w:sz w:val="16"/>
                <w:szCs w:val="16"/>
                <w:lang w:eastAsia="en-AU"/>
              </w:rPr>
              <w:t>2022-23</w:t>
            </w:r>
            <w:r>
              <w:rPr>
                <w:rFonts w:eastAsia="Times New Roman" w:cs="Arial"/>
                <w:b/>
                <w:bCs/>
                <w:color w:val="FFFFFF" w:themeColor="background2"/>
                <w:sz w:val="16"/>
                <w:szCs w:val="16"/>
                <w:lang w:eastAsia="en-AU"/>
              </w:rPr>
              <w:t xml:space="preserve"> ($)</w:t>
            </w:r>
          </w:p>
        </w:tc>
        <w:tc>
          <w:tcPr>
            <w:tcW w:w="1285" w:type="dxa"/>
            <w:tcBorders>
              <w:top w:val="nil"/>
              <w:left w:val="nil"/>
              <w:bottom w:val="single" w:sz="8" w:space="0" w:color="D9D9D9"/>
              <w:right w:val="single" w:sz="8" w:space="0" w:color="FFFFFF"/>
            </w:tcBorders>
            <w:shd w:val="clear" w:color="auto" w:fill="15272F"/>
            <w:vAlign w:val="center"/>
            <w:hideMark/>
          </w:tcPr>
          <w:p w14:paraId="33CDC20D" w14:textId="15E37EF2" w:rsidR="00BB0088" w:rsidRPr="0024020B" w:rsidRDefault="00BB0088" w:rsidP="00E04435">
            <w:pPr>
              <w:spacing w:before="40" w:after="40"/>
              <w:jc w:val="center"/>
              <w:rPr>
                <w:rFonts w:cs="Arial"/>
                <w:b/>
                <w:bCs/>
                <w:color w:val="FFFFFF" w:themeColor="background2"/>
                <w:sz w:val="16"/>
                <w:szCs w:val="16"/>
              </w:rPr>
            </w:pPr>
            <w:r w:rsidRPr="0024020B">
              <w:rPr>
                <w:rFonts w:eastAsia="Times New Roman" w:cs="Arial"/>
                <w:b/>
                <w:bCs/>
                <w:color w:val="FFFFFF" w:themeColor="background2"/>
                <w:sz w:val="16"/>
                <w:szCs w:val="16"/>
                <w:lang w:eastAsia="en-AU"/>
              </w:rPr>
              <w:t>2021-22</w:t>
            </w:r>
            <w:r>
              <w:rPr>
                <w:rFonts w:eastAsia="Times New Roman" w:cs="Arial"/>
                <w:b/>
                <w:bCs/>
                <w:color w:val="FFFFFF" w:themeColor="background2"/>
                <w:sz w:val="16"/>
                <w:szCs w:val="16"/>
                <w:lang w:eastAsia="en-AU"/>
              </w:rPr>
              <w:t xml:space="preserve"> ($)</w:t>
            </w:r>
          </w:p>
        </w:tc>
        <w:tc>
          <w:tcPr>
            <w:tcW w:w="1266" w:type="dxa"/>
            <w:tcBorders>
              <w:top w:val="nil"/>
              <w:left w:val="nil"/>
              <w:bottom w:val="single" w:sz="8" w:space="0" w:color="D9D9D9"/>
              <w:right w:val="single" w:sz="8" w:space="0" w:color="FFFFFF"/>
            </w:tcBorders>
            <w:shd w:val="clear" w:color="auto" w:fill="15272F"/>
            <w:vAlign w:val="center"/>
            <w:hideMark/>
          </w:tcPr>
          <w:p w14:paraId="779A3A7F" w14:textId="5FEAD594" w:rsidR="00BB0088" w:rsidRPr="0024020B" w:rsidRDefault="00BB0088" w:rsidP="00E04435">
            <w:pPr>
              <w:spacing w:before="40" w:after="40"/>
              <w:jc w:val="center"/>
              <w:rPr>
                <w:rFonts w:cs="Arial"/>
                <w:b/>
                <w:bCs/>
                <w:color w:val="FFFFFF" w:themeColor="background2"/>
                <w:sz w:val="16"/>
                <w:szCs w:val="16"/>
              </w:rPr>
            </w:pPr>
            <w:r w:rsidRPr="0024020B">
              <w:rPr>
                <w:rFonts w:eastAsia="Times New Roman" w:cs="Arial"/>
                <w:b/>
                <w:bCs/>
                <w:color w:val="FFFFFF" w:themeColor="background2"/>
                <w:sz w:val="16"/>
                <w:szCs w:val="16"/>
                <w:lang w:eastAsia="en-AU"/>
              </w:rPr>
              <w:t>Change</w:t>
            </w:r>
            <w:r>
              <w:rPr>
                <w:rFonts w:eastAsia="Times New Roman" w:cs="Arial"/>
                <w:b/>
                <w:bCs/>
                <w:color w:val="FFFFFF" w:themeColor="background2"/>
                <w:sz w:val="16"/>
                <w:szCs w:val="16"/>
                <w:lang w:eastAsia="en-AU"/>
              </w:rPr>
              <w:t xml:space="preserve"> ($)</w:t>
            </w:r>
          </w:p>
        </w:tc>
      </w:tr>
      <w:tr w:rsidR="00BB0088" w:rsidRPr="0024020B" w14:paraId="3789C0E0" w14:textId="77777777" w:rsidTr="0009351E">
        <w:trPr>
          <w:trHeight w:val="290"/>
          <w:jc w:val="center"/>
        </w:trPr>
        <w:tc>
          <w:tcPr>
            <w:tcW w:w="1235" w:type="dxa"/>
            <w:tcBorders>
              <w:top w:val="nil"/>
              <w:left w:val="nil"/>
              <w:bottom w:val="single" w:sz="8" w:space="0" w:color="D9D9D9"/>
              <w:right w:val="single" w:sz="8" w:space="0" w:color="FFFFFF"/>
            </w:tcBorders>
            <w:vAlign w:val="center"/>
            <w:hideMark/>
          </w:tcPr>
          <w:p w14:paraId="3F35AB9D" w14:textId="165C77BB" w:rsidR="00BB0088" w:rsidRPr="0024020B" w:rsidRDefault="00BB0088" w:rsidP="00BB0088">
            <w:pPr>
              <w:spacing w:before="40" w:after="40"/>
              <w:jc w:val="center"/>
              <w:rPr>
                <w:rFonts w:cs="Arial"/>
                <w:sz w:val="16"/>
                <w:szCs w:val="16"/>
              </w:rPr>
            </w:pPr>
            <w:r w:rsidRPr="007743D5">
              <w:rPr>
                <w:rFonts w:eastAsia="Times New Roman" w:cs="Arial"/>
                <w:color w:val="000000"/>
                <w:sz w:val="16"/>
                <w:szCs w:val="16"/>
                <w:lang w:eastAsia="en-AU"/>
              </w:rPr>
              <w:t>10.06</w:t>
            </w:r>
          </w:p>
        </w:tc>
        <w:tc>
          <w:tcPr>
            <w:tcW w:w="3868" w:type="dxa"/>
            <w:tcBorders>
              <w:top w:val="nil"/>
              <w:left w:val="nil"/>
              <w:bottom w:val="nil"/>
              <w:right w:val="single" w:sz="8" w:space="0" w:color="FFFFFF"/>
            </w:tcBorders>
            <w:shd w:val="clear" w:color="auto" w:fill="F2F2F2"/>
            <w:vAlign w:val="center"/>
            <w:hideMark/>
          </w:tcPr>
          <w:p w14:paraId="09058BB7" w14:textId="1F50D7A3" w:rsidR="00BB0088" w:rsidRPr="0024020B" w:rsidRDefault="00BB0088" w:rsidP="00BB0088">
            <w:pPr>
              <w:spacing w:before="40" w:after="40"/>
              <w:rPr>
                <w:rFonts w:cs="Arial"/>
                <w:b/>
                <w:sz w:val="16"/>
                <w:szCs w:val="16"/>
                <w:u w:val="single"/>
              </w:rPr>
            </w:pPr>
            <w:r w:rsidRPr="007743D5">
              <w:rPr>
                <w:rFonts w:eastAsia="Times New Roman" w:cs="Arial"/>
                <w:color w:val="000000"/>
                <w:sz w:val="16"/>
                <w:szCs w:val="16"/>
                <w:lang w:eastAsia="en-AU"/>
              </w:rPr>
              <w:t>Endoscopy - Gastrointestinal</w:t>
            </w:r>
          </w:p>
        </w:tc>
        <w:tc>
          <w:tcPr>
            <w:tcW w:w="1418" w:type="dxa"/>
            <w:tcBorders>
              <w:top w:val="nil"/>
              <w:left w:val="nil"/>
              <w:bottom w:val="nil"/>
              <w:right w:val="single" w:sz="8" w:space="0" w:color="FFFFFF"/>
            </w:tcBorders>
            <w:shd w:val="clear" w:color="auto" w:fill="F2F2F2"/>
            <w:vAlign w:val="center"/>
            <w:hideMark/>
          </w:tcPr>
          <w:p w14:paraId="34CDB19D" w14:textId="2D54D066" w:rsidR="00BB0088" w:rsidRPr="0024020B" w:rsidRDefault="00BB0088" w:rsidP="00BB0088">
            <w:pPr>
              <w:spacing w:before="40" w:after="40"/>
              <w:jc w:val="right"/>
              <w:rPr>
                <w:rFonts w:cs="Arial"/>
                <w:b/>
                <w:sz w:val="16"/>
                <w:szCs w:val="16"/>
                <w:u w:val="single"/>
              </w:rPr>
            </w:pPr>
            <w:r w:rsidRPr="007743D5">
              <w:rPr>
                <w:rFonts w:eastAsia="Times New Roman" w:cs="Arial"/>
                <w:color w:val="000000"/>
                <w:sz w:val="16"/>
                <w:szCs w:val="16"/>
                <w:lang w:eastAsia="en-AU"/>
              </w:rPr>
              <w:t>346,219,972</w:t>
            </w:r>
          </w:p>
        </w:tc>
        <w:tc>
          <w:tcPr>
            <w:tcW w:w="1285" w:type="dxa"/>
            <w:tcBorders>
              <w:top w:val="nil"/>
              <w:left w:val="nil"/>
              <w:bottom w:val="nil"/>
              <w:right w:val="single" w:sz="8" w:space="0" w:color="FFFFFF"/>
            </w:tcBorders>
            <w:shd w:val="clear" w:color="auto" w:fill="F2F2F2"/>
            <w:vAlign w:val="center"/>
            <w:hideMark/>
          </w:tcPr>
          <w:p w14:paraId="5223AE79" w14:textId="04A0E3A1" w:rsidR="00BB0088" w:rsidRPr="0024020B" w:rsidRDefault="00BB0088" w:rsidP="00BB0088">
            <w:pPr>
              <w:spacing w:before="40" w:after="40"/>
              <w:jc w:val="right"/>
              <w:rPr>
                <w:rFonts w:cs="Arial"/>
                <w:b/>
                <w:sz w:val="16"/>
                <w:szCs w:val="16"/>
                <w:u w:val="single"/>
              </w:rPr>
            </w:pPr>
            <w:r w:rsidRPr="007743D5">
              <w:rPr>
                <w:rFonts w:eastAsia="Times New Roman" w:cs="Arial"/>
                <w:color w:val="000000"/>
                <w:sz w:val="16"/>
                <w:szCs w:val="16"/>
                <w:lang w:eastAsia="en-AU"/>
              </w:rPr>
              <w:t>222,238,531</w:t>
            </w:r>
          </w:p>
        </w:tc>
        <w:tc>
          <w:tcPr>
            <w:tcW w:w="1266" w:type="dxa"/>
            <w:tcBorders>
              <w:top w:val="nil"/>
              <w:left w:val="nil"/>
              <w:bottom w:val="single" w:sz="8" w:space="0" w:color="D9D9D9"/>
              <w:right w:val="single" w:sz="8" w:space="0" w:color="FFFFFF"/>
            </w:tcBorders>
            <w:shd w:val="clear" w:color="auto" w:fill="F2F2F2"/>
            <w:vAlign w:val="center"/>
            <w:hideMark/>
          </w:tcPr>
          <w:p w14:paraId="3DE93B03" w14:textId="6D276DB6"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123,981,441</w:t>
            </w:r>
          </w:p>
        </w:tc>
      </w:tr>
      <w:tr w:rsidR="00BB0088" w:rsidRPr="0024020B" w14:paraId="63870055" w14:textId="77777777" w:rsidTr="0009351E">
        <w:trPr>
          <w:trHeight w:val="290"/>
          <w:jc w:val="center"/>
        </w:trPr>
        <w:tc>
          <w:tcPr>
            <w:tcW w:w="1235" w:type="dxa"/>
            <w:tcBorders>
              <w:top w:val="nil"/>
              <w:left w:val="nil"/>
              <w:bottom w:val="single" w:sz="8" w:space="0" w:color="D9D9D9"/>
              <w:right w:val="single" w:sz="8" w:space="0" w:color="FFFFFF"/>
            </w:tcBorders>
            <w:vAlign w:val="center"/>
            <w:hideMark/>
          </w:tcPr>
          <w:p w14:paraId="3AB92299" w14:textId="10C67594" w:rsidR="00BB0088" w:rsidRPr="0024020B" w:rsidRDefault="00BB0088" w:rsidP="00BB0088">
            <w:pPr>
              <w:spacing w:before="40" w:after="40"/>
              <w:jc w:val="center"/>
              <w:rPr>
                <w:rFonts w:cs="Arial"/>
                <w:sz w:val="16"/>
                <w:szCs w:val="16"/>
              </w:rPr>
            </w:pPr>
            <w:r w:rsidRPr="007743D5">
              <w:rPr>
                <w:rFonts w:eastAsia="Times New Roman" w:cs="Arial"/>
                <w:color w:val="000000"/>
                <w:sz w:val="16"/>
                <w:szCs w:val="16"/>
                <w:lang w:eastAsia="en-AU"/>
              </w:rPr>
              <w:t>20.20</w:t>
            </w:r>
          </w:p>
        </w:tc>
        <w:tc>
          <w:tcPr>
            <w:tcW w:w="3868" w:type="dxa"/>
            <w:tcBorders>
              <w:top w:val="single" w:sz="8" w:space="0" w:color="D9D9D9"/>
              <w:left w:val="nil"/>
              <w:bottom w:val="single" w:sz="8" w:space="0" w:color="D9D9D9"/>
              <w:right w:val="single" w:sz="8" w:space="0" w:color="FFFFFF"/>
            </w:tcBorders>
            <w:shd w:val="clear" w:color="auto" w:fill="F2F2F2"/>
            <w:vAlign w:val="center"/>
            <w:hideMark/>
          </w:tcPr>
          <w:p w14:paraId="6B711D86" w14:textId="1F6355CF" w:rsidR="00BB0088" w:rsidRPr="0024020B" w:rsidRDefault="00BB0088" w:rsidP="00BB0088">
            <w:pPr>
              <w:spacing w:before="40" w:after="40"/>
              <w:rPr>
                <w:rFonts w:cs="Arial"/>
                <w:sz w:val="16"/>
                <w:szCs w:val="16"/>
              </w:rPr>
            </w:pPr>
            <w:r w:rsidRPr="007743D5">
              <w:rPr>
                <w:rFonts w:eastAsia="Times New Roman" w:cs="Arial"/>
                <w:color w:val="000000"/>
                <w:sz w:val="16"/>
                <w:szCs w:val="16"/>
                <w:lang w:eastAsia="en-AU"/>
              </w:rPr>
              <w:t>Respiratory - Cystic Fibrosis</w:t>
            </w:r>
          </w:p>
        </w:tc>
        <w:tc>
          <w:tcPr>
            <w:tcW w:w="1418" w:type="dxa"/>
            <w:tcBorders>
              <w:top w:val="single" w:sz="8" w:space="0" w:color="D9D9D9"/>
              <w:left w:val="nil"/>
              <w:bottom w:val="single" w:sz="8" w:space="0" w:color="D9D9D9"/>
              <w:right w:val="single" w:sz="8" w:space="0" w:color="FFFFFF"/>
            </w:tcBorders>
            <w:shd w:val="clear" w:color="auto" w:fill="F2F2F2"/>
            <w:vAlign w:val="center"/>
            <w:hideMark/>
          </w:tcPr>
          <w:p w14:paraId="6D8684A1" w14:textId="60EB876B"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266,968,699</w:t>
            </w:r>
          </w:p>
        </w:tc>
        <w:tc>
          <w:tcPr>
            <w:tcW w:w="1285" w:type="dxa"/>
            <w:tcBorders>
              <w:top w:val="single" w:sz="8" w:space="0" w:color="D9D9D9"/>
              <w:left w:val="nil"/>
              <w:bottom w:val="single" w:sz="8" w:space="0" w:color="D9D9D9"/>
              <w:right w:val="single" w:sz="8" w:space="0" w:color="FFFFFF"/>
            </w:tcBorders>
            <w:shd w:val="clear" w:color="auto" w:fill="F2F2F2"/>
            <w:vAlign w:val="center"/>
            <w:hideMark/>
          </w:tcPr>
          <w:p w14:paraId="5C9B0481" w14:textId="74D8391F"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145,850,030</w:t>
            </w:r>
          </w:p>
        </w:tc>
        <w:tc>
          <w:tcPr>
            <w:tcW w:w="1266" w:type="dxa"/>
            <w:tcBorders>
              <w:top w:val="nil"/>
              <w:left w:val="nil"/>
              <w:bottom w:val="single" w:sz="8" w:space="0" w:color="D9D9D9"/>
              <w:right w:val="single" w:sz="8" w:space="0" w:color="FFFFFF"/>
            </w:tcBorders>
            <w:shd w:val="clear" w:color="auto" w:fill="F2F2F2"/>
            <w:vAlign w:val="center"/>
            <w:hideMark/>
          </w:tcPr>
          <w:p w14:paraId="4208B7FB" w14:textId="540A8ECF"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121,118,669</w:t>
            </w:r>
          </w:p>
        </w:tc>
      </w:tr>
      <w:tr w:rsidR="00BB0088" w:rsidRPr="0024020B" w14:paraId="6244A826" w14:textId="77777777" w:rsidTr="00AF2065">
        <w:trPr>
          <w:trHeight w:val="290"/>
          <w:jc w:val="center"/>
        </w:trPr>
        <w:tc>
          <w:tcPr>
            <w:tcW w:w="1235" w:type="dxa"/>
            <w:tcBorders>
              <w:top w:val="nil"/>
              <w:left w:val="nil"/>
              <w:bottom w:val="single" w:sz="8" w:space="0" w:color="D9D9D9"/>
              <w:right w:val="single" w:sz="8" w:space="0" w:color="FFFFFF"/>
            </w:tcBorders>
            <w:vAlign w:val="center"/>
            <w:hideMark/>
          </w:tcPr>
          <w:p w14:paraId="4D24A926" w14:textId="383D3B07" w:rsidR="00BB0088" w:rsidRPr="0024020B" w:rsidRDefault="00BB0088" w:rsidP="00BB0088">
            <w:pPr>
              <w:spacing w:before="40" w:after="40"/>
              <w:jc w:val="center"/>
              <w:rPr>
                <w:rFonts w:cs="Arial"/>
                <w:sz w:val="16"/>
                <w:szCs w:val="16"/>
              </w:rPr>
            </w:pPr>
            <w:r w:rsidRPr="007743D5">
              <w:rPr>
                <w:rFonts w:eastAsia="Times New Roman" w:cs="Arial"/>
                <w:color w:val="000000"/>
                <w:sz w:val="16"/>
                <w:szCs w:val="16"/>
                <w:lang w:eastAsia="en-AU"/>
              </w:rPr>
              <w:t>40.28</w:t>
            </w:r>
          </w:p>
        </w:tc>
        <w:tc>
          <w:tcPr>
            <w:tcW w:w="3868" w:type="dxa"/>
            <w:tcBorders>
              <w:top w:val="nil"/>
              <w:left w:val="nil"/>
              <w:bottom w:val="nil"/>
              <w:right w:val="single" w:sz="8" w:space="0" w:color="FFFFFF"/>
            </w:tcBorders>
            <w:shd w:val="clear" w:color="auto" w:fill="F2F2F2"/>
            <w:vAlign w:val="center"/>
            <w:hideMark/>
          </w:tcPr>
          <w:p w14:paraId="127A02B4" w14:textId="07475049" w:rsidR="00BB0088" w:rsidRPr="0024020B" w:rsidRDefault="00BB0088" w:rsidP="00BB0088">
            <w:pPr>
              <w:spacing w:before="40" w:after="40"/>
              <w:rPr>
                <w:rFonts w:cs="Arial"/>
                <w:b/>
                <w:sz w:val="16"/>
                <w:szCs w:val="16"/>
                <w:u w:val="single"/>
              </w:rPr>
            </w:pPr>
            <w:r w:rsidRPr="007743D5">
              <w:rPr>
                <w:rFonts w:eastAsia="Times New Roman" w:cs="Arial"/>
                <w:color w:val="000000"/>
                <w:sz w:val="16"/>
                <w:szCs w:val="16"/>
                <w:lang w:eastAsia="en-AU"/>
              </w:rPr>
              <w:t>Midwifery and Maternity</w:t>
            </w:r>
          </w:p>
        </w:tc>
        <w:tc>
          <w:tcPr>
            <w:tcW w:w="1418" w:type="dxa"/>
            <w:tcBorders>
              <w:top w:val="nil"/>
              <w:left w:val="nil"/>
              <w:bottom w:val="nil"/>
              <w:right w:val="single" w:sz="8" w:space="0" w:color="FFFFFF"/>
            </w:tcBorders>
            <w:shd w:val="clear" w:color="auto" w:fill="F2F2F2"/>
            <w:vAlign w:val="center"/>
            <w:hideMark/>
          </w:tcPr>
          <w:p w14:paraId="6DC67C71" w14:textId="01CCB207"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532,028,860</w:t>
            </w:r>
          </w:p>
        </w:tc>
        <w:tc>
          <w:tcPr>
            <w:tcW w:w="1285" w:type="dxa"/>
            <w:tcBorders>
              <w:top w:val="nil"/>
              <w:left w:val="nil"/>
              <w:bottom w:val="nil"/>
              <w:right w:val="single" w:sz="8" w:space="0" w:color="FFFFFF"/>
            </w:tcBorders>
            <w:shd w:val="clear" w:color="auto" w:fill="F2F2F2"/>
            <w:vAlign w:val="center"/>
            <w:hideMark/>
          </w:tcPr>
          <w:p w14:paraId="72A0FF12" w14:textId="52156353" w:rsidR="00BB0088" w:rsidRPr="0024020B" w:rsidRDefault="00BB0088" w:rsidP="00BB0088">
            <w:pPr>
              <w:spacing w:before="40" w:after="40"/>
              <w:jc w:val="right"/>
              <w:rPr>
                <w:rFonts w:cs="Arial"/>
                <w:b/>
                <w:sz w:val="16"/>
                <w:szCs w:val="16"/>
                <w:u w:val="single"/>
              </w:rPr>
            </w:pPr>
            <w:r w:rsidRPr="007743D5">
              <w:rPr>
                <w:rFonts w:eastAsia="Times New Roman" w:cs="Arial"/>
                <w:color w:val="000000"/>
                <w:sz w:val="16"/>
                <w:szCs w:val="16"/>
                <w:lang w:eastAsia="en-AU"/>
              </w:rPr>
              <w:t>479,484,754</w:t>
            </w:r>
          </w:p>
        </w:tc>
        <w:tc>
          <w:tcPr>
            <w:tcW w:w="1266" w:type="dxa"/>
            <w:tcBorders>
              <w:top w:val="nil"/>
              <w:left w:val="nil"/>
              <w:bottom w:val="single" w:sz="8" w:space="0" w:color="D9D9D9"/>
              <w:right w:val="single" w:sz="8" w:space="0" w:color="FFFFFF"/>
            </w:tcBorders>
            <w:shd w:val="clear" w:color="auto" w:fill="F2F2F2"/>
            <w:vAlign w:val="center"/>
            <w:hideMark/>
          </w:tcPr>
          <w:p w14:paraId="256657D7" w14:textId="2E230557"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52,544,107</w:t>
            </w:r>
          </w:p>
        </w:tc>
      </w:tr>
      <w:tr w:rsidR="00BB0088" w:rsidRPr="0024020B" w14:paraId="00E2D233" w14:textId="77777777" w:rsidTr="00AF2065">
        <w:trPr>
          <w:trHeight w:val="290"/>
          <w:jc w:val="center"/>
        </w:trPr>
        <w:tc>
          <w:tcPr>
            <w:tcW w:w="1235" w:type="dxa"/>
            <w:tcBorders>
              <w:top w:val="single" w:sz="8" w:space="0" w:color="D9D9D9"/>
              <w:left w:val="nil"/>
              <w:bottom w:val="single" w:sz="4" w:space="0" w:color="D9D9D9" w:themeColor="background2" w:themeShade="D9"/>
              <w:right w:val="single" w:sz="8" w:space="0" w:color="FFFFFF"/>
            </w:tcBorders>
            <w:vAlign w:val="center"/>
            <w:hideMark/>
          </w:tcPr>
          <w:p w14:paraId="7EF399DC" w14:textId="17848C53" w:rsidR="00BB0088" w:rsidRPr="0024020B" w:rsidRDefault="00BB0088" w:rsidP="00BB0088">
            <w:pPr>
              <w:spacing w:before="40" w:after="40"/>
              <w:jc w:val="center"/>
              <w:rPr>
                <w:rFonts w:cs="Arial"/>
                <w:sz w:val="16"/>
                <w:szCs w:val="16"/>
              </w:rPr>
            </w:pPr>
            <w:r w:rsidRPr="007743D5">
              <w:rPr>
                <w:rFonts w:eastAsia="Times New Roman" w:cs="Arial"/>
                <w:color w:val="000000"/>
                <w:sz w:val="16"/>
                <w:szCs w:val="16"/>
                <w:lang w:eastAsia="en-AU"/>
              </w:rPr>
              <w:t>40.07</w:t>
            </w:r>
          </w:p>
        </w:tc>
        <w:tc>
          <w:tcPr>
            <w:tcW w:w="3868" w:type="dxa"/>
            <w:tcBorders>
              <w:top w:val="single" w:sz="8" w:space="0" w:color="D9D9D9"/>
              <w:left w:val="nil"/>
              <w:bottom w:val="single" w:sz="8" w:space="0" w:color="D9D9D9"/>
              <w:right w:val="single" w:sz="8" w:space="0" w:color="FFFFFF"/>
            </w:tcBorders>
            <w:shd w:val="clear" w:color="auto" w:fill="F2F2F2"/>
            <w:vAlign w:val="center"/>
            <w:hideMark/>
          </w:tcPr>
          <w:p w14:paraId="626287E1" w14:textId="78534DB6" w:rsidR="00BB0088" w:rsidRPr="0024020B" w:rsidRDefault="00BB0088" w:rsidP="00BB0088">
            <w:pPr>
              <w:spacing w:before="40" w:after="40"/>
              <w:rPr>
                <w:rFonts w:cs="Arial"/>
                <w:sz w:val="16"/>
                <w:szCs w:val="16"/>
              </w:rPr>
            </w:pPr>
            <w:r w:rsidRPr="007743D5">
              <w:rPr>
                <w:rFonts w:eastAsia="Times New Roman" w:cs="Arial"/>
                <w:color w:val="000000"/>
                <w:sz w:val="16"/>
                <w:szCs w:val="16"/>
                <w:lang w:eastAsia="en-AU"/>
              </w:rPr>
              <w:t>Pre-Admission and Pre-Anaesthesia</w:t>
            </w:r>
          </w:p>
        </w:tc>
        <w:tc>
          <w:tcPr>
            <w:tcW w:w="1418" w:type="dxa"/>
            <w:tcBorders>
              <w:top w:val="single" w:sz="8" w:space="0" w:color="D9D9D9"/>
              <w:left w:val="nil"/>
              <w:bottom w:val="single" w:sz="8" w:space="0" w:color="D9D9D9"/>
              <w:right w:val="single" w:sz="8" w:space="0" w:color="FFFFFF"/>
            </w:tcBorders>
            <w:shd w:val="clear" w:color="auto" w:fill="F2F2F2"/>
            <w:vAlign w:val="center"/>
            <w:hideMark/>
          </w:tcPr>
          <w:p w14:paraId="79039F6C" w14:textId="60A98FBD"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184,326,650</w:t>
            </w:r>
          </w:p>
        </w:tc>
        <w:tc>
          <w:tcPr>
            <w:tcW w:w="1285" w:type="dxa"/>
            <w:tcBorders>
              <w:top w:val="single" w:sz="8" w:space="0" w:color="D9D9D9"/>
              <w:left w:val="nil"/>
              <w:bottom w:val="single" w:sz="8" w:space="0" w:color="D9D9D9"/>
              <w:right w:val="single" w:sz="8" w:space="0" w:color="FFFFFF"/>
            </w:tcBorders>
            <w:shd w:val="clear" w:color="auto" w:fill="F2F2F2"/>
            <w:vAlign w:val="center"/>
            <w:hideMark/>
          </w:tcPr>
          <w:p w14:paraId="1B07E687" w14:textId="5A4E634D"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140,842,312</w:t>
            </w:r>
          </w:p>
        </w:tc>
        <w:tc>
          <w:tcPr>
            <w:tcW w:w="1266" w:type="dxa"/>
            <w:tcBorders>
              <w:top w:val="single" w:sz="8" w:space="0" w:color="D9D9D9"/>
              <w:left w:val="nil"/>
              <w:bottom w:val="single" w:sz="4" w:space="0" w:color="D9D9D9" w:themeColor="background2" w:themeShade="D9"/>
              <w:right w:val="single" w:sz="8" w:space="0" w:color="FFFFFF"/>
            </w:tcBorders>
            <w:shd w:val="clear" w:color="auto" w:fill="F2F2F2"/>
            <w:vAlign w:val="center"/>
            <w:hideMark/>
          </w:tcPr>
          <w:p w14:paraId="192378ED" w14:textId="5B35AED4"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43,484,338</w:t>
            </w:r>
          </w:p>
        </w:tc>
      </w:tr>
      <w:tr w:rsidR="00BB0088" w:rsidRPr="0024020B" w14:paraId="4B410ED1" w14:textId="77777777" w:rsidTr="00AF2065">
        <w:trPr>
          <w:trHeight w:val="290"/>
          <w:jc w:val="center"/>
        </w:trPr>
        <w:tc>
          <w:tcPr>
            <w:tcW w:w="1235" w:type="dxa"/>
            <w:tcBorders>
              <w:top w:val="single" w:sz="4" w:space="0" w:color="D9D9D9" w:themeColor="background2" w:themeShade="D9"/>
              <w:left w:val="nil"/>
              <w:bottom w:val="single" w:sz="4" w:space="0" w:color="D9D9D9" w:themeColor="background2" w:themeShade="D9"/>
              <w:right w:val="single" w:sz="8" w:space="0" w:color="FFFFFF"/>
            </w:tcBorders>
            <w:vAlign w:val="center"/>
          </w:tcPr>
          <w:p w14:paraId="18A6A78D" w14:textId="2B755B98" w:rsidR="00BB0088" w:rsidRPr="00BB0088" w:rsidRDefault="00BB0088" w:rsidP="00BB0088">
            <w:pPr>
              <w:spacing w:before="40" w:after="40"/>
              <w:jc w:val="center"/>
              <w:rPr>
                <w:rFonts w:cs="Arial"/>
                <w:sz w:val="16"/>
                <w:szCs w:val="16"/>
              </w:rPr>
            </w:pPr>
            <w:r w:rsidRPr="0009351E">
              <w:rPr>
                <w:rFonts w:eastAsia="Times New Roman" w:cs="Arial"/>
                <w:color w:val="000000"/>
                <w:sz w:val="16"/>
                <w:szCs w:val="16"/>
                <w:lang w:eastAsia="en-AU"/>
              </w:rPr>
              <w:t>20.42</w:t>
            </w:r>
          </w:p>
        </w:tc>
        <w:tc>
          <w:tcPr>
            <w:tcW w:w="3868" w:type="dxa"/>
            <w:tcBorders>
              <w:top w:val="single" w:sz="8" w:space="0" w:color="D9D9D9"/>
              <w:left w:val="nil"/>
              <w:bottom w:val="single" w:sz="8" w:space="0" w:color="D9D9D9"/>
              <w:right w:val="single" w:sz="8" w:space="0" w:color="FFFFFF"/>
            </w:tcBorders>
            <w:shd w:val="clear" w:color="auto" w:fill="F2F2F2"/>
            <w:vAlign w:val="center"/>
          </w:tcPr>
          <w:p w14:paraId="4C768877" w14:textId="6551AE20" w:rsidR="00BB0088" w:rsidRPr="00BB0088" w:rsidRDefault="00BB0088" w:rsidP="00BB0088">
            <w:pPr>
              <w:spacing w:before="40" w:after="40"/>
              <w:rPr>
                <w:rFonts w:cs="Arial"/>
                <w:sz w:val="16"/>
                <w:szCs w:val="16"/>
              </w:rPr>
            </w:pPr>
            <w:r w:rsidRPr="0009351E">
              <w:rPr>
                <w:rFonts w:eastAsia="Times New Roman" w:cs="Arial"/>
                <w:color w:val="000000"/>
                <w:sz w:val="16"/>
                <w:szCs w:val="16"/>
                <w:lang w:eastAsia="en-AU"/>
              </w:rPr>
              <w:t>Medical Oncology (Consultation)</w:t>
            </w:r>
          </w:p>
        </w:tc>
        <w:tc>
          <w:tcPr>
            <w:tcW w:w="1418" w:type="dxa"/>
            <w:tcBorders>
              <w:top w:val="single" w:sz="8" w:space="0" w:color="D9D9D9"/>
              <w:left w:val="nil"/>
              <w:bottom w:val="single" w:sz="8" w:space="0" w:color="D9D9D9"/>
              <w:right w:val="single" w:sz="8" w:space="0" w:color="FFFFFF"/>
            </w:tcBorders>
            <w:shd w:val="clear" w:color="auto" w:fill="F2F2F2"/>
            <w:vAlign w:val="center"/>
          </w:tcPr>
          <w:p w14:paraId="7A5E2411" w14:textId="3DBF5D55" w:rsidR="00BB0088" w:rsidRPr="00BB0088" w:rsidRDefault="00BB0088" w:rsidP="00BB0088">
            <w:pPr>
              <w:spacing w:before="40" w:after="40"/>
              <w:jc w:val="right"/>
              <w:rPr>
                <w:rFonts w:cs="Arial"/>
                <w:sz w:val="16"/>
                <w:szCs w:val="16"/>
              </w:rPr>
            </w:pPr>
            <w:r w:rsidRPr="0009351E">
              <w:rPr>
                <w:rFonts w:eastAsia="Times New Roman" w:cs="Arial"/>
                <w:color w:val="000000"/>
                <w:sz w:val="16"/>
                <w:szCs w:val="16"/>
                <w:lang w:eastAsia="en-AU"/>
              </w:rPr>
              <w:t>539,911,405</w:t>
            </w:r>
          </w:p>
        </w:tc>
        <w:tc>
          <w:tcPr>
            <w:tcW w:w="1285" w:type="dxa"/>
            <w:tcBorders>
              <w:top w:val="single" w:sz="8" w:space="0" w:color="D9D9D9"/>
              <w:left w:val="nil"/>
              <w:bottom w:val="single" w:sz="8" w:space="0" w:color="D9D9D9"/>
              <w:right w:val="single" w:sz="8" w:space="0" w:color="FFFFFF"/>
            </w:tcBorders>
            <w:shd w:val="clear" w:color="auto" w:fill="F2F2F2"/>
            <w:vAlign w:val="center"/>
          </w:tcPr>
          <w:p w14:paraId="089A98D0" w14:textId="63340373" w:rsidR="00BB0088" w:rsidRPr="00BB0088" w:rsidRDefault="00BB0088" w:rsidP="00BB0088">
            <w:pPr>
              <w:spacing w:before="40" w:after="40"/>
              <w:jc w:val="right"/>
              <w:rPr>
                <w:rFonts w:cs="Arial"/>
                <w:sz w:val="16"/>
                <w:szCs w:val="16"/>
              </w:rPr>
            </w:pPr>
            <w:r w:rsidRPr="0009351E">
              <w:rPr>
                <w:rFonts w:eastAsia="Times New Roman" w:cs="Arial"/>
                <w:color w:val="000000"/>
                <w:sz w:val="16"/>
                <w:szCs w:val="16"/>
                <w:lang w:eastAsia="en-AU"/>
              </w:rPr>
              <w:t>499,933,468</w:t>
            </w:r>
          </w:p>
        </w:tc>
        <w:tc>
          <w:tcPr>
            <w:tcW w:w="1266" w:type="dxa"/>
            <w:tcBorders>
              <w:top w:val="single" w:sz="4" w:space="0" w:color="D9D9D9" w:themeColor="background2" w:themeShade="D9"/>
              <w:left w:val="nil"/>
              <w:bottom w:val="single" w:sz="4" w:space="0" w:color="D9D9D9" w:themeColor="background2" w:themeShade="D9"/>
              <w:right w:val="single" w:sz="8" w:space="0" w:color="FFFFFF"/>
            </w:tcBorders>
            <w:shd w:val="clear" w:color="auto" w:fill="F2F2F2"/>
            <w:vAlign w:val="center"/>
          </w:tcPr>
          <w:p w14:paraId="2DE52820" w14:textId="2C2897FF" w:rsidR="00BB0088" w:rsidRPr="00BB0088" w:rsidRDefault="00BB0088" w:rsidP="00BB0088">
            <w:pPr>
              <w:spacing w:before="40" w:after="40"/>
              <w:jc w:val="right"/>
              <w:rPr>
                <w:rFonts w:cs="Arial"/>
                <w:sz w:val="16"/>
                <w:szCs w:val="16"/>
              </w:rPr>
            </w:pPr>
            <w:r w:rsidRPr="0009351E">
              <w:rPr>
                <w:rFonts w:eastAsia="Times New Roman" w:cs="Arial"/>
                <w:color w:val="000000"/>
                <w:sz w:val="16"/>
                <w:szCs w:val="16"/>
                <w:lang w:eastAsia="en-AU"/>
              </w:rPr>
              <w:t>39,977,937</w:t>
            </w:r>
          </w:p>
        </w:tc>
      </w:tr>
    </w:tbl>
    <w:p w14:paraId="4868D2A8" w14:textId="77777777" w:rsidR="005E23AF" w:rsidRDefault="005E23AF" w:rsidP="0009351E">
      <w:pPr>
        <w:spacing w:before="240"/>
      </w:pPr>
    </w:p>
    <w:p w14:paraId="094D4046" w14:textId="77777777" w:rsidR="005E23AF" w:rsidRDefault="005E23AF">
      <w:pPr>
        <w:spacing w:line="259" w:lineRule="auto"/>
      </w:pPr>
      <w:r>
        <w:br w:type="page"/>
      </w:r>
    </w:p>
    <w:p w14:paraId="5459B672" w14:textId="4001C53F" w:rsidR="00917F17" w:rsidRPr="0009351E" w:rsidRDefault="00B36FDF" w:rsidP="0009351E">
      <w:pPr>
        <w:spacing w:before="240"/>
      </w:pPr>
      <w:r>
        <w:lastRenderedPageBreak/>
        <w:fldChar w:fldCharType="begin"/>
      </w:r>
      <w:r>
        <w:instrText xml:space="preserve"> REF _Ref185845022 \h  \* MERGEFORMAT </w:instrText>
      </w:r>
      <w:r>
        <w:fldChar w:fldCharType="separate"/>
      </w:r>
      <w:r w:rsidRPr="00303546">
        <w:rPr>
          <w:rStyle w:val="Cross-referenceChar"/>
        </w:rPr>
        <w:t>Table</w:t>
      </w:r>
      <w:r w:rsidRPr="0093558C">
        <w:rPr>
          <w:rFonts w:cstheme="majorBidi"/>
          <w:color w:val="104F99" w:themeColor="accent2"/>
          <w:lang w:val="en-PH"/>
        </w:rPr>
        <w:t xml:space="preserve"> </w:t>
      </w:r>
      <w:r>
        <w:rPr>
          <w:rFonts w:cstheme="majorBidi"/>
          <w:noProof/>
          <w:lang w:val="en-PH"/>
        </w:rPr>
        <w:t>23</w:t>
      </w:r>
      <w:r>
        <w:fldChar w:fldCharType="end"/>
      </w:r>
      <w:r w:rsidR="00917F17">
        <w:t xml:space="preserve"> shows the </w:t>
      </w:r>
      <w:r w:rsidR="003B096B">
        <w:t xml:space="preserve">top </w:t>
      </w:r>
      <w:r w:rsidR="00CC1794">
        <w:t xml:space="preserve">5 </w:t>
      </w:r>
      <w:r w:rsidR="00917F17">
        <w:t>Tier 2 end</w:t>
      </w:r>
      <w:r w:rsidR="00C66048">
        <w:t>-</w:t>
      </w:r>
      <w:r w:rsidR="00917F17">
        <w:t xml:space="preserve">classes </w:t>
      </w:r>
      <w:r w:rsidR="00CC1794">
        <w:t xml:space="preserve">with the greatest </w:t>
      </w:r>
      <w:r w:rsidR="00917F17">
        <w:t>increase in average cost, from 2021-22 to 2022-23. In 2022-23, the average cost per service event for Respiratory – Cystic Fibrosis (20.20) was $12,863, increasing by $5,253 per service event, from 2021-22.</w:t>
      </w:r>
    </w:p>
    <w:p w14:paraId="4DA9F9E4" w14:textId="1EF8DFB3" w:rsidR="00BB0088" w:rsidRDefault="00BB0088" w:rsidP="00303546">
      <w:pPr>
        <w:pStyle w:val="TableFigureheading"/>
        <w:rPr>
          <w:lang w:val="en-PH"/>
        </w:rPr>
      </w:pPr>
      <w:bookmarkStart w:id="337" w:name="_Ref185845022"/>
      <w:bookmarkStart w:id="338" w:name="_Toc185852230"/>
      <w:bookmarkStart w:id="339" w:name="_Toc187312149"/>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B36FDF">
        <w:rPr>
          <w:noProof/>
          <w:lang w:val="en-PH"/>
        </w:rPr>
        <w:t>23</w:t>
      </w:r>
      <w:r w:rsidRPr="0093558C">
        <w:rPr>
          <w:lang w:val="en-PH"/>
        </w:rPr>
        <w:fldChar w:fldCharType="end"/>
      </w:r>
      <w:bookmarkEnd w:id="337"/>
      <w:r w:rsidRPr="0093558C">
        <w:rPr>
          <w:lang w:val="en-PH"/>
        </w:rPr>
        <w:t xml:space="preserve">: </w:t>
      </w:r>
      <w:r w:rsidR="003B096B">
        <w:rPr>
          <w:lang w:val="en-PH"/>
        </w:rPr>
        <w:t xml:space="preserve">Top 5 </w:t>
      </w:r>
      <w:r w:rsidR="00260452">
        <w:rPr>
          <w:lang w:val="en-PH"/>
        </w:rPr>
        <w:t xml:space="preserve">Tier 2 </w:t>
      </w:r>
      <w:r w:rsidR="003B096B">
        <w:rPr>
          <w:lang w:val="en-PH"/>
        </w:rPr>
        <w:t xml:space="preserve">end-classes with greatest </w:t>
      </w:r>
      <w:r w:rsidR="00260452">
        <w:rPr>
          <w:lang w:val="en-PH"/>
        </w:rPr>
        <w:t>average cost change, 2021-22 to 2022-23</w:t>
      </w:r>
      <w:bookmarkEnd w:id="338"/>
      <w:bookmarkEnd w:id="339"/>
    </w:p>
    <w:tbl>
      <w:tblPr>
        <w:tblW w:w="9072" w:type="dxa"/>
        <w:jc w:val="center"/>
        <w:tblLook w:val="04A0" w:firstRow="1" w:lastRow="0" w:firstColumn="1" w:lastColumn="0" w:noHBand="0" w:noVBand="1"/>
      </w:tblPr>
      <w:tblGrid>
        <w:gridCol w:w="1235"/>
        <w:gridCol w:w="3868"/>
        <w:gridCol w:w="1418"/>
        <w:gridCol w:w="1285"/>
        <w:gridCol w:w="1266"/>
      </w:tblGrid>
      <w:tr w:rsidR="00BB0088" w:rsidRPr="0024020B" w14:paraId="0E1EBA35" w14:textId="77777777" w:rsidTr="0009351E">
        <w:trPr>
          <w:trHeight w:val="290"/>
          <w:jc w:val="center"/>
        </w:trPr>
        <w:tc>
          <w:tcPr>
            <w:tcW w:w="0" w:type="auto"/>
            <w:tcBorders>
              <w:top w:val="nil"/>
              <w:left w:val="nil"/>
              <w:bottom w:val="single" w:sz="8" w:space="0" w:color="D9D9D9"/>
              <w:right w:val="single" w:sz="8" w:space="0" w:color="FFFFFF"/>
            </w:tcBorders>
            <w:shd w:val="clear" w:color="auto" w:fill="15272F"/>
            <w:vAlign w:val="center"/>
            <w:hideMark/>
          </w:tcPr>
          <w:p w14:paraId="0CE48C2E" w14:textId="77777777" w:rsidR="00BB0088" w:rsidRPr="0024020B" w:rsidRDefault="00BB0088" w:rsidP="00E04435">
            <w:pPr>
              <w:spacing w:before="40" w:after="40"/>
              <w:jc w:val="center"/>
              <w:rPr>
                <w:rFonts w:cs="Arial"/>
                <w:b/>
                <w:bCs/>
                <w:color w:val="FFFFFF" w:themeColor="background2"/>
                <w:sz w:val="16"/>
                <w:szCs w:val="16"/>
              </w:rPr>
            </w:pPr>
            <w:r>
              <w:rPr>
                <w:rFonts w:cs="Arial"/>
                <w:b/>
                <w:bCs/>
                <w:color w:val="FFFFFF" w:themeColor="background2"/>
                <w:sz w:val="16"/>
                <w:szCs w:val="16"/>
              </w:rPr>
              <w:t>Tier 2 Code</w:t>
            </w:r>
          </w:p>
        </w:tc>
        <w:tc>
          <w:tcPr>
            <w:tcW w:w="3868" w:type="dxa"/>
            <w:tcBorders>
              <w:top w:val="nil"/>
              <w:left w:val="nil"/>
              <w:bottom w:val="single" w:sz="8" w:space="0" w:color="D9D9D9"/>
              <w:right w:val="single" w:sz="8" w:space="0" w:color="FFFFFF"/>
            </w:tcBorders>
            <w:shd w:val="clear" w:color="auto" w:fill="15272F"/>
            <w:vAlign w:val="center"/>
            <w:hideMark/>
          </w:tcPr>
          <w:p w14:paraId="36E266DA" w14:textId="77777777" w:rsidR="00BB0088" w:rsidRPr="0024020B" w:rsidRDefault="00BB0088" w:rsidP="00E04435">
            <w:pPr>
              <w:spacing w:before="40" w:after="40"/>
              <w:jc w:val="center"/>
              <w:rPr>
                <w:rFonts w:cs="Arial"/>
                <w:b/>
                <w:bCs/>
                <w:color w:val="FFFFFF" w:themeColor="background2"/>
                <w:sz w:val="16"/>
                <w:szCs w:val="16"/>
              </w:rPr>
            </w:pPr>
            <w:r>
              <w:rPr>
                <w:rFonts w:eastAsia="Times New Roman" w:cs="Arial"/>
                <w:b/>
                <w:bCs/>
                <w:color w:val="FFFFFF" w:themeColor="background2"/>
                <w:sz w:val="16"/>
                <w:szCs w:val="16"/>
                <w:lang w:eastAsia="en-AU"/>
              </w:rPr>
              <w:t>Description</w:t>
            </w:r>
          </w:p>
        </w:tc>
        <w:tc>
          <w:tcPr>
            <w:tcW w:w="1418" w:type="dxa"/>
            <w:tcBorders>
              <w:top w:val="nil"/>
              <w:left w:val="nil"/>
              <w:bottom w:val="single" w:sz="8" w:space="0" w:color="D9D9D9"/>
              <w:right w:val="single" w:sz="8" w:space="0" w:color="FFFFFF"/>
            </w:tcBorders>
            <w:shd w:val="clear" w:color="auto" w:fill="15272F"/>
            <w:vAlign w:val="center"/>
            <w:hideMark/>
          </w:tcPr>
          <w:p w14:paraId="26907E22" w14:textId="6864DFDB" w:rsidR="00BB0088" w:rsidRPr="0024020B" w:rsidRDefault="00BB0088" w:rsidP="00E04435">
            <w:pPr>
              <w:spacing w:before="40" w:after="40"/>
              <w:jc w:val="center"/>
              <w:rPr>
                <w:rFonts w:cs="Arial"/>
                <w:b/>
                <w:bCs/>
                <w:color w:val="FFFFFF" w:themeColor="background2"/>
                <w:sz w:val="16"/>
                <w:szCs w:val="16"/>
              </w:rPr>
            </w:pPr>
            <w:r w:rsidRPr="0024020B">
              <w:rPr>
                <w:rFonts w:eastAsia="Times New Roman" w:cs="Arial"/>
                <w:b/>
                <w:bCs/>
                <w:color w:val="FFFFFF" w:themeColor="background2"/>
                <w:sz w:val="16"/>
                <w:szCs w:val="16"/>
                <w:lang w:eastAsia="en-AU"/>
              </w:rPr>
              <w:t>2022-23</w:t>
            </w:r>
            <w:r>
              <w:rPr>
                <w:rFonts w:eastAsia="Times New Roman" w:cs="Arial"/>
                <w:b/>
                <w:bCs/>
                <w:color w:val="FFFFFF" w:themeColor="background2"/>
                <w:sz w:val="16"/>
                <w:szCs w:val="16"/>
                <w:lang w:eastAsia="en-AU"/>
              </w:rPr>
              <w:t xml:space="preserve"> ($)</w:t>
            </w:r>
          </w:p>
        </w:tc>
        <w:tc>
          <w:tcPr>
            <w:tcW w:w="1285" w:type="dxa"/>
            <w:tcBorders>
              <w:top w:val="nil"/>
              <w:left w:val="nil"/>
              <w:bottom w:val="single" w:sz="8" w:space="0" w:color="D9D9D9"/>
              <w:right w:val="single" w:sz="8" w:space="0" w:color="FFFFFF"/>
            </w:tcBorders>
            <w:shd w:val="clear" w:color="auto" w:fill="15272F"/>
            <w:vAlign w:val="center"/>
            <w:hideMark/>
          </w:tcPr>
          <w:p w14:paraId="10439607" w14:textId="2AD2C387" w:rsidR="00BB0088" w:rsidRPr="0024020B" w:rsidRDefault="00BB0088" w:rsidP="00E04435">
            <w:pPr>
              <w:spacing w:before="40" w:after="40"/>
              <w:jc w:val="center"/>
              <w:rPr>
                <w:rFonts w:cs="Arial"/>
                <w:b/>
                <w:bCs/>
                <w:color w:val="FFFFFF" w:themeColor="background2"/>
                <w:sz w:val="16"/>
                <w:szCs w:val="16"/>
              </w:rPr>
            </w:pPr>
            <w:r w:rsidRPr="0024020B">
              <w:rPr>
                <w:rFonts w:eastAsia="Times New Roman" w:cs="Arial"/>
                <w:b/>
                <w:bCs/>
                <w:color w:val="FFFFFF" w:themeColor="background2"/>
                <w:sz w:val="16"/>
                <w:szCs w:val="16"/>
                <w:lang w:eastAsia="en-AU"/>
              </w:rPr>
              <w:t>2021-22</w:t>
            </w:r>
            <w:r>
              <w:rPr>
                <w:rFonts w:eastAsia="Times New Roman" w:cs="Arial"/>
                <w:b/>
                <w:bCs/>
                <w:color w:val="FFFFFF" w:themeColor="background2"/>
                <w:sz w:val="16"/>
                <w:szCs w:val="16"/>
                <w:lang w:eastAsia="en-AU"/>
              </w:rPr>
              <w:t xml:space="preserve"> ($)</w:t>
            </w:r>
          </w:p>
        </w:tc>
        <w:tc>
          <w:tcPr>
            <w:tcW w:w="1266" w:type="dxa"/>
            <w:tcBorders>
              <w:top w:val="nil"/>
              <w:left w:val="nil"/>
              <w:bottom w:val="single" w:sz="8" w:space="0" w:color="D9D9D9"/>
              <w:right w:val="single" w:sz="8" w:space="0" w:color="FFFFFF"/>
            </w:tcBorders>
            <w:shd w:val="clear" w:color="auto" w:fill="15272F"/>
            <w:vAlign w:val="center"/>
            <w:hideMark/>
          </w:tcPr>
          <w:p w14:paraId="0BDF3C73" w14:textId="646270A9" w:rsidR="00BB0088" w:rsidRPr="0024020B" w:rsidRDefault="00BB0088" w:rsidP="00E04435">
            <w:pPr>
              <w:spacing w:before="40" w:after="40"/>
              <w:jc w:val="center"/>
              <w:rPr>
                <w:rFonts w:cs="Arial"/>
                <w:b/>
                <w:bCs/>
                <w:color w:val="FFFFFF" w:themeColor="background2"/>
                <w:sz w:val="16"/>
                <w:szCs w:val="16"/>
              </w:rPr>
            </w:pPr>
            <w:r w:rsidRPr="0024020B">
              <w:rPr>
                <w:rFonts w:eastAsia="Times New Roman" w:cs="Arial"/>
                <w:b/>
                <w:bCs/>
                <w:color w:val="FFFFFF" w:themeColor="background2"/>
                <w:sz w:val="16"/>
                <w:szCs w:val="16"/>
                <w:lang w:eastAsia="en-AU"/>
              </w:rPr>
              <w:t>Change</w:t>
            </w:r>
            <w:r>
              <w:rPr>
                <w:rFonts w:eastAsia="Times New Roman" w:cs="Arial"/>
                <w:b/>
                <w:bCs/>
                <w:color w:val="FFFFFF" w:themeColor="background2"/>
                <w:sz w:val="16"/>
                <w:szCs w:val="16"/>
                <w:lang w:eastAsia="en-AU"/>
              </w:rPr>
              <w:t xml:space="preserve"> ($)</w:t>
            </w:r>
          </w:p>
        </w:tc>
      </w:tr>
      <w:tr w:rsidR="00BB0088" w:rsidRPr="0024020B" w14:paraId="5E9A9F6E" w14:textId="77777777" w:rsidTr="0009351E">
        <w:trPr>
          <w:trHeight w:val="290"/>
          <w:jc w:val="center"/>
        </w:trPr>
        <w:tc>
          <w:tcPr>
            <w:tcW w:w="1235" w:type="dxa"/>
            <w:tcBorders>
              <w:top w:val="nil"/>
              <w:left w:val="nil"/>
              <w:bottom w:val="single" w:sz="8" w:space="0" w:color="D9D9D9"/>
              <w:right w:val="single" w:sz="8" w:space="0" w:color="FFFFFF"/>
            </w:tcBorders>
            <w:vAlign w:val="center"/>
            <w:hideMark/>
          </w:tcPr>
          <w:p w14:paraId="4BDA4018" w14:textId="72B73222" w:rsidR="00BB0088" w:rsidRPr="0024020B" w:rsidRDefault="00BB0088" w:rsidP="00BB0088">
            <w:pPr>
              <w:spacing w:before="40" w:after="40"/>
              <w:jc w:val="center"/>
              <w:rPr>
                <w:rFonts w:cs="Arial"/>
                <w:sz w:val="16"/>
                <w:szCs w:val="16"/>
              </w:rPr>
            </w:pPr>
            <w:r w:rsidRPr="007743D5">
              <w:rPr>
                <w:rFonts w:eastAsia="Times New Roman" w:cs="Arial"/>
                <w:color w:val="000000"/>
                <w:sz w:val="16"/>
                <w:szCs w:val="16"/>
                <w:lang w:eastAsia="en-AU"/>
              </w:rPr>
              <w:t>20.20</w:t>
            </w:r>
          </w:p>
        </w:tc>
        <w:tc>
          <w:tcPr>
            <w:tcW w:w="3868" w:type="dxa"/>
            <w:tcBorders>
              <w:top w:val="nil"/>
              <w:left w:val="nil"/>
              <w:bottom w:val="nil"/>
              <w:right w:val="single" w:sz="8" w:space="0" w:color="FFFFFF"/>
            </w:tcBorders>
            <w:shd w:val="clear" w:color="auto" w:fill="F2F2F2"/>
            <w:vAlign w:val="center"/>
            <w:hideMark/>
          </w:tcPr>
          <w:p w14:paraId="0ED9C571" w14:textId="3E0E09E4" w:rsidR="00BB0088" w:rsidRPr="0024020B" w:rsidRDefault="00BB0088" w:rsidP="00BB0088">
            <w:pPr>
              <w:spacing w:before="40" w:after="40"/>
              <w:rPr>
                <w:rFonts w:cs="Arial"/>
                <w:b/>
                <w:sz w:val="16"/>
                <w:szCs w:val="16"/>
                <w:u w:val="single"/>
              </w:rPr>
            </w:pPr>
            <w:r w:rsidRPr="007743D5">
              <w:rPr>
                <w:rFonts w:eastAsia="Times New Roman" w:cs="Arial"/>
                <w:color w:val="000000"/>
                <w:sz w:val="16"/>
                <w:szCs w:val="16"/>
                <w:lang w:eastAsia="en-AU"/>
              </w:rPr>
              <w:t>Respiratory - Cystic Fibrosis</w:t>
            </w:r>
          </w:p>
        </w:tc>
        <w:tc>
          <w:tcPr>
            <w:tcW w:w="1418" w:type="dxa"/>
            <w:tcBorders>
              <w:top w:val="nil"/>
              <w:left w:val="nil"/>
              <w:bottom w:val="nil"/>
              <w:right w:val="single" w:sz="8" w:space="0" w:color="FFFFFF"/>
            </w:tcBorders>
            <w:shd w:val="clear" w:color="auto" w:fill="F2F2F2"/>
            <w:vAlign w:val="center"/>
            <w:hideMark/>
          </w:tcPr>
          <w:p w14:paraId="53784908" w14:textId="414684C3" w:rsidR="00BB0088" w:rsidRPr="0024020B" w:rsidRDefault="00BB0088" w:rsidP="00BB0088">
            <w:pPr>
              <w:spacing w:before="40" w:after="40"/>
              <w:jc w:val="right"/>
              <w:rPr>
                <w:rFonts w:cs="Arial"/>
                <w:b/>
                <w:sz w:val="16"/>
                <w:szCs w:val="16"/>
                <w:u w:val="single"/>
              </w:rPr>
            </w:pPr>
            <w:r w:rsidRPr="007743D5">
              <w:rPr>
                <w:rFonts w:eastAsia="Times New Roman" w:cs="Arial"/>
                <w:color w:val="000000"/>
                <w:sz w:val="16"/>
                <w:szCs w:val="16"/>
                <w:lang w:eastAsia="en-AU"/>
              </w:rPr>
              <w:t>12,863</w:t>
            </w:r>
          </w:p>
        </w:tc>
        <w:tc>
          <w:tcPr>
            <w:tcW w:w="1285" w:type="dxa"/>
            <w:tcBorders>
              <w:top w:val="nil"/>
              <w:left w:val="nil"/>
              <w:bottom w:val="nil"/>
              <w:right w:val="single" w:sz="8" w:space="0" w:color="FFFFFF"/>
            </w:tcBorders>
            <w:shd w:val="clear" w:color="auto" w:fill="F2F2F2"/>
            <w:vAlign w:val="center"/>
            <w:hideMark/>
          </w:tcPr>
          <w:p w14:paraId="48968E99" w14:textId="01916E0C" w:rsidR="00BB0088" w:rsidRPr="0024020B" w:rsidRDefault="00BB0088" w:rsidP="00BB0088">
            <w:pPr>
              <w:spacing w:before="40" w:after="40"/>
              <w:jc w:val="right"/>
              <w:rPr>
                <w:rFonts w:cs="Arial"/>
                <w:b/>
                <w:sz w:val="16"/>
                <w:szCs w:val="16"/>
                <w:u w:val="single"/>
              </w:rPr>
            </w:pPr>
            <w:r w:rsidRPr="007743D5">
              <w:rPr>
                <w:rFonts w:eastAsia="Times New Roman" w:cs="Arial"/>
                <w:color w:val="000000"/>
                <w:sz w:val="16"/>
                <w:szCs w:val="16"/>
                <w:lang w:eastAsia="en-AU"/>
              </w:rPr>
              <w:t>7,610</w:t>
            </w:r>
          </w:p>
        </w:tc>
        <w:tc>
          <w:tcPr>
            <w:tcW w:w="1266" w:type="dxa"/>
            <w:tcBorders>
              <w:top w:val="nil"/>
              <w:left w:val="nil"/>
              <w:bottom w:val="single" w:sz="8" w:space="0" w:color="D9D9D9"/>
              <w:right w:val="single" w:sz="8" w:space="0" w:color="FFFFFF"/>
            </w:tcBorders>
            <w:shd w:val="clear" w:color="auto" w:fill="F2F2F2"/>
            <w:vAlign w:val="center"/>
            <w:hideMark/>
          </w:tcPr>
          <w:p w14:paraId="52E9637D" w14:textId="3F15826B"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5,253</w:t>
            </w:r>
          </w:p>
        </w:tc>
      </w:tr>
      <w:tr w:rsidR="00BB0088" w:rsidRPr="0024020B" w14:paraId="702B323D" w14:textId="77777777" w:rsidTr="0009351E">
        <w:trPr>
          <w:trHeight w:val="290"/>
          <w:jc w:val="center"/>
        </w:trPr>
        <w:tc>
          <w:tcPr>
            <w:tcW w:w="1235" w:type="dxa"/>
            <w:tcBorders>
              <w:top w:val="nil"/>
              <w:left w:val="nil"/>
              <w:bottom w:val="single" w:sz="8" w:space="0" w:color="D9D9D9"/>
              <w:right w:val="single" w:sz="8" w:space="0" w:color="FFFFFF"/>
            </w:tcBorders>
            <w:vAlign w:val="center"/>
            <w:hideMark/>
          </w:tcPr>
          <w:p w14:paraId="6CE323D0" w14:textId="2642D5F4" w:rsidR="00BB0088" w:rsidRPr="0024020B" w:rsidRDefault="00BB0088" w:rsidP="00BB0088">
            <w:pPr>
              <w:spacing w:before="40" w:after="40"/>
              <w:jc w:val="center"/>
              <w:rPr>
                <w:rFonts w:cs="Arial"/>
                <w:sz w:val="16"/>
                <w:szCs w:val="16"/>
              </w:rPr>
            </w:pPr>
            <w:r w:rsidRPr="007743D5">
              <w:rPr>
                <w:rFonts w:eastAsia="Times New Roman" w:cs="Arial"/>
                <w:color w:val="000000"/>
                <w:sz w:val="16"/>
                <w:szCs w:val="16"/>
                <w:lang w:eastAsia="en-AU"/>
              </w:rPr>
              <w:t>10.19</w:t>
            </w:r>
          </w:p>
        </w:tc>
        <w:tc>
          <w:tcPr>
            <w:tcW w:w="3868" w:type="dxa"/>
            <w:tcBorders>
              <w:top w:val="single" w:sz="8" w:space="0" w:color="D9D9D9"/>
              <w:left w:val="nil"/>
              <w:bottom w:val="single" w:sz="8" w:space="0" w:color="D9D9D9"/>
              <w:right w:val="single" w:sz="8" w:space="0" w:color="FFFFFF"/>
            </w:tcBorders>
            <w:shd w:val="clear" w:color="auto" w:fill="F2F2F2"/>
            <w:vAlign w:val="center"/>
            <w:hideMark/>
          </w:tcPr>
          <w:p w14:paraId="60E1CF22" w14:textId="1BA080DA" w:rsidR="00BB0088" w:rsidRPr="0024020B" w:rsidRDefault="00BB0088" w:rsidP="00BB0088">
            <w:pPr>
              <w:spacing w:before="40" w:after="40"/>
              <w:rPr>
                <w:rFonts w:cs="Arial"/>
                <w:sz w:val="16"/>
                <w:szCs w:val="16"/>
              </w:rPr>
            </w:pPr>
            <w:r w:rsidRPr="007743D5">
              <w:rPr>
                <w:rFonts w:eastAsia="Times New Roman" w:cs="Arial"/>
                <w:color w:val="000000"/>
                <w:sz w:val="16"/>
                <w:szCs w:val="16"/>
                <w:lang w:eastAsia="en-AU"/>
              </w:rPr>
              <w:t>Ventilation - Home Delivered</w:t>
            </w:r>
          </w:p>
        </w:tc>
        <w:tc>
          <w:tcPr>
            <w:tcW w:w="1418" w:type="dxa"/>
            <w:tcBorders>
              <w:top w:val="single" w:sz="8" w:space="0" w:color="D9D9D9"/>
              <w:left w:val="nil"/>
              <w:bottom w:val="single" w:sz="8" w:space="0" w:color="D9D9D9"/>
              <w:right w:val="single" w:sz="8" w:space="0" w:color="FFFFFF"/>
            </w:tcBorders>
            <w:shd w:val="clear" w:color="auto" w:fill="F2F2F2"/>
            <w:vAlign w:val="center"/>
            <w:hideMark/>
          </w:tcPr>
          <w:p w14:paraId="51D42CD5" w14:textId="6AC6085B"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2,376</w:t>
            </w:r>
          </w:p>
        </w:tc>
        <w:tc>
          <w:tcPr>
            <w:tcW w:w="1285" w:type="dxa"/>
            <w:tcBorders>
              <w:top w:val="single" w:sz="8" w:space="0" w:color="D9D9D9"/>
              <w:left w:val="nil"/>
              <w:bottom w:val="single" w:sz="8" w:space="0" w:color="D9D9D9"/>
              <w:right w:val="single" w:sz="8" w:space="0" w:color="FFFFFF"/>
            </w:tcBorders>
            <w:shd w:val="clear" w:color="auto" w:fill="F2F2F2"/>
            <w:vAlign w:val="center"/>
            <w:hideMark/>
          </w:tcPr>
          <w:p w14:paraId="53C8CD48" w14:textId="655B0920"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1,456</w:t>
            </w:r>
          </w:p>
        </w:tc>
        <w:tc>
          <w:tcPr>
            <w:tcW w:w="1266" w:type="dxa"/>
            <w:tcBorders>
              <w:top w:val="nil"/>
              <w:left w:val="nil"/>
              <w:bottom w:val="single" w:sz="8" w:space="0" w:color="D9D9D9"/>
              <w:right w:val="single" w:sz="8" w:space="0" w:color="FFFFFF"/>
            </w:tcBorders>
            <w:shd w:val="clear" w:color="auto" w:fill="F2F2F2"/>
            <w:vAlign w:val="center"/>
            <w:hideMark/>
          </w:tcPr>
          <w:p w14:paraId="59781E31" w14:textId="12832D9E" w:rsidR="00BB0088" w:rsidRPr="0009351E" w:rsidRDefault="00BB0088" w:rsidP="00BB0088">
            <w:pPr>
              <w:spacing w:before="40" w:after="40"/>
              <w:jc w:val="right"/>
              <w:rPr>
                <w:rFonts w:eastAsia="Times New Roman" w:cs="Arial"/>
                <w:color w:val="000000"/>
                <w:sz w:val="16"/>
                <w:szCs w:val="16"/>
                <w:lang w:eastAsia="en-AU"/>
              </w:rPr>
            </w:pPr>
            <w:r w:rsidRPr="007743D5">
              <w:rPr>
                <w:rFonts w:eastAsia="Times New Roman" w:cs="Arial"/>
                <w:color w:val="000000"/>
                <w:sz w:val="16"/>
                <w:szCs w:val="16"/>
                <w:lang w:eastAsia="en-AU"/>
              </w:rPr>
              <w:t>920</w:t>
            </w:r>
          </w:p>
        </w:tc>
      </w:tr>
      <w:tr w:rsidR="00BB0088" w:rsidRPr="0024020B" w14:paraId="4FDBC555" w14:textId="77777777" w:rsidTr="00AF2065">
        <w:trPr>
          <w:trHeight w:val="290"/>
          <w:jc w:val="center"/>
        </w:trPr>
        <w:tc>
          <w:tcPr>
            <w:tcW w:w="1235" w:type="dxa"/>
            <w:tcBorders>
              <w:top w:val="nil"/>
              <w:left w:val="nil"/>
              <w:bottom w:val="single" w:sz="8" w:space="0" w:color="D9D9D9"/>
              <w:right w:val="single" w:sz="8" w:space="0" w:color="FFFFFF"/>
            </w:tcBorders>
            <w:vAlign w:val="center"/>
            <w:hideMark/>
          </w:tcPr>
          <w:p w14:paraId="44333257" w14:textId="53B9C294" w:rsidR="00BB0088" w:rsidRPr="0024020B" w:rsidRDefault="00BB0088" w:rsidP="00BB0088">
            <w:pPr>
              <w:spacing w:before="40" w:after="40"/>
              <w:jc w:val="center"/>
              <w:rPr>
                <w:rFonts w:cs="Arial"/>
                <w:sz w:val="16"/>
                <w:szCs w:val="16"/>
              </w:rPr>
            </w:pPr>
            <w:r w:rsidRPr="007743D5">
              <w:rPr>
                <w:rFonts w:eastAsia="Times New Roman" w:cs="Arial"/>
                <w:color w:val="000000"/>
                <w:sz w:val="16"/>
                <w:szCs w:val="16"/>
                <w:lang w:eastAsia="en-AU"/>
              </w:rPr>
              <w:t>10.06</w:t>
            </w:r>
          </w:p>
        </w:tc>
        <w:tc>
          <w:tcPr>
            <w:tcW w:w="3868" w:type="dxa"/>
            <w:tcBorders>
              <w:top w:val="nil"/>
              <w:left w:val="nil"/>
              <w:bottom w:val="nil"/>
              <w:right w:val="single" w:sz="8" w:space="0" w:color="FFFFFF"/>
            </w:tcBorders>
            <w:shd w:val="clear" w:color="auto" w:fill="F2F2F2"/>
            <w:vAlign w:val="center"/>
            <w:hideMark/>
          </w:tcPr>
          <w:p w14:paraId="7B1F07E6" w14:textId="49E0DEA2" w:rsidR="00BB0088" w:rsidRPr="0024020B" w:rsidRDefault="00BB0088" w:rsidP="00BB0088">
            <w:pPr>
              <w:spacing w:before="40" w:after="40"/>
              <w:rPr>
                <w:rFonts w:cs="Arial"/>
                <w:b/>
                <w:sz w:val="16"/>
                <w:szCs w:val="16"/>
                <w:u w:val="single"/>
              </w:rPr>
            </w:pPr>
            <w:r w:rsidRPr="007743D5">
              <w:rPr>
                <w:rFonts w:eastAsia="Times New Roman" w:cs="Arial"/>
                <w:color w:val="000000"/>
                <w:sz w:val="16"/>
                <w:szCs w:val="16"/>
                <w:lang w:eastAsia="en-AU"/>
              </w:rPr>
              <w:t>Endoscopy - Gastrointestinal</w:t>
            </w:r>
          </w:p>
        </w:tc>
        <w:tc>
          <w:tcPr>
            <w:tcW w:w="1418" w:type="dxa"/>
            <w:tcBorders>
              <w:top w:val="nil"/>
              <w:left w:val="nil"/>
              <w:bottom w:val="nil"/>
              <w:right w:val="single" w:sz="8" w:space="0" w:color="FFFFFF"/>
            </w:tcBorders>
            <w:shd w:val="clear" w:color="auto" w:fill="F2F2F2"/>
            <w:vAlign w:val="center"/>
            <w:hideMark/>
          </w:tcPr>
          <w:p w14:paraId="707EE9A7" w14:textId="241CEBDA"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2,186</w:t>
            </w:r>
          </w:p>
        </w:tc>
        <w:tc>
          <w:tcPr>
            <w:tcW w:w="1285" w:type="dxa"/>
            <w:tcBorders>
              <w:top w:val="nil"/>
              <w:left w:val="nil"/>
              <w:bottom w:val="nil"/>
              <w:right w:val="single" w:sz="8" w:space="0" w:color="FFFFFF"/>
            </w:tcBorders>
            <w:shd w:val="clear" w:color="auto" w:fill="F2F2F2"/>
            <w:vAlign w:val="center"/>
            <w:hideMark/>
          </w:tcPr>
          <w:p w14:paraId="4FD6A979" w14:textId="4172AE04" w:rsidR="00BB0088" w:rsidRPr="0024020B" w:rsidRDefault="00BB0088" w:rsidP="00BB0088">
            <w:pPr>
              <w:spacing w:before="40" w:after="40"/>
              <w:jc w:val="right"/>
              <w:rPr>
                <w:rFonts w:cs="Arial"/>
                <w:b/>
                <w:sz w:val="16"/>
                <w:szCs w:val="16"/>
                <w:u w:val="single"/>
              </w:rPr>
            </w:pPr>
            <w:r w:rsidRPr="007743D5">
              <w:rPr>
                <w:rFonts w:eastAsia="Times New Roman" w:cs="Arial"/>
                <w:color w:val="000000"/>
                <w:sz w:val="16"/>
                <w:szCs w:val="16"/>
                <w:lang w:eastAsia="en-AU"/>
              </w:rPr>
              <w:t>1,804</w:t>
            </w:r>
          </w:p>
        </w:tc>
        <w:tc>
          <w:tcPr>
            <w:tcW w:w="1266" w:type="dxa"/>
            <w:tcBorders>
              <w:top w:val="nil"/>
              <w:left w:val="nil"/>
              <w:bottom w:val="single" w:sz="8" w:space="0" w:color="D9D9D9"/>
              <w:right w:val="single" w:sz="8" w:space="0" w:color="FFFFFF"/>
            </w:tcBorders>
            <w:shd w:val="clear" w:color="auto" w:fill="F2F2F2"/>
            <w:vAlign w:val="center"/>
            <w:hideMark/>
          </w:tcPr>
          <w:p w14:paraId="79305FE5" w14:textId="4E11ADF8" w:rsidR="00BB0088" w:rsidRPr="0009351E" w:rsidRDefault="00BB0088" w:rsidP="00BB0088">
            <w:pPr>
              <w:spacing w:before="40" w:after="40"/>
              <w:jc w:val="right"/>
              <w:rPr>
                <w:rFonts w:eastAsia="Times New Roman" w:cs="Arial"/>
                <w:color w:val="000000"/>
                <w:sz w:val="16"/>
                <w:szCs w:val="16"/>
                <w:lang w:eastAsia="en-AU"/>
              </w:rPr>
            </w:pPr>
            <w:r w:rsidRPr="007743D5">
              <w:rPr>
                <w:rFonts w:eastAsia="Times New Roman" w:cs="Arial"/>
                <w:color w:val="000000"/>
                <w:sz w:val="16"/>
                <w:szCs w:val="16"/>
                <w:lang w:eastAsia="en-AU"/>
              </w:rPr>
              <w:t>382</w:t>
            </w:r>
          </w:p>
        </w:tc>
      </w:tr>
      <w:tr w:rsidR="00BB0088" w:rsidRPr="0024020B" w14:paraId="56D77CE0" w14:textId="77777777" w:rsidTr="00AF2065">
        <w:trPr>
          <w:trHeight w:val="290"/>
          <w:jc w:val="center"/>
        </w:trPr>
        <w:tc>
          <w:tcPr>
            <w:tcW w:w="1235" w:type="dxa"/>
            <w:tcBorders>
              <w:top w:val="single" w:sz="8" w:space="0" w:color="D9D9D9"/>
              <w:left w:val="nil"/>
              <w:bottom w:val="single" w:sz="4" w:space="0" w:color="D9D9D9" w:themeColor="background2" w:themeShade="D9"/>
              <w:right w:val="single" w:sz="8" w:space="0" w:color="FFFFFF"/>
            </w:tcBorders>
            <w:vAlign w:val="center"/>
            <w:hideMark/>
          </w:tcPr>
          <w:p w14:paraId="3D2E3282" w14:textId="54AC8B64" w:rsidR="00BB0088" w:rsidRPr="00AF2065" w:rsidRDefault="00BB0088" w:rsidP="00BB0088">
            <w:pPr>
              <w:spacing w:before="40" w:after="40"/>
              <w:jc w:val="center"/>
              <w:rPr>
                <w:rFonts w:eastAsia="Times New Roman" w:cs="Arial"/>
                <w:color w:val="000000"/>
                <w:sz w:val="16"/>
                <w:szCs w:val="16"/>
                <w:lang w:eastAsia="en-AU"/>
              </w:rPr>
            </w:pPr>
            <w:r w:rsidRPr="007743D5">
              <w:rPr>
                <w:rFonts w:eastAsia="Times New Roman" w:cs="Arial"/>
                <w:color w:val="000000"/>
                <w:sz w:val="16"/>
                <w:szCs w:val="16"/>
                <w:lang w:eastAsia="en-AU"/>
              </w:rPr>
              <w:t>10.05</w:t>
            </w:r>
          </w:p>
        </w:tc>
        <w:tc>
          <w:tcPr>
            <w:tcW w:w="3868" w:type="dxa"/>
            <w:tcBorders>
              <w:top w:val="single" w:sz="8" w:space="0" w:color="D9D9D9"/>
              <w:left w:val="nil"/>
              <w:bottom w:val="single" w:sz="8" w:space="0" w:color="D9D9D9"/>
              <w:right w:val="single" w:sz="8" w:space="0" w:color="FFFFFF"/>
            </w:tcBorders>
            <w:shd w:val="clear" w:color="auto" w:fill="F2F2F2"/>
            <w:vAlign w:val="center"/>
            <w:hideMark/>
          </w:tcPr>
          <w:p w14:paraId="30547CE5" w14:textId="479C07AD" w:rsidR="00BB0088" w:rsidRPr="0024020B" w:rsidRDefault="00BB0088" w:rsidP="00BB0088">
            <w:pPr>
              <w:spacing w:before="40" w:after="40"/>
              <w:rPr>
                <w:rFonts w:cs="Arial"/>
                <w:sz w:val="16"/>
                <w:szCs w:val="16"/>
              </w:rPr>
            </w:pPr>
            <w:r w:rsidRPr="007743D5">
              <w:rPr>
                <w:rFonts w:eastAsia="Times New Roman" w:cs="Arial"/>
                <w:color w:val="000000"/>
                <w:sz w:val="16"/>
                <w:szCs w:val="16"/>
                <w:lang w:eastAsia="en-AU"/>
              </w:rPr>
              <w:t>Angioplasty/Angiography</w:t>
            </w:r>
          </w:p>
        </w:tc>
        <w:tc>
          <w:tcPr>
            <w:tcW w:w="1418" w:type="dxa"/>
            <w:tcBorders>
              <w:top w:val="single" w:sz="8" w:space="0" w:color="D9D9D9"/>
              <w:left w:val="nil"/>
              <w:bottom w:val="single" w:sz="8" w:space="0" w:color="D9D9D9"/>
              <w:right w:val="single" w:sz="8" w:space="0" w:color="FFFFFF"/>
            </w:tcBorders>
            <w:shd w:val="clear" w:color="auto" w:fill="F2F2F2"/>
            <w:vAlign w:val="center"/>
            <w:hideMark/>
          </w:tcPr>
          <w:p w14:paraId="34482499" w14:textId="5BDACF4A"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2,240</w:t>
            </w:r>
          </w:p>
        </w:tc>
        <w:tc>
          <w:tcPr>
            <w:tcW w:w="1285" w:type="dxa"/>
            <w:tcBorders>
              <w:top w:val="single" w:sz="8" w:space="0" w:color="D9D9D9"/>
              <w:left w:val="nil"/>
              <w:bottom w:val="single" w:sz="8" w:space="0" w:color="D9D9D9"/>
              <w:right w:val="single" w:sz="8" w:space="0" w:color="FFFFFF"/>
            </w:tcBorders>
            <w:shd w:val="clear" w:color="auto" w:fill="F2F2F2"/>
            <w:vAlign w:val="center"/>
            <w:hideMark/>
          </w:tcPr>
          <w:p w14:paraId="4EB0DF64" w14:textId="1FF6E9E2" w:rsidR="00BB0088" w:rsidRPr="0024020B" w:rsidRDefault="00BB0088" w:rsidP="00BB0088">
            <w:pPr>
              <w:spacing w:before="40" w:after="40"/>
              <w:jc w:val="right"/>
              <w:rPr>
                <w:rFonts w:cs="Arial"/>
                <w:sz w:val="16"/>
                <w:szCs w:val="16"/>
              </w:rPr>
            </w:pPr>
            <w:r w:rsidRPr="007743D5">
              <w:rPr>
                <w:rFonts w:eastAsia="Times New Roman" w:cs="Arial"/>
                <w:color w:val="000000"/>
                <w:sz w:val="16"/>
                <w:szCs w:val="16"/>
                <w:lang w:eastAsia="en-AU"/>
              </w:rPr>
              <w:t>2,020</w:t>
            </w:r>
          </w:p>
        </w:tc>
        <w:tc>
          <w:tcPr>
            <w:tcW w:w="1266" w:type="dxa"/>
            <w:tcBorders>
              <w:top w:val="single" w:sz="8" w:space="0" w:color="D9D9D9"/>
              <w:left w:val="nil"/>
              <w:bottom w:val="single" w:sz="4" w:space="0" w:color="D9D9D9" w:themeColor="background2" w:themeShade="D9"/>
              <w:right w:val="single" w:sz="8" w:space="0" w:color="FFFFFF"/>
            </w:tcBorders>
            <w:shd w:val="clear" w:color="auto" w:fill="F2F2F2"/>
            <w:vAlign w:val="center"/>
            <w:hideMark/>
          </w:tcPr>
          <w:p w14:paraId="7276E90D" w14:textId="2132FDE2" w:rsidR="00BB0088" w:rsidRPr="0009351E" w:rsidRDefault="00BB0088" w:rsidP="00BB0088">
            <w:pPr>
              <w:spacing w:before="40" w:after="40"/>
              <w:jc w:val="right"/>
              <w:rPr>
                <w:rFonts w:eastAsia="Times New Roman" w:cs="Arial"/>
                <w:color w:val="000000"/>
                <w:sz w:val="16"/>
                <w:szCs w:val="16"/>
                <w:lang w:eastAsia="en-AU"/>
              </w:rPr>
            </w:pPr>
            <w:r w:rsidRPr="007743D5">
              <w:rPr>
                <w:rFonts w:eastAsia="Times New Roman" w:cs="Arial"/>
                <w:color w:val="000000"/>
                <w:sz w:val="16"/>
                <w:szCs w:val="16"/>
                <w:lang w:eastAsia="en-AU"/>
              </w:rPr>
              <w:t>220</w:t>
            </w:r>
          </w:p>
        </w:tc>
      </w:tr>
      <w:tr w:rsidR="00BB0088" w:rsidRPr="0024020B" w14:paraId="1CFC07F3" w14:textId="77777777" w:rsidTr="00AF2065">
        <w:trPr>
          <w:trHeight w:val="290"/>
          <w:jc w:val="center"/>
        </w:trPr>
        <w:tc>
          <w:tcPr>
            <w:tcW w:w="1235" w:type="dxa"/>
            <w:tcBorders>
              <w:top w:val="single" w:sz="4" w:space="0" w:color="D9D9D9" w:themeColor="background2" w:themeShade="D9"/>
              <w:left w:val="nil"/>
              <w:bottom w:val="single" w:sz="4" w:space="0" w:color="D9D9D9" w:themeColor="background2" w:themeShade="D9"/>
              <w:right w:val="single" w:sz="8" w:space="0" w:color="FFFFFF"/>
            </w:tcBorders>
            <w:vAlign w:val="center"/>
          </w:tcPr>
          <w:p w14:paraId="23DE7F9C" w14:textId="61DD5DF7" w:rsidR="00BB0088" w:rsidRPr="00BB0088" w:rsidRDefault="00BB0088" w:rsidP="00BB0088">
            <w:pPr>
              <w:spacing w:before="40" w:after="40"/>
              <w:jc w:val="center"/>
              <w:rPr>
                <w:rFonts w:cs="Arial"/>
                <w:sz w:val="16"/>
                <w:szCs w:val="16"/>
              </w:rPr>
            </w:pPr>
            <w:r w:rsidRPr="007743D5">
              <w:rPr>
                <w:rFonts w:eastAsia="Times New Roman" w:cs="Arial"/>
                <w:color w:val="000000"/>
                <w:sz w:val="16"/>
                <w:szCs w:val="16"/>
                <w:lang w:eastAsia="en-AU"/>
              </w:rPr>
              <w:t>10.15</w:t>
            </w:r>
          </w:p>
        </w:tc>
        <w:tc>
          <w:tcPr>
            <w:tcW w:w="3868" w:type="dxa"/>
            <w:tcBorders>
              <w:top w:val="single" w:sz="8" w:space="0" w:color="D9D9D9"/>
              <w:left w:val="nil"/>
              <w:bottom w:val="single" w:sz="8" w:space="0" w:color="D9D9D9"/>
              <w:right w:val="single" w:sz="8" w:space="0" w:color="FFFFFF"/>
            </w:tcBorders>
            <w:shd w:val="clear" w:color="auto" w:fill="F2F2F2"/>
            <w:vAlign w:val="center"/>
          </w:tcPr>
          <w:p w14:paraId="29D23C2B" w14:textId="0BDDF132" w:rsidR="00BB0088" w:rsidRPr="00BB0088" w:rsidRDefault="00BB0088" w:rsidP="00BB0088">
            <w:pPr>
              <w:spacing w:before="40" w:after="40"/>
              <w:rPr>
                <w:rFonts w:cs="Arial"/>
                <w:sz w:val="16"/>
                <w:szCs w:val="16"/>
              </w:rPr>
            </w:pPr>
            <w:r w:rsidRPr="007743D5">
              <w:rPr>
                <w:rFonts w:eastAsia="Times New Roman" w:cs="Arial"/>
                <w:color w:val="000000"/>
                <w:sz w:val="16"/>
                <w:szCs w:val="16"/>
                <w:lang w:eastAsia="en-AU"/>
              </w:rPr>
              <w:t>Renal Dialysis - Haemodialysis - Home Delivered</w:t>
            </w:r>
          </w:p>
        </w:tc>
        <w:tc>
          <w:tcPr>
            <w:tcW w:w="1418" w:type="dxa"/>
            <w:tcBorders>
              <w:top w:val="single" w:sz="8" w:space="0" w:color="D9D9D9"/>
              <w:left w:val="nil"/>
              <w:bottom w:val="single" w:sz="8" w:space="0" w:color="D9D9D9"/>
              <w:right w:val="single" w:sz="8" w:space="0" w:color="FFFFFF"/>
            </w:tcBorders>
            <w:shd w:val="clear" w:color="auto" w:fill="F2F2F2"/>
            <w:vAlign w:val="center"/>
          </w:tcPr>
          <w:p w14:paraId="015B15D1" w14:textId="6C8024C8" w:rsidR="00BB0088" w:rsidRPr="00BB0088" w:rsidRDefault="00BB0088" w:rsidP="00BB0088">
            <w:pPr>
              <w:spacing w:before="40" w:after="40"/>
              <w:jc w:val="right"/>
              <w:rPr>
                <w:rFonts w:cs="Arial"/>
                <w:sz w:val="16"/>
                <w:szCs w:val="16"/>
              </w:rPr>
            </w:pPr>
            <w:r w:rsidRPr="007743D5">
              <w:rPr>
                <w:rFonts w:eastAsia="Times New Roman" w:cs="Arial"/>
                <w:color w:val="000000"/>
                <w:sz w:val="16"/>
                <w:szCs w:val="16"/>
                <w:lang w:eastAsia="en-AU"/>
              </w:rPr>
              <w:t>2,486</w:t>
            </w:r>
          </w:p>
        </w:tc>
        <w:tc>
          <w:tcPr>
            <w:tcW w:w="1285" w:type="dxa"/>
            <w:tcBorders>
              <w:top w:val="single" w:sz="8" w:space="0" w:color="D9D9D9"/>
              <w:left w:val="nil"/>
              <w:bottom w:val="single" w:sz="8" w:space="0" w:color="D9D9D9"/>
              <w:right w:val="single" w:sz="8" w:space="0" w:color="FFFFFF"/>
            </w:tcBorders>
            <w:shd w:val="clear" w:color="auto" w:fill="F2F2F2"/>
            <w:vAlign w:val="center"/>
          </w:tcPr>
          <w:p w14:paraId="1E609E63" w14:textId="7F96BF03" w:rsidR="00BB0088" w:rsidRPr="00BB0088" w:rsidRDefault="00BB0088" w:rsidP="00BB0088">
            <w:pPr>
              <w:spacing w:before="40" w:after="40"/>
              <w:jc w:val="right"/>
              <w:rPr>
                <w:rFonts w:cs="Arial"/>
                <w:sz w:val="16"/>
                <w:szCs w:val="16"/>
              </w:rPr>
            </w:pPr>
            <w:r w:rsidRPr="007743D5">
              <w:rPr>
                <w:rFonts w:eastAsia="Times New Roman" w:cs="Arial"/>
                <w:color w:val="000000"/>
                <w:sz w:val="16"/>
                <w:szCs w:val="16"/>
                <w:lang w:eastAsia="en-AU"/>
              </w:rPr>
              <w:t>2,282</w:t>
            </w:r>
          </w:p>
        </w:tc>
        <w:tc>
          <w:tcPr>
            <w:tcW w:w="1266" w:type="dxa"/>
            <w:tcBorders>
              <w:top w:val="single" w:sz="4" w:space="0" w:color="D9D9D9" w:themeColor="background2" w:themeShade="D9"/>
              <w:left w:val="nil"/>
              <w:bottom w:val="single" w:sz="4" w:space="0" w:color="D9D9D9" w:themeColor="background2" w:themeShade="D9"/>
              <w:right w:val="single" w:sz="8" w:space="0" w:color="FFFFFF"/>
            </w:tcBorders>
            <w:shd w:val="clear" w:color="auto" w:fill="F2F2F2"/>
            <w:vAlign w:val="center"/>
          </w:tcPr>
          <w:p w14:paraId="7BA8FCED" w14:textId="68B65E31" w:rsidR="00BB0088" w:rsidRPr="0009351E" w:rsidRDefault="00BB0088" w:rsidP="00BB0088">
            <w:pPr>
              <w:spacing w:before="40" w:after="40"/>
              <w:jc w:val="right"/>
              <w:rPr>
                <w:rFonts w:eastAsia="Times New Roman" w:cs="Arial"/>
                <w:color w:val="000000"/>
                <w:sz w:val="16"/>
                <w:szCs w:val="16"/>
                <w:lang w:eastAsia="en-AU"/>
              </w:rPr>
            </w:pPr>
            <w:r w:rsidRPr="007743D5">
              <w:rPr>
                <w:rFonts w:eastAsia="Times New Roman" w:cs="Arial"/>
                <w:color w:val="000000"/>
                <w:sz w:val="16"/>
                <w:szCs w:val="16"/>
                <w:lang w:eastAsia="en-AU"/>
              </w:rPr>
              <w:t>204</w:t>
            </w:r>
          </w:p>
        </w:tc>
      </w:tr>
    </w:tbl>
    <w:p w14:paraId="3C27584E" w14:textId="2EF05928" w:rsidR="0069297D" w:rsidRPr="000F21B4" w:rsidRDefault="0069297D" w:rsidP="0069297D">
      <w:pPr>
        <w:pStyle w:val="Heading3"/>
        <w:rPr>
          <w:sz w:val="28"/>
          <w:szCs w:val="28"/>
        </w:rPr>
      </w:pPr>
      <w:r w:rsidRPr="000F21B4">
        <w:rPr>
          <w:sz w:val="28"/>
          <w:szCs w:val="28"/>
        </w:rPr>
        <w:t>Non-admitted cost buckets</w:t>
      </w:r>
      <w:bookmarkEnd w:id="325"/>
      <w:bookmarkEnd w:id="326"/>
      <w:bookmarkEnd w:id="327"/>
    </w:p>
    <w:p w14:paraId="4C7385EC" w14:textId="61676696" w:rsidR="0069297D" w:rsidRDefault="000E1AA0" w:rsidP="0069297D">
      <w:pPr>
        <w:spacing w:line="276" w:lineRule="auto"/>
        <w:rPr>
          <w:rFonts w:cs="Arial"/>
          <w:color w:val="auto"/>
        </w:rPr>
      </w:pPr>
      <w:r>
        <w:rPr>
          <w:rFonts w:cs="Arial"/>
          <w:color w:val="auto"/>
        </w:rPr>
        <w:fldChar w:fldCharType="begin"/>
      </w:r>
      <w:r>
        <w:rPr>
          <w:rFonts w:cs="Arial"/>
          <w:color w:val="auto"/>
        </w:rPr>
        <w:instrText xml:space="preserve"> REF _Ref185848432 \h  \* MERGEFORMAT </w:instrText>
      </w:r>
      <w:r>
        <w:rPr>
          <w:rFonts w:cs="Arial"/>
          <w:color w:val="auto"/>
        </w:rPr>
      </w:r>
      <w:r>
        <w:rPr>
          <w:rFonts w:cs="Arial"/>
          <w:color w:val="auto"/>
        </w:rPr>
        <w:fldChar w:fldCharType="separate"/>
      </w:r>
      <w:r w:rsidR="00A9792C" w:rsidRPr="00303546">
        <w:rPr>
          <w:rStyle w:val="Cross-referenceChar"/>
        </w:rPr>
        <w:t>Figure</w:t>
      </w:r>
      <w:r w:rsidR="00A9792C" w:rsidRPr="00303546">
        <w:rPr>
          <w:rFonts w:cstheme="majorBidi"/>
          <w:color w:val="104F99" w:themeColor="accent2"/>
          <w:lang w:val="en-PH"/>
        </w:rPr>
        <w:t xml:space="preserve"> </w:t>
      </w:r>
      <w:r w:rsidR="00A9792C">
        <w:rPr>
          <w:rFonts w:cstheme="majorBidi"/>
          <w:noProof/>
          <w:lang w:val="en-PH"/>
        </w:rPr>
        <w:t>22</w:t>
      </w:r>
      <w:r>
        <w:rPr>
          <w:rFonts w:cs="Arial"/>
          <w:color w:val="auto"/>
        </w:rPr>
        <w:fldChar w:fldCharType="end"/>
      </w:r>
      <w:r w:rsidR="0069297D" w:rsidRPr="00CE058E">
        <w:rPr>
          <w:rFonts w:cs="Arial"/>
          <w:color w:val="auto"/>
        </w:rPr>
        <w:t xml:space="preserve"> shows the </w:t>
      </w:r>
      <w:r w:rsidR="004F37E9">
        <w:rPr>
          <w:rFonts w:cs="Arial"/>
          <w:color w:val="auto"/>
        </w:rPr>
        <w:t xml:space="preserve">top 10 cost buckets contributing to the national </w:t>
      </w:r>
      <w:r w:rsidR="0069297D" w:rsidRPr="00CE058E">
        <w:rPr>
          <w:rFonts w:cs="Arial"/>
          <w:color w:val="auto"/>
        </w:rPr>
        <w:t xml:space="preserve">non-admitted </w:t>
      </w:r>
      <w:r w:rsidR="004F37E9">
        <w:rPr>
          <w:rFonts w:cs="Arial"/>
          <w:color w:val="auto"/>
        </w:rPr>
        <w:t xml:space="preserve">service event </w:t>
      </w:r>
      <w:r w:rsidR="00183417" w:rsidRPr="00183417">
        <w:rPr>
          <w:rFonts w:cs="Arial"/>
          <w:color w:val="auto"/>
        </w:rPr>
        <w:t>average cost in 2022-23</w:t>
      </w:r>
      <w:r w:rsidR="0010490F">
        <w:rPr>
          <w:rFonts w:cs="Arial"/>
          <w:color w:val="auto"/>
        </w:rPr>
        <w:t>, in comparison to 2020-21 and 2021-22</w:t>
      </w:r>
      <w:r w:rsidR="0069297D" w:rsidRPr="00CE058E">
        <w:rPr>
          <w:rFonts w:cs="Arial"/>
          <w:color w:val="auto"/>
        </w:rPr>
        <w:t xml:space="preserve">. The </w:t>
      </w:r>
      <w:r w:rsidR="00847DC8">
        <w:rPr>
          <w:rFonts w:cs="Arial"/>
          <w:color w:val="auto"/>
        </w:rPr>
        <w:t xml:space="preserve">medical, </w:t>
      </w:r>
      <w:r w:rsidR="0069297D" w:rsidRPr="00CE058E">
        <w:rPr>
          <w:rFonts w:cs="Arial"/>
          <w:color w:val="auto"/>
        </w:rPr>
        <w:t xml:space="preserve">pharmacy, and </w:t>
      </w:r>
      <w:r w:rsidR="001A5034">
        <w:rPr>
          <w:rFonts w:cs="Arial"/>
          <w:color w:val="auto"/>
        </w:rPr>
        <w:t xml:space="preserve">nursing </w:t>
      </w:r>
      <w:r w:rsidR="0069297D" w:rsidRPr="00CE058E">
        <w:rPr>
          <w:rFonts w:cs="Arial"/>
          <w:color w:val="auto"/>
        </w:rPr>
        <w:t xml:space="preserve">cost buckets accounted for </w:t>
      </w:r>
      <w:r w:rsidR="008E23CB">
        <w:rPr>
          <w:rFonts w:cs="Arial"/>
          <w:color w:val="auto"/>
        </w:rPr>
        <w:t>50</w:t>
      </w:r>
      <w:r w:rsidR="0069297D">
        <w:rPr>
          <w:rFonts w:cs="Arial"/>
          <w:color w:val="auto"/>
        </w:rPr>
        <w:t>%</w:t>
      </w:r>
      <w:r w:rsidR="0069297D" w:rsidRPr="00CE058E">
        <w:rPr>
          <w:rFonts w:cs="Arial"/>
          <w:color w:val="auto"/>
        </w:rPr>
        <w:t xml:space="preserve"> of the </w:t>
      </w:r>
      <w:r w:rsidR="008E23CB">
        <w:rPr>
          <w:rFonts w:cs="Arial"/>
          <w:color w:val="auto"/>
        </w:rPr>
        <w:t>in</w:t>
      </w:r>
      <w:r w:rsidR="0069297D" w:rsidRPr="00CE058E">
        <w:rPr>
          <w:rFonts w:cs="Arial"/>
          <w:color w:val="auto"/>
        </w:rPr>
        <w:t xml:space="preserve">crease in the average cost per non-admitted service event from </w:t>
      </w:r>
      <w:r w:rsidR="0069297D">
        <w:rPr>
          <w:rFonts w:cs="Arial"/>
          <w:color w:val="auto"/>
        </w:rPr>
        <w:t>2021-22</w:t>
      </w:r>
      <w:r w:rsidR="0069297D" w:rsidRPr="00CE058E">
        <w:rPr>
          <w:rFonts w:cs="Arial"/>
          <w:color w:val="auto"/>
        </w:rPr>
        <w:t xml:space="preserve"> to </w:t>
      </w:r>
      <w:r w:rsidR="0069297D" w:rsidRPr="00A32EB6">
        <w:rPr>
          <w:rFonts w:cstheme="majorBidi"/>
          <w:color w:val="auto"/>
          <w:lang w:val="en-PH"/>
        </w:rPr>
        <w:t>2022-23</w:t>
      </w:r>
      <w:r w:rsidR="0069297D" w:rsidRPr="00CE058E">
        <w:rPr>
          <w:rFonts w:cs="Arial"/>
          <w:color w:val="auto"/>
        </w:rPr>
        <w:t xml:space="preserve">. </w:t>
      </w:r>
      <w:r w:rsidR="006F24F8">
        <w:rPr>
          <w:rFonts w:cs="Arial"/>
          <w:color w:val="auto"/>
        </w:rPr>
        <w:t>Further detail on</w:t>
      </w:r>
      <w:r w:rsidR="00AA0720" w:rsidRPr="00AA0720">
        <w:rPr>
          <w:rFonts w:cs="Arial"/>
          <w:color w:val="auto"/>
        </w:rPr>
        <w:t xml:space="preserve"> all </w:t>
      </w:r>
      <w:r w:rsidR="00AA0720">
        <w:rPr>
          <w:rFonts w:cs="Arial"/>
          <w:color w:val="auto"/>
        </w:rPr>
        <w:t>non-</w:t>
      </w:r>
      <w:r w:rsidR="00AA0720" w:rsidRPr="00AA0720">
        <w:rPr>
          <w:rFonts w:cs="Arial"/>
          <w:color w:val="auto"/>
        </w:rPr>
        <w:t xml:space="preserve">admitted cost by cost bucket is available in the </w:t>
      </w:r>
      <w:hyperlink r:id="rId56" w:history="1">
        <w:r w:rsidR="00AA0720" w:rsidRPr="00AA0720">
          <w:rPr>
            <w:rStyle w:val="Hyperlink"/>
            <w:rFonts w:cs="Arial"/>
          </w:rPr>
          <w:t>Appendix Tables</w:t>
        </w:r>
      </w:hyperlink>
      <w:r w:rsidR="00AA0720" w:rsidRPr="00AA0720">
        <w:rPr>
          <w:rFonts w:cs="Arial"/>
          <w:color w:val="auto"/>
        </w:rPr>
        <w:t>.</w:t>
      </w:r>
    </w:p>
    <w:p w14:paraId="06E5838F" w14:textId="4AA4887E" w:rsidR="0069297D" w:rsidRDefault="0069297D" w:rsidP="0069297D">
      <w:pPr>
        <w:pStyle w:val="TableFigureheading"/>
        <w:spacing w:before="240" w:after="240"/>
        <w:rPr>
          <w:rFonts w:cstheme="majorBidi"/>
          <w:szCs w:val="22"/>
          <w:lang w:val="en-PH"/>
        </w:rPr>
      </w:pPr>
      <w:bookmarkStart w:id="340" w:name="_Ref185848432"/>
      <w:bookmarkStart w:id="341" w:name="_Toc187312118"/>
      <w:r w:rsidRPr="0093558C">
        <w:rPr>
          <w:rFonts w:cstheme="majorBidi"/>
          <w:szCs w:val="22"/>
          <w:lang w:val="en-PH"/>
        </w:rPr>
        <w:t xml:space="preserve">Figure </w:t>
      </w:r>
      <w:r w:rsidRPr="0093558C">
        <w:rPr>
          <w:rFonts w:cstheme="majorBidi"/>
          <w:iCs w:val="0"/>
          <w:lang w:val="en-PH"/>
        </w:rPr>
        <w:fldChar w:fldCharType="begin"/>
      </w:r>
      <w:r w:rsidRPr="0093558C">
        <w:rPr>
          <w:rFonts w:cstheme="majorBidi"/>
          <w:szCs w:val="22"/>
          <w:lang w:val="en-PH"/>
        </w:rPr>
        <w:instrText xml:space="preserve"> SEQ Figure \* ARABIC </w:instrText>
      </w:r>
      <w:r w:rsidRPr="0093558C">
        <w:rPr>
          <w:rFonts w:cstheme="majorBidi"/>
          <w:iCs w:val="0"/>
          <w:lang w:val="en-PH"/>
        </w:rPr>
        <w:fldChar w:fldCharType="separate"/>
      </w:r>
      <w:r w:rsidR="00A9792C">
        <w:rPr>
          <w:rFonts w:cstheme="majorBidi"/>
          <w:noProof/>
          <w:szCs w:val="22"/>
          <w:lang w:val="en-PH"/>
        </w:rPr>
        <w:t>22</w:t>
      </w:r>
      <w:r w:rsidRPr="0093558C">
        <w:rPr>
          <w:rFonts w:cstheme="majorBidi"/>
          <w:iCs w:val="0"/>
          <w:lang w:val="en-PH"/>
        </w:rPr>
        <w:fldChar w:fldCharType="end"/>
      </w:r>
      <w:bookmarkEnd w:id="340"/>
      <w:r w:rsidRPr="0093558C">
        <w:rPr>
          <w:rFonts w:cstheme="majorBidi"/>
          <w:szCs w:val="22"/>
          <w:lang w:val="en-PH"/>
        </w:rPr>
        <w:t xml:space="preserve">: </w:t>
      </w:r>
      <w:r w:rsidR="00EB5D1F">
        <w:rPr>
          <w:rFonts w:cstheme="majorBidi"/>
          <w:szCs w:val="22"/>
          <w:lang w:val="en-PH"/>
        </w:rPr>
        <w:t>Top 10 cost buckets in non-admitted service event</w:t>
      </w:r>
      <w:r w:rsidR="00762852">
        <w:rPr>
          <w:rFonts w:cstheme="majorBidi"/>
          <w:szCs w:val="22"/>
          <w:lang w:val="en-PH"/>
        </w:rPr>
        <w:t>s</w:t>
      </w:r>
      <w:r w:rsidRPr="0093558C">
        <w:rPr>
          <w:rFonts w:cstheme="majorBidi"/>
          <w:szCs w:val="22"/>
          <w:lang w:val="en-PH"/>
        </w:rPr>
        <w:t xml:space="preserve">, </w:t>
      </w:r>
      <w:r w:rsidRPr="00D73FCC">
        <w:rPr>
          <w:rFonts w:cstheme="majorBidi"/>
          <w:szCs w:val="22"/>
          <w:lang w:val="en-PH"/>
        </w:rPr>
        <w:t>2020-21</w:t>
      </w:r>
      <w:r w:rsidRPr="0093558C">
        <w:rPr>
          <w:rFonts w:cstheme="majorBidi"/>
          <w:szCs w:val="22"/>
          <w:lang w:val="en-PH"/>
        </w:rPr>
        <w:t xml:space="preserve"> to </w:t>
      </w:r>
      <w:r w:rsidRPr="008B2CD8">
        <w:rPr>
          <w:rFonts w:cstheme="majorBidi"/>
          <w:szCs w:val="22"/>
          <w:lang w:val="en-PH"/>
        </w:rPr>
        <w:t>202</w:t>
      </w:r>
      <w:r>
        <w:rPr>
          <w:rFonts w:cstheme="majorBidi"/>
          <w:szCs w:val="22"/>
          <w:lang w:val="en-PH"/>
        </w:rPr>
        <w:t>2</w:t>
      </w:r>
      <w:r w:rsidRPr="008B2CD8">
        <w:rPr>
          <w:rFonts w:cstheme="majorBidi"/>
          <w:szCs w:val="22"/>
          <w:lang w:val="en-PH"/>
        </w:rPr>
        <w:t>-2</w:t>
      </w:r>
      <w:r>
        <w:rPr>
          <w:rFonts w:cstheme="majorBidi"/>
          <w:szCs w:val="22"/>
          <w:lang w:val="en-PH"/>
        </w:rPr>
        <w:t>3</w:t>
      </w:r>
      <w:bookmarkEnd w:id="341"/>
    </w:p>
    <w:p w14:paraId="7C0E2F1F" w14:textId="1D0D25A6" w:rsidR="003C759C" w:rsidRPr="00A32EB6" w:rsidRDefault="00216BAD" w:rsidP="008322B2">
      <w:r>
        <w:rPr>
          <w:noProof/>
        </w:rPr>
        <w:drawing>
          <wp:inline distT="0" distB="0" distL="0" distR="0" wp14:anchorId="6B5F985F" wp14:editId="0F780D34">
            <wp:extent cx="6185225" cy="2520000"/>
            <wp:effectExtent l="0" t="0" r="6350" b="0"/>
            <wp:docPr id="1995607176" name="Chart 1">
              <a:extLst xmlns:a="http://schemas.openxmlformats.org/drawingml/2006/main">
                <a:ext uri="{FF2B5EF4-FFF2-40B4-BE49-F238E27FC236}">
                  <a16:creationId xmlns:a16="http://schemas.microsoft.com/office/drawing/2014/main" id="{E09CA8E6-90BB-45C2-BE9A-B2070F468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5CE78C9" w14:textId="1A39F8A5" w:rsidR="003C759C" w:rsidRPr="00530E79" w:rsidRDefault="00F0701B" w:rsidP="00CA7643">
      <w:r w:rsidRPr="00303546">
        <w:rPr>
          <w:rStyle w:val="Cross-referenceChar"/>
        </w:rPr>
        <w:fldChar w:fldCharType="begin"/>
      </w:r>
      <w:r w:rsidRPr="00303546">
        <w:rPr>
          <w:rStyle w:val="Cross-referenceChar"/>
        </w:rPr>
        <w:instrText xml:space="preserve"> REF _Ref185848674 \h </w:instrText>
      </w:r>
      <w:r>
        <w:rPr>
          <w:rStyle w:val="Cross-referenceChar"/>
        </w:rPr>
        <w:instrText xml:space="preserve"> \* MERGEFORMAT </w:instrText>
      </w:r>
      <w:r w:rsidRPr="00303546">
        <w:rPr>
          <w:rStyle w:val="Cross-referenceChar"/>
        </w:rPr>
      </w:r>
      <w:r w:rsidRPr="00303546">
        <w:rPr>
          <w:rStyle w:val="Cross-referenceChar"/>
        </w:rPr>
        <w:fldChar w:fldCharType="separate"/>
      </w:r>
      <w:r w:rsidRPr="00303546">
        <w:rPr>
          <w:rStyle w:val="Cross-referenceChar"/>
        </w:rPr>
        <w:t>Table 24</w:t>
      </w:r>
      <w:r w:rsidRPr="00303546">
        <w:rPr>
          <w:rStyle w:val="Cross-referenceChar"/>
        </w:rPr>
        <w:fldChar w:fldCharType="end"/>
      </w:r>
      <w:r w:rsidR="00CA7643" w:rsidRPr="00410D79">
        <w:t xml:space="preserve"> </w:t>
      </w:r>
      <w:r w:rsidR="00410D79" w:rsidRPr="00410D79">
        <w:t>shows the average cost for 2021-22</w:t>
      </w:r>
      <w:r w:rsidR="00183417">
        <w:t xml:space="preserve"> and</w:t>
      </w:r>
      <w:r w:rsidR="00410D79" w:rsidRPr="00410D79">
        <w:t xml:space="preserve"> 2022-23, </w:t>
      </w:r>
      <w:r w:rsidR="00615FA6">
        <w:t xml:space="preserve">distribution of cost in </w:t>
      </w:r>
      <w:r w:rsidR="00410D79" w:rsidRPr="00410D79">
        <w:t xml:space="preserve">2022-23, </w:t>
      </w:r>
      <w:r w:rsidR="00615FA6">
        <w:t xml:space="preserve">percentage change and actual change by </w:t>
      </w:r>
      <w:r w:rsidR="00410D79" w:rsidRPr="00410D79">
        <w:t>cost bucket change from 2021-22 to 2022-23.</w:t>
      </w:r>
      <w:r w:rsidR="00615FA6">
        <w:t xml:space="preserve"> </w:t>
      </w:r>
      <w:r w:rsidR="009156E0">
        <w:t xml:space="preserve">The </w:t>
      </w:r>
      <w:r w:rsidR="009156E0" w:rsidRPr="00530E79">
        <w:rPr>
          <w:rFonts w:cs="Arial"/>
        </w:rPr>
        <w:t xml:space="preserve">medical, pharmacy, nursing, allied health, and non-clinical </w:t>
      </w:r>
      <w:r w:rsidR="009156E0">
        <w:rPr>
          <w:rFonts w:cs="Arial"/>
        </w:rPr>
        <w:t xml:space="preserve">cost buckets </w:t>
      </w:r>
      <w:r w:rsidR="009156E0" w:rsidRPr="00530E79">
        <w:rPr>
          <w:rFonts w:cs="Arial"/>
        </w:rPr>
        <w:t>accounted for 66% of the average cost per non-admitted service event nationally.</w:t>
      </w:r>
      <w:r w:rsidR="009156E0">
        <w:rPr>
          <w:rFonts w:cs="Arial"/>
        </w:rPr>
        <w:t xml:space="preserve"> </w:t>
      </w:r>
      <w:r w:rsidR="00615FA6">
        <w:t xml:space="preserve">The last column shows the proportion </w:t>
      </w:r>
      <w:r w:rsidR="00E76161">
        <w:t>the</w:t>
      </w:r>
      <w:r w:rsidR="00615FA6">
        <w:t xml:space="preserve"> actual change in each cost bucket contributes to the total actual change between 2021-22 and 2022-23.</w:t>
      </w:r>
      <w:r w:rsidR="00D14328">
        <w:t xml:space="preserve"> </w:t>
      </w:r>
      <w:r w:rsidR="00D14328" w:rsidRPr="00D4139F">
        <w:rPr>
          <w:rFonts w:cs="Arial"/>
        </w:rPr>
        <w:t xml:space="preserve">The pharmacy, medical and allied health cost buckets accounted for 52% of the $78 increase in the average cost per non-admitted service event nationally, from 2021-22 to </w:t>
      </w:r>
      <w:r w:rsidR="00D14328" w:rsidRPr="00D4139F">
        <w:rPr>
          <w:rFonts w:cstheme="majorBidi"/>
          <w:lang w:val="en-PH"/>
        </w:rPr>
        <w:t>2022</w:t>
      </w:r>
      <w:r w:rsidR="00D14328" w:rsidRPr="00D4139F">
        <w:rPr>
          <w:rFonts w:cstheme="majorBidi"/>
          <w:lang w:val="en-PH"/>
        </w:rPr>
        <w:noBreakHyphen/>
        <w:t>23</w:t>
      </w:r>
      <w:r w:rsidR="00D14328" w:rsidRPr="00D4139F">
        <w:rPr>
          <w:rFonts w:cs="Arial"/>
        </w:rPr>
        <w:t>.</w:t>
      </w:r>
    </w:p>
    <w:p w14:paraId="3122D006" w14:textId="77777777" w:rsidR="003C759C" w:rsidRDefault="003C759C">
      <w:pPr>
        <w:spacing w:line="259" w:lineRule="auto"/>
        <w:rPr>
          <w:rFonts w:cs="Arial"/>
          <w:color w:val="auto"/>
        </w:rPr>
      </w:pPr>
      <w:r>
        <w:rPr>
          <w:rFonts w:cs="Arial"/>
          <w:color w:val="auto"/>
        </w:rPr>
        <w:br w:type="page"/>
      </w:r>
    </w:p>
    <w:p w14:paraId="3F050DCA" w14:textId="4FB05AFE" w:rsidR="009F4C3D" w:rsidRDefault="00E04435" w:rsidP="00303546">
      <w:pPr>
        <w:pStyle w:val="TableFigureheading"/>
        <w:rPr>
          <w:lang w:val="en-PH"/>
        </w:rPr>
      </w:pPr>
      <w:bookmarkStart w:id="342" w:name="_Ref185848674"/>
      <w:bookmarkStart w:id="343" w:name="_Toc185852231"/>
      <w:bookmarkStart w:id="344" w:name="_Toc187312150"/>
      <w:r>
        <w:rPr>
          <w:lang w:val="en-PH"/>
        </w:rPr>
        <w:lastRenderedPageBreak/>
        <w:t>Table</w:t>
      </w:r>
      <w:r w:rsidR="009F4C3D" w:rsidRPr="0093558C">
        <w:rPr>
          <w:lang w:val="en-PH"/>
        </w:rPr>
        <w:t xml:space="preserve"> </w:t>
      </w:r>
      <w:r>
        <w:rPr>
          <w:lang w:val="en-PH"/>
        </w:rPr>
        <w:fldChar w:fldCharType="begin"/>
      </w:r>
      <w:r>
        <w:rPr>
          <w:lang w:val="en-PH"/>
        </w:rPr>
        <w:instrText xml:space="preserve"> SEQ Table \* ARABIC </w:instrText>
      </w:r>
      <w:r>
        <w:rPr>
          <w:lang w:val="en-PH"/>
        </w:rPr>
        <w:fldChar w:fldCharType="separate"/>
      </w:r>
      <w:r w:rsidR="00F0701B">
        <w:rPr>
          <w:noProof/>
          <w:lang w:val="en-PH"/>
        </w:rPr>
        <w:t>24</w:t>
      </w:r>
      <w:r>
        <w:rPr>
          <w:lang w:val="en-PH"/>
        </w:rPr>
        <w:fldChar w:fldCharType="end"/>
      </w:r>
      <w:bookmarkEnd w:id="342"/>
      <w:r w:rsidR="009F4C3D" w:rsidRPr="0093558C">
        <w:rPr>
          <w:lang w:val="en-PH"/>
        </w:rPr>
        <w:t xml:space="preserve">: </w:t>
      </w:r>
      <w:r w:rsidR="00582CCB">
        <w:rPr>
          <w:lang w:val="en-PH"/>
        </w:rPr>
        <w:t>National average cost per</w:t>
      </w:r>
      <w:r w:rsidR="004A2344">
        <w:rPr>
          <w:lang w:val="en-PH"/>
        </w:rPr>
        <w:t xml:space="preserve"> Tier 2</w:t>
      </w:r>
      <w:r w:rsidR="00582CCB">
        <w:rPr>
          <w:lang w:val="en-PH"/>
        </w:rPr>
        <w:t xml:space="preserve"> service event by </w:t>
      </w:r>
      <w:r w:rsidR="00410D79" w:rsidRPr="00410D79">
        <w:rPr>
          <w:lang w:val="en-PH"/>
        </w:rPr>
        <w:t>cost bucket, 2022-23</w:t>
      </w:r>
      <w:bookmarkEnd w:id="343"/>
      <w:bookmarkEnd w:id="344"/>
    </w:p>
    <w:p w14:paraId="548017D7" w14:textId="3FB19CBB" w:rsidR="00216BAD" w:rsidRDefault="00EC1063" w:rsidP="00A32EB6">
      <w:pPr>
        <w:rPr>
          <w:sz w:val="28"/>
          <w:szCs w:val="28"/>
        </w:rPr>
      </w:pPr>
      <w:r>
        <w:rPr>
          <w:noProof/>
        </w:rPr>
        <w:drawing>
          <wp:inline distT="0" distB="0" distL="0" distR="0" wp14:anchorId="327CDB93" wp14:editId="618F5567">
            <wp:extent cx="6188710" cy="3618230"/>
            <wp:effectExtent l="0" t="0" r="2540" b="1270"/>
            <wp:docPr id="36882133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21333" name="Picture 1" descr="A screenshot of a graph&#10;&#10;Description automatically generated"/>
                    <pic:cNvPicPr/>
                  </pic:nvPicPr>
                  <pic:blipFill>
                    <a:blip r:embed="rId58"/>
                    <a:stretch>
                      <a:fillRect/>
                    </a:stretch>
                  </pic:blipFill>
                  <pic:spPr>
                    <a:xfrm>
                      <a:off x="0" y="0"/>
                      <a:ext cx="6188710" cy="3618230"/>
                    </a:xfrm>
                    <a:prstGeom prst="rect">
                      <a:avLst/>
                    </a:prstGeom>
                  </pic:spPr>
                </pic:pic>
              </a:graphicData>
            </a:graphic>
          </wp:inline>
        </w:drawing>
      </w:r>
    </w:p>
    <w:p w14:paraId="5F3A3047" w14:textId="4B41924E" w:rsidR="000E3EAA" w:rsidRPr="00A32EB6" w:rsidRDefault="000E3EAA" w:rsidP="00A32EB6">
      <w:pPr>
        <w:rPr>
          <w:rFonts w:eastAsiaTheme="majorEastAsia" w:cstheme="majorBidi"/>
          <w:iCs/>
          <w:color w:val="104F99" w:themeColor="accent2"/>
          <w:lang w:val="en-PH"/>
        </w:rPr>
      </w:pPr>
      <w:bookmarkStart w:id="345" w:name="_Toc144215438"/>
      <w:bookmarkStart w:id="346" w:name="_Toc144967645"/>
      <w:r>
        <w:rPr>
          <w:rFonts w:eastAsiaTheme="majorEastAsia" w:cs="Arial"/>
          <w:b/>
          <w:sz w:val="24"/>
          <w:szCs w:val="10"/>
        </w:rPr>
        <w:br w:type="page"/>
      </w:r>
    </w:p>
    <w:p w14:paraId="44C921EE" w14:textId="1C4313BA" w:rsidR="00935107" w:rsidRPr="00CE058E" w:rsidRDefault="00935107" w:rsidP="00B20DAB">
      <w:pPr>
        <w:pStyle w:val="Heading1"/>
        <w:numPr>
          <w:ilvl w:val="0"/>
          <w:numId w:val="45"/>
        </w:numPr>
        <w:spacing w:after="400"/>
        <w:ind w:left="357" w:hanging="357"/>
        <w:rPr>
          <w:rFonts w:cs="Arial"/>
          <w:bCs/>
        </w:rPr>
      </w:pPr>
      <w:bookmarkStart w:id="347" w:name="_Toc144215468"/>
      <w:bookmarkStart w:id="348" w:name="_Toc144967675"/>
      <w:bookmarkStart w:id="349" w:name="_Toc158882633"/>
      <w:bookmarkEnd w:id="345"/>
      <w:bookmarkEnd w:id="346"/>
      <w:r w:rsidRPr="00CE058E">
        <w:rPr>
          <w:rFonts w:cs="Arial"/>
          <w:bCs/>
        </w:rPr>
        <w:lastRenderedPageBreak/>
        <w:t>Admitted mental health</w:t>
      </w:r>
      <w:bookmarkEnd w:id="347"/>
      <w:bookmarkEnd w:id="348"/>
      <w:bookmarkEnd w:id="349"/>
    </w:p>
    <w:p w14:paraId="73277ED3" w14:textId="75F1A4F2" w:rsidR="00935107" w:rsidRPr="00CE058E" w:rsidRDefault="00935107" w:rsidP="00983801">
      <w:pPr>
        <w:pStyle w:val="Heading2"/>
      </w:pPr>
      <w:bookmarkStart w:id="350" w:name="_Toc144215469"/>
      <w:bookmarkStart w:id="351" w:name="_Toc144967676"/>
      <w:bookmarkStart w:id="352" w:name="_Toc151129722"/>
      <w:bookmarkStart w:id="353" w:name="_Toc158882573"/>
      <w:bookmarkStart w:id="354" w:name="_Toc158882634"/>
      <w:r w:rsidRPr="00CE058E">
        <w:t>Summary</w:t>
      </w:r>
      <w:bookmarkEnd w:id="350"/>
      <w:bookmarkEnd w:id="351"/>
      <w:bookmarkEnd w:id="352"/>
      <w:bookmarkEnd w:id="353"/>
      <w:bookmarkEnd w:id="354"/>
    </w:p>
    <w:p w14:paraId="4D395CE9" w14:textId="1E5EE3B5" w:rsidR="00935107" w:rsidRPr="00303546" w:rsidRDefault="00935107" w:rsidP="00070481">
      <w:pPr>
        <w:spacing w:line="276" w:lineRule="auto"/>
        <w:rPr>
          <w:rFonts w:eastAsia="Fira Sans regular" w:cs="Arial"/>
        </w:rPr>
      </w:pPr>
      <w:r w:rsidRPr="00303546">
        <w:rPr>
          <w:rFonts w:eastAsia="Fira Sans regular" w:cs="Arial"/>
        </w:rPr>
        <w:t>This</w:t>
      </w:r>
      <w:r w:rsidR="009A42AD" w:rsidRPr="00303546">
        <w:rPr>
          <w:rFonts w:eastAsia="Fira Sans regular" w:cs="Arial"/>
        </w:rPr>
        <w:t xml:space="preserve"> chapter outlines </w:t>
      </w:r>
      <w:r w:rsidRPr="00303546">
        <w:rPr>
          <w:rFonts w:eastAsia="Fira Sans regular" w:cs="Arial"/>
        </w:rPr>
        <w:t>the</w:t>
      </w:r>
      <w:r w:rsidR="000F48D8">
        <w:rPr>
          <w:rFonts w:eastAsia="Fira Sans regular" w:cs="Arial"/>
        </w:rPr>
        <w:t xml:space="preserve"> in-scope</w:t>
      </w:r>
      <w:r w:rsidRPr="00303546">
        <w:rPr>
          <w:rFonts w:eastAsia="Fira Sans regular" w:cs="Arial"/>
        </w:rPr>
        <w:t xml:space="preserve"> admitted mental health activity, cost, and average cost per </w:t>
      </w:r>
      <w:r w:rsidR="00D81208" w:rsidRPr="00303546">
        <w:rPr>
          <w:rFonts w:eastAsia="Fira Sans regular" w:cs="Arial"/>
        </w:rPr>
        <w:t xml:space="preserve">phase and </w:t>
      </w:r>
      <w:r w:rsidR="00D84CAB" w:rsidRPr="00303546">
        <w:rPr>
          <w:rFonts w:eastAsia="Fira Sans regular" w:cs="Arial"/>
        </w:rPr>
        <w:t xml:space="preserve">episode </w:t>
      </w:r>
      <w:r w:rsidRPr="00303546">
        <w:rPr>
          <w:rFonts w:eastAsia="Fira Sans regular" w:cs="Arial"/>
        </w:rPr>
        <w:t xml:space="preserve">from </w:t>
      </w:r>
      <w:r w:rsidR="006C13D7" w:rsidRPr="00303546">
        <w:rPr>
          <w:rFonts w:cs="Arial"/>
        </w:rPr>
        <w:t>202</w:t>
      </w:r>
      <w:r w:rsidR="00CE690C" w:rsidRPr="00303546">
        <w:rPr>
          <w:rFonts w:cs="Arial"/>
        </w:rPr>
        <w:t>0</w:t>
      </w:r>
      <w:r w:rsidR="006C13D7" w:rsidRPr="00303546">
        <w:rPr>
          <w:rFonts w:cs="Arial"/>
        </w:rPr>
        <w:t>-2</w:t>
      </w:r>
      <w:r w:rsidR="00CE690C" w:rsidRPr="00303546">
        <w:rPr>
          <w:rFonts w:cs="Arial"/>
        </w:rPr>
        <w:t>1</w:t>
      </w:r>
      <w:r w:rsidRPr="00303546">
        <w:rPr>
          <w:rFonts w:eastAsia="Fira Sans regular" w:cs="Arial"/>
        </w:rPr>
        <w:t xml:space="preserve"> to </w:t>
      </w:r>
      <w:r w:rsidR="00B82AA0" w:rsidRPr="00303546">
        <w:rPr>
          <w:rFonts w:cstheme="majorBidi"/>
          <w:lang w:val="en-PH"/>
        </w:rPr>
        <w:t>2022-23</w:t>
      </w:r>
      <w:r w:rsidRPr="00303546">
        <w:rPr>
          <w:rFonts w:eastAsia="Fira Sans regular" w:cs="Arial"/>
        </w:rPr>
        <w:t>.</w:t>
      </w:r>
    </w:p>
    <w:p w14:paraId="0524D409" w14:textId="3C4F4C48" w:rsidR="00D67878" w:rsidRPr="00303546" w:rsidRDefault="00B675ED" w:rsidP="00D67878">
      <w:pPr>
        <w:spacing w:line="276" w:lineRule="auto"/>
        <w:rPr>
          <w:rFonts w:eastAsia="Fira Sans regular" w:cs="Arial"/>
        </w:rPr>
      </w:pPr>
      <w:r w:rsidRPr="00303546">
        <w:rPr>
          <w:rFonts w:eastAsia="Fira Sans regular" w:cs="Arial"/>
        </w:rPr>
        <w:t xml:space="preserve">A </w:t>
      </w:r>
      <w:r w:rsidR="00935107" w:rsidRPr="00303546">
        <w:rPr>
          <w:rFonts w:eastAsia="Fira Sans regular" w:cs="Arial"/>
        </w:rPr>
        <w:t>mental health episode of care is defined as the period between the commencement and completion of care</w:t>
      </w:r>
      <w:r w:rsidR="00C87AEB" w:rsidRPr="00303546">
        <w:rPr>
          <w:rFonts w:eastAsia="Fira Sans regular" w:cs="Arial"/>
        </w:rPr>
        <w:t>,</w:t>
      </w:r>
      <w:r w:rsidR="00935107" w:rsidRPr="00303546">
        <w:rPr>
          <w:rFonts w:eastAsia="Fira Sans regular" w:cs="Arial"/>
        </w:rPr>
        <w:t xml:space="preserve"> characterised by the care type. </w:t>
      </w:r>
      <w:r w:rsidR="00D67878" w:rsidRPr="00303546">
        <w:rPr>
          <w:rFonts w:eastAsia="Fira Sans regular" w:cs="Arial"/>
        </w:rPr>
        <w:t>The patient may be admitted to a general ward</w:t>
      </w:r>
      <w:r w:rsidR="00540227">
        <w:rPr>
          <w:rFonts w:eastAsia="Fira Sans regular" w:cs="Arial"/>
        </w:rPr>
        <w:t>,</w:t>
      </w:r>
      <w:r w:rsidR="00D67878" w:rsidRPr="00303546">
        <w:rPr>
          <w:rFonts w:eastAsia="Fira Sans regular" w:cs="Arial"/>
        </w:rPr>
        <w:t xml:space="preserve"> or a designated psychiatric unit</w:t>
      </w:r>
      <w:r w:rsidR="00540227">
        <w:rPr>
          <w:rFonts w:eastAsia="Fira Sans regular" w:cs="Arial"/>
        </w:rPr>
        <w:t>,</w:t>
      </w:r>
      <w:r w:rsidR="00D67878" w:rsidRPr="00303546">
        <w:rPr>
          <w:rFonts w:eastAsia="Fira Sans regular" w:cs="Arial"/>
        </w:rPr>
        <w:t xml:space="preserve"> in a general hospital or a psychiatric hospital.</w:t>
      </w:r>
      <w:r w:rsidR="00EA134E" w:rsidRPr="00303546">
        <w:rPr>
          <w:rFonts w:eastAsia="Fira Sans regular" w:cs="Arial"/>
        </w:rPr>
        <w:t xml:space="preserve"> </w:t>
      </w:r>
      <w:r w:rsidR="00D67878" w:rsidRPr="00303546">
        <w:rPr>
          <w:rFonts w:eastAsia="Fira Sans regular" w:cs="Arial"/>
        </w:rPr>
        <w:t>Mental health phase of care is defined as the ‘primary goal of care that is reflected in the consumer’s mental health treatment plan at the time of collection, for the next stage in the patient’s care</w:t>
      </w:r>
      <w:r w:rsidR="00983801">
        <w:rPr>
          <w:rFonts w:eastAsia="Fira Sans regular" w:cs="Arial"/>
        </w:rPr>
        <w:t>’</w:t>
      </w:r>
      <w:r w:rsidR="004004AC" w:rsidRPr="00303546">
        <w:rPr>
          <w:rFonts w:eastAsia="Fira Sans regular" w:cs="Arial"/>
        </w:rPr>
        <w:t>.</w:t>
      </w:r>
      <w:r w:rsidR="00D67878" w:rsidRPr="00303546">
        <w:rPr>
          <w:rFonts w:eastAsia="Fira Sans regular" w:cs="Arial"/>
        </w:rPr>
        <w:t xml:space="preserve"> It reflects the prospective assessment of the primary goal of care, rather than a retrospective assessment.</w:t>
      </w:r>
      <w:r w:rsidR="00983801">
        <w:rPr>
          <w:rFonts w:eastAsia="Fira Sans regular" w:cs="Arial"/>
        </w:rPr>
        <w:t xml:space="preserve"> </w:t>
      </w:r>
      <w:r w:rsidR="00983801" w:rsidRPr="00303546">
        <w:rPr>
          <w:rFonts w:eastAsia="Fira Sans regular" w:cs="Arial"/>
        </w:rPr>
        <w:t>There are 5 phases of care: assessment only, acute, functional gain, intensive extended and consolidating gain.</w:t>
      </w:r>
      <w:r w:rsidR="00983801">
        <w:rPr>
          <w:rFonts w:eastAsia="Fira Sans regular" w:cs="Arial"/>
        </w:rPr>
        <w:t xml:space="preserve"> </w:t>
      </w:r>
      <w:r w:rsidR="00983801" w:rsidRPr="00303546">
        <w:rPr>
          <w:rFonts w:eastAsia="Fira Sans regular" w:cs="Arial"/>
        </w:rPr>
        <w:t>The classification also provides for ‘unknown phase</w:t>
      </w:r>
      <w:r w:rsidR="00983801">
        <w:rPr>
          <w:rFonts w:eastAsia="Fira Sans regular" w:cs="Arial"/>
        </w:rPr>
        <w:t>’</w:t>
      </w:r>
      <w:r w:rsidR="00983801" w:rsidRPr="00303546">
        <w:rPr>
          <w:rFonts w:eastAsia="Fira Sans regular" w:cs="Arial"/>
        </w:rPr>
        <w:t>.</w:t>
      </w:r>
    </w:p>
    <w:p w14:paraId="61A527BF" w14:textId="1D2393FD" w:rsidR="00334858" w:rsidRPr="00303546" w:rsidRDefault="007A7DC2" w:rsidP="00334858">
      <w:pPr>
        <w:rPr>
          <w:rFonts w:cs="Arial"/>
        </w:rPr>
      </w:pPr>
      <w:r w:rsidRPr="00303546">
        <w:rPr>
          <w:rFonts w:eastAsia="Fira Sans regular" w:cs="Arial"/>
        </w:rPr>
        <w:t xml:space="preserve">Due to separate methods for the linking of episodes and phases, the </w:t>
      </w:r>
      <w:r w:rsidR="00CE690C" w:rsidRPr="00303546">
        <w:rPr>
          <w:rFonts w:eastAsia="Fira Sans regular" w:cs="Arial"/>
        </w:rPr>
        <w:t>results</w:t>
      </w:r>
      <w:r w:rsidRPr="00303546">
        <w:rPr>
          <w:rFonts w:eastAsia="Fira Sans regular" w:cs="Arial"/>
        </w:rPr>
        <w:t xml:space="preserve"> for </w:t>
      </w:r>
      <w:r w:rsidR="00CE690C" w:rsidRPr="00303546">
        <w:rPr>
          <w:rFonts w:eastAsia="Fira Sans regular" w:cs="Arial"/>
        </w:rPr>
        <w:t xml:space="preserve">phases </w:t>
      </w:r>
      <w:r w:rsidRPr="00303546">
        <w:rPr>
          <w:rFonts w:eastAsia="Fira Sans regular" w:cs="Arial"/>
        </w:rPr>
        <w:t xml:space="preserve">and </w:t>
      </w:r>
      <w:r w:rsidR="00CE690C" w:rsidRPr="00303546">
        <w:rPr>
          <w:rFonts w:eastAsia="Fira Sans regular" w:cs="Arial"/>
        </w:rPr>
        <w:t xml:space="preserve">episodes </w:t>
      </w:r>
      <w:r w:rsidRPr="00303546">
        <w:rPr>
          <w:rFonts w:eastAsia="Fira Sans regular" w:cs="Arial"/>
        </w:rPr>
        <w:t xml:space="preserve">are presented separately. </w:t>
      </w:r>
      <w:r w:rsidR="00997696" w:rsidRPr="00303546">
        <w:rPr>
          <w:rFonts w:cs="Arial"/>
        </w:rPr>
        <w:t>The Australian Mental Health Care Classification (AMHCC)</w:t>
      </w:r>
      <w:r w:rsidR="00CE690C" w:rsidRPr="00303546">
        <w:rPr>
          <w:rFonts w:cs="Arial"/>
        </w:rPr>
        <w:t xml:space="preserve"> V1.</w:t>
      </w:r>
      <w:r w:rsidR="00BB0088" w:rsidRPr="00303546">
        <w:rPr>
          <w:rFonts w:cs="Arial"/>
        </w:rPr>
        <w:t>0</w:t>
      </w:r>
      <w:r w:rsidR="00997696" w:rsidRPr="00303546">
        <w:rPr>
          <w:rFonts w:cs="Arial"/>
        </w:rPr>
        <w:t xml:space="preserve"> is the preferred method for reporting admitted mental health data</w:t>
      </w:r>
      <w:r w:rsidR="00CE690C" w:rsidRPr="00303546">
        <w:rPr>
          <w:rFonts w:cs="Arial"/>
        </w:rPr>
        <w:t xml:space="preserve"> in 2022-23</w:t>
      </w:r>
      <w:r w:rsidR="00005059" w:rsidRPr="00303546">
        <w:rPr>
          <w:rFonts w:cs="Arial"/>
        </w:rPr>
        <w:t xml:space="preserve"> and is used to classify phase level data</w:t>
      </w:r>
      <w:r w:rsidR="00997696" w:rsidRPr="00303546">
        <w:rPr>
          <w:rFonts w:cs="Arial"/>
        </w:rPr>
        <w:t>. In the absence of phase level data, episodes are classified under the</w:t>
      </w:r>
      <w:r w:rsidR="00997696" w:rsidRPr="00E538CF">
        <w:rPr>
          <w:rFonts w:cs="Arial"/>
        </w:rPr>
        <w:t xml:space="preserve"> </w:t>
      </w:r>
      <w:r w:rsidR="00997696" w:rsidRPr="00303546">
        <w:rPr>
          <w:rFonts w:cs="Arial"/>
        </w:rPr>
        <w:t>Australian Refined Diagnosis Related Groups (AR-DRGs)</w:t>
      </w:r>
      <w:r w:rsidR="00CE690C" w:rsidRPr="00303546">
        <w:rPr>
          <w:rFonts w:cs="Arial"/>
        </w:rPr>
        <w:t xml:space="preserve"> V11.0</w:t>
      </w:r>
      <w:r w:rsidR="00997696" w:rsidRPr="00303546">
        <w:rPr>
          <w:rFonts w:cs="Arial"/>
        </w:rPr>
        <w:t>.</w:t>
      </w:r>
    </w:p>
    <w:p w14:paraId="7C75BB0B" w14:textId="28698748" w:rsidR="00023350" w:rsidRPr="00303546" w:rsidRDefault="00AC1EE5" w:rsidP="00530E79">
      <w:pPr>
        <w:rPr>
          <w:rFonts w:cs="Arial"/>
        </w:rPr>
      </w:pPr>
      <w:r>
        <w:rPr>
          <w:rFonts w:cs="Arial"/>
        </w:rPr>
        <w:fldChar w:fldCharType="begin"/>
      </w:r>
      <w:r>
        <w:rPr>
          <w:rFonts w:cs="Arial"/>
        </w:rPr>
        <w:instrText xml:space="preserve"> REF _Ref185848917 \h  \* MERGEFORMAT </w:instrText>
      </w:r>
      <w:r>
        <w:rPr>
          <w:rFonts w:cs="Arial"/>
        </w:rPr>
      </w:r>
      <w:r>
        <w:rPr>
          <w:rFonts w:cs="Arial"/>
        </w:rPr>
        <w:fldChar w:fldCharType="separate"/>
      </w:r>
      <w:r w:rsidRPr="00303546">
        <w:rPr>
          <w:rStyle w:val="Cross-referenceChar"/>
        </w:rPr>
        <w:t>Table</w:t>
      </w:r>
      <w:r w:rsidRPr="0093558C">
        <w:rPr>
          <w:rFonts w:cstheme="majorBidi"/>
          <w:color w:val="104F99" w:themeColor="accent2"/>
          <w:lang w:val="en-PH"/>
        </w:rPr>
        <w:t xml:space="preserve"> </w:t>
      </w:r>
      <w:r>
        <w:rPr>
          <w:rFonts w:cstheme="majorBidi"/>
          <w:noProof/>
          <w:lang w:val="en-PH"/>
        </w:rPr>
        <w:t>25</w:t>
      </w:r>
      <w:r>
        <w:rPr>
          <w:rFonts w:cs="Arial"/>
        </w:rPr>
        <w:fldChar w:fldCharType="end"/>
      </w:r>
      <w:r w:rsidR="00260452" w:rsidRPr="00303546">
        <w:rPr>
          <w:rFonts w:cs="Arial"/>
        </w:rPr>
        <w:t xml:space="preserve"> </w:t>
      </w:r>
      <w:r w:rsidR="00CE690C" w:rsidRPr="00303546">
        <w:rPr>
          <w:rFonts w:cs="Arial"/>
        </w:rPr>
        <w:t xml:space="preserve">summarises the national </w:t>
      </w:r>
      <w:r w:rsidR="007F7EEF" w:rsidRPr="00303546">
        <w:rPr>
          <w:rFonts w:cs="Arial"/>
        </w:rPr>
        <w:t xml:space="preserve">phase </w:t>
      </w:r>
      <w:r w:rsidR="00CE690C" w:rsidRPr="00303546">
        <w:rPr>
          <w:rFonts w:cs="Arial"/>
        </w:rPr>
        <w:t xml:space="preserve">results from 2020-21 to </w:t>
      </w:r>
      <w:r w:rsidR="00A87E04">
        <w:rPr>
          <w:rFonts w:cs="Arial"/>
        </w:rPr>
        <w:t>2022-23</w:t>
      </w:r>
      <w:r w:rsidR="00CE690C" w:rsidRPr="00303546">
        <w:rPr>
          <w:rFonts w:cs="Arial"/>
        </w:rPr>
        <w:t xml:space="preserve">. </w:t>
      </w:r>
      <w:r w:rsidR="00023350" w:rsidRPr="00303546">
        <w:rPr>
          <w:rFonts w:cs="Arial"/>
        </w:rPr>
        <w:t xml:space="preserve">In </w:t>
      </w:r>
      <w:r w:rsidR="00023350" w:rsidRPr="00303546">
        <w:rPr>
          <w:rFonts w:cstheme="majorBidi"/>
          <w:lang w:val="en-PH"/>
        </w:rPr>
        <w:t>2022-23</w:t>
      </w:r>
      <w:r w:rsidR="00023350" w:rsidRPr="00303546">
        <w:rPr>
          <w:rFonts w:cs="Arial"/>
        </w:rPr>
        <w:t xml:space="preserve">, the national results for admitted mental health phases </w:t>
      </w:r>
      <w:r w:rsidR="00E66FEE">
        <w:rPr>
          <w:rFonts w:cs="Arial"/>
        </w:rPr>
        <w:t>included</w:t>
      </w:r>
      <w:r w:rsidR="00717E87" w:rsidRPr="00303546">
        <w:rPr>
          <w:rFonts w:cs="Arial"/>
        </w:rPr>
        <w:t xml:space="preserve"> </w:t>
      </w:r>
      <w:r w:rsidR="00023350" w:rsidRPr="00303546">
        <w:rPr>
          <w:rFonts w:cs="Arial"/>
        </w:rPr>
        <w:t>92,</w:t>
      </w:r>
      <w:r w:rsidR="00335438">
        <w:rPr>
          <w:rFonts w:cs="Arial"/>
        </w:rPr>
        <w:t>898</w:t>
      </w:r>
      <w:r w:rsidR="00335438" w:rsidRPr="00303546">
        <w:rPr>
          <w:rFonts w:cs="Arial"/>
        </w:rPr>
        <w:t xml:space="preserve"> </w:t>
      </w:r>
      <w:r w:rsidR="00023350" w:rsidRPr="00303546">
        <w:rPr>
          <w:rFonts w:cs="Arial"/>
        </w:rPr>
        <w:t>phases</w:t>
      </w:r>
      <w:r w:rsidR="00EB0CD8">
        <w:rPr>
          <w:rFonts w:cs="Arial"/>
        </w:rPr>
        <w:t xml:space="preserve"> </w:t>
      </w:r>
      <w:r w:rsidR="00796CD0">
        <w:rPr>
          <w:rFonts w:cs="Arial"/>
        </w:rPr>
        <w:t>with</w:t>
      </w:r>
      <w:r w:rsidR="00074F4B">
        <w:rPr>
          <w:rFonts w:cs="Arial"/>
        </w:rPr>
        <w:t xml:space="preserve"> an</w:t>
      </w:r>
      <w:r w:rsidR="00796CD0">
        <w:rPr>
          <w:rFonts w:cs="Arial"/>
        </w:rPr>
        <w:t xml:space="preserve"> associated cost of $2.</w:t>
      </w:r>
      <w:r w:rsidR="0054351A">
        <w:rPr>
          <w:rFonts w:cs="Arial"/>
        </w:rPr>
        <w:t>4 </w:t>
      </w:r>
      <w:r w:rsidR="00796CD0">
        <w:rPr>
          <w:rFonts w:cs="Arial"/>
        </w:rPr>
        <w:t>billion</w:t>
      </w:r>
      <w:r w:rsidR="00023350" w:rsidRPr="00303546">
        <w:rPr>
          <w:rFonts w:cs="Arial"/>
        </w:rPr>
        <w:t xml:space="preserve">, a 16% </w:t>
      </w:r>
      <w:r w:rsidR="00796CD0">
        <w:rPr>
          <w:rFonts w:cs="Arial"/>
        </w:rPr>
        <w:t>and 2</w:t>
      </w:r>
      <w:r w:rsidR="00335438">
        <w:rPr>
          <w:rFonts w:cs="Arial"/>
        </w:rPr>
        <w:t>5</w:t>
      </w:r>
      <w:r w:rsidR="00796CD0">
        <w:rPr>
          <w:rFonts w:cs="Arial"/>
        </w:rPr>
        <w:t xml:space="preserve">% </w:t>
      </w:r>
      <w:r w:rsidR="00023350" w:rsidRPr="00303546">
        <w:rPr>
          <w:rFonts w:cs="Arial"/>
        </w:rPr>
        <w:t xml:space="preserve">increase </w:t>
      </w:r>
      <w:r w:rsidR="0077416D">
        <w:rPr>
          <w:rFonts w:cs="Arial"/>
        </w:rPr>
        <w:t xml:space="preserve">from </w:t>
      </w:r>
      <w:r w:rsidR="00023350" w:rsidRPr="00303546">
        <w:rPr>
          <w:rFonts w:cs="Arial"/>
        </w:rPr>
        <w:t>2021-22</w:t>
      </w:r>
      <w:r w:rsidR="003B244B">
        <w:rPr>
          <w:rFonts w:cs="Arial"/>
        </w:rPr>
        <w:t>,</w:t>
      </w:r>
      <w:r w:rsidR="00796CD0">
        <w:rPr>
          <w:rFonts w:cs="Arial"/>
        </w:rPr>
        <w:t xml:space="preserve"> respectively</w:t>
      </w:r>
      <w:r w:rsidR="00717E87" w:rsidRPr="00303546">
        <w:rPr>
          <w:rFonts w:cs="Arial"/>
        </w:rPr>
        <w:t xml:space="preserve">. The </w:t>
      </w:r>
      <w:r w:rsidR="00023350" w:rsidRPr="00303546">
        <w:rPr>
          <w:rFonts w:cs="Arial"/>
        </w:rPr>
        <w:t>average cost per phase</w:t>
      </w:r>
      <w:r w:rsidR="00717E87" w:rsidRPr="00303546">
        <w:rPr>
          <w:rFonts w:cs="Arial"/>
        </w:rPr>
        <w:t xml:space="preserve"> was $25,</w:t>
      </w:r>
      <w:r w:rsidR="00335438">
        <w:rPr>
          <w:rFonts w:cs="Arial"/>
        </w:rPr>
        <w:t>720</w:t>
      </w:r>
      <w:r w:rsidR="00023350" w:rsidRPr="00303546">
        <w:rPr>
          <w:rFonts w:cs="Arial"/>
        </w:rPr>
        <w:t>, an 8% increase from the 2021-22 amount of $23,888 per phase</w:t>
      </w:r>
      <w:r w:rsidR="00717E87" w:rsidRPr="00303546">
        <w:rPr>
          <w:rFonts w:cs="Arial"/>
        </w:rPr>
        <w:t>.</w:t>
      </w:r>
    </w:p>
    <w:p w14:paraId="43D4D007" w14:textId="764D00C3" w:rsidR="007F7EEF" w:rsidRPr="00862D6F" w:rsidRDefault="007F7EEF" w:rsidP="003B244B">
      <w:pPr>
        <w:pStyle w:val="TableFigureheading"/>
        <w:rPr>
          <w:lang w:val="en-PH"/>
        </w:rPr>
      </w:pPr>
      <w:bookmarkStart w:id="355" w:name="_Ref185848917"/>
      <w:bookmarkStart w:id="356" w:name="_Toc185852232"/>
      <w:bookmarkStart w:id="357" w:name="_Toc187312151"/>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AC1EE5">
        <w:rPr>
          <w:noProof/>
          <w:lang w:val="en-PH"/>
        </w:rPr>
        <w:t>25</w:t>
      </w:r>
      <w:r w:rsidRPr="0093558C">
        <w:rPr>
          <w:lang w:val="en-PH"/>
        </w:rPr>
        <w:fldChar w:fldCharType="end"/>
      </w:r>
      <w:bookmarkEnd w:id="355"/>
      <w:r w:rsidRPr="0093558C">
        <w:rPr>
          <w:lang w:val="en-PH"/>
        </w:rPr>
        <w:t xml:space="preserve">: </w:t>
      </w:r>
      <w:r>
        <w:rPr>
          <w:lang w:val="en-PH"/>
        </w:rPr>
        <w:t xml:space="preserve">Admitted mental </w:t>
      </w:r>
      <w:r w:rsidRPr="00303546">
        <w:t>health</w:t>
      </w:r>
      <w:r>
        <w:rPr>
          <w:lang w:val="en-PH"/>
        </w:rPr>
        <w:t xml:space="preserve"> phases </w:t>
      </w:r>
      <w:r w:rsidR="005F6B4B">
        <w:rPr>
          <w:lang w:val="en-PH"/>
        </w:rPr>
        <w:t xml:space="preserve">(AMHCC) </w:t>
      </w:r>
      <w:r>
        <w:rPr>
          <w:lang w:val="en-PH"/>
        </w:rPr>
        <w:t>national summary</w:t>
      </w:r>
      <w:r w:rsidRPr="0093558C">
        <w:rPr>
          <w:lang w:val="en-PH"/>
        </w:rPr>
        <w:t xml:space="preserve">, </w:t>
      </w:r>
      <w:r w:rsidRPr="00D73FCC">
        <w:rPr>
          <w:lang w:val="en-PH"/>
        </w:rPr>
        <w:t>2020-21</w:t>
      </w:r>
      <w:r w:rsidRPr="0093558C">
        <w:rPr>
          <w:lang w:val="en-PH"/>
        </w:rPr>
        <w:t xml:space="preserve"> to </w:t>
      </w:r>
      <w:r w:rsidRPr="008B2CD8">
        <w:rPr>
          <w:lang w:val="en-PH"/>
        </w:rPr>
        <w:t>202</w:t>
      </w:r>
      <w:r>
        <w:rPr>
          <w:lang w:val="en-PH"/>
        </w:rPr>
        <w:t>2</w:t>
      </w:r>
      <w:r w:rsidRPr="008B2CD8">
        <w:rPr>
          <w:lang w:val="en-PH"/>
        </w:rPr>
        <w:t>-2</w:t>
      </w:r>
      <w:r>
        <w:rPr>
          <w:lang w:val="en-PH"/>
        </w:rPr>
        <w:t>3</w:t>
      </w:r>
      <w:bookmarkEnd w:id="356"/>
      <w:bookmarkEnd w:id="357"/>
    </w:p>
    <w:tbl>
      <w:tblPr>
        <w:tblW w:w="9629" w:type="dxa"/>
        <w:tblLook w:val="04A0" w:firstRow="1" w:lastRow="0" w:firstColumn="1" w:lastColumn="0" w:noHBand="0" w:noVBand="1"/>
      </w:tblPr>
      <w:tblGrid>
        <w:gridCol w:w="3251"/>
        <w:gridCol w:w="2001"/>
        <w:gridCol w:w="2146"/>
        <w:gridCol w:w="2231"/>
      </w:tblGrid>
      <w:tr w:rsidR="007F7EEF" w:rsidRPr="00CE5513" w14:paraId="497FED4B" w14:textId="77777777" w:rsidTr="001A759A">
        <w:trPr>
          <w:trHeight w:val="298"/>
        </w:trPr>
        <w:tc>
          <w:tcPr>
            <w:tcW w:w="3251" w:type="dxa"/>
            <w:tcBorders>
              <w:top w:val="nil"/>
              <w:left w:val="single" w:sz="8" w:space="0" w:color="FFFFFF"/>
              <w:bottom w:val="nil"/>
              <w:right w:val="nil"/>
            </w:tcBorders>
            <w:shd w:val="clear" w:color="000000" w:fill="15272F"/>
            <w:vAlign w:val="center"/>
            <w:hideMark/>
          </w:tcPr>
          <w:p w14:paraId="563D7EA0" w14:textId="77777777" w:rsidR="007F7EEF" w:rsidRPr="00591E98" w:rsidRDefault="007F7EEF" w:rsidP="00E04435">
            <w:pPr>
              <w:spacing w:before="40" w:after="40" w:line="240" w:lineRule="auto"/>
              <w:rPr>
                <w:rFonts w:eastAsia="Times New Roman" w:cs="Arial"/>
                <w:b/>
                <w:bCs/>
                <w:color w:val="FFFFFF"/>
                <w:sz w:val="16"/>
                <w:szCs w:val="16"/>
                <w:lang w:eastAsia="en-AU"/>
              </w:rPr>
            </w:pPr>
            <w:r w:rsidRPr="00591E98">
              <w:rPr>
                <w:rFonts w:eastAsia="Times New Roman" w:cs="Arial"/>
                <w:b/>
                <w:bCs/>
                <w:color w:val="FFFFFF"/>
                <w:sz w:val="16"/>
                <w:szCs w:val="16"/>
                <w:lang w:eastAsia="en-AU"/>
              </w:rPr>
              <w:t> </w:t>
            </w:r>
          </w:p>
        </w:tc>
        <w:tc>
          <w:tcPr>
            <w:tcW w:w="2001" w:type="dxa"/>
            <w:tcBorders>
              <w:top w:val="nil"/>
              <w:left w:val="single" w:sz="8" w:space="0" w:color="FFFFFF"/>
              <w:bottom w:val="nil"/>
              <w:right w:val="nil"/>
            </w:tcBorders>
            <w:shd w:val="clear" w:color="000000" w:fill="15272F"/>
            <w:vAlign w:val="center"/>
            <w:hideMark/>
          </w:tcPr>
          <w:p w14:paraId="102F910D" w14:textId="77777777" w:rsidR="007F7EEF" w:rsidRPr="00591E98" w:rsidRDefault="007F7EEF" w:rsidP="00E04435">
            <w:pPr>
              <w:spacing w:before="40" w:after="40" w:line="240" w:lineRule="auto"/>
              <w:jc w:val="center"/>
              <w:rPr>
                <w:rFonts w:eastAsia="Times New Roman" w:cs="Arial"/>
                <w:b/>
                <w:bCs/>
                <w:color w:val="FFFFFF"/>
                <w:sz w:val="16"/>
                <w:szCs w:val="16"/>
                <w:lang w:eastAsia="en-AU"/>
              </w:rPr>
            </w:pPr>
            <w:r w:rsidRPr="00591E98">
              <w:rPr>
                <w:rFonts w:eastAsia="Times New Roman" w:cs="Arial"/>
                <w:b/>
                <w:bCs/>
                <w:color w:val="FFFFFF"/>
                <w:sz w:val="16"/>
                <w:szCs w:val="16"/>
                <w:lang w:eastAsia="en-AU"/>
              </w:rPr>
              <w:t>2020-21</w:t>
            </w:r>
          </w:p>
        </w:tc>
        <w:tc>
          <w:tcPr>
            <w:tcW w:w="2146" w:type="dxa"/>
            <w:tcBorders>
              <w:top w:val="nil"/>
              <w:left w:val="single" w:sz="8" w:space="0" w:color="FFFFFF"/>
              <w:bottom w:val="nil"/>
              <w:right w:val="nil"/>
            </w:tcBorders>
            <w:shd w:val="clear" w:color="000000" w:fill="15272F"/>
            <w:vAlign w:val="center"/>
            <w:hideMark/>
          </w:tcPr>
          <w:p w14:paraId="0BDC59CC" w14:textId="77777777" w:rsidR="007F7EEF" w:rsidRPr="00591E98" w:rsidRDefault="007F7EEF" w:rsidP="00E04435">
            <w:pPr>
              <w:spacing w:before="40" w:after="40" w:line="240" w:lineRule="auto"/>
              <w:jc w:val="center"/>
              <w:rPr>
                <w:rFonts w:eastAsia="Times New Roman" w:cs="Arial"/>
                <w:b/>
                <w:bCs/>
                <w:color w:val="FFFFFF"/>
                <w:sz w:val="16"/>
                <w:szCs w:val="16"/>
                <w:lang w:eastAsia="en-AU"/>
              </w:rPr>
            </w:pPr>
            <w:r w:rsidRPr="00591E98">
              <w:rPr>
                <w:rFonts w:eastAsia="Times New Roman" w:cs="Arial"/>
                <w:b/>
                <w:bCs/>
                <w:color w:val="FFFFFF"/>
                <w:sz w:val="16"/>
                <w:szCs w:val="16"/>
                <w:lang w:eastAsia="en-AU"/>
              </w:rPr>
              <w:t>2021-22</w:t>
            </w:r>
          </w:p>
        </w:tc>
        <w:tc>
          <w:tcPr>
            <w:tcW w:w="2231" w:type="dxa"/>
            <w:tcBorders>
              <w:top w:val="nil"/>
              <w:left w:val="single" w:sz="8" w:space="0" w:color="FFFFFF"/>
              <w:bottom w:val="nil"/>
              <w:right w:val="nil"/>
            </w:tcBorders>
            <w:shd w:val="clear" w:color="000000" w:fill="15272F"/>
            <w:vAlign w:val="center"/>
            <w:hideMark/>
          </w:tcPr>
          <w:p w14:paraId="1F6D91D2" w14:textId="77777777" w:rsidR="007F7EEF" w:rsidRPr="00591E98" w:rsidRDefault="007F7EEF" w:rsidP="00E04435">
            <w:pPr>
              <w:spacing w:before="40" w:after="40" w:line="240" w:lineRule="auto"/>
              <w:jc w:val="center"/>
              <w:rPr>
                <w:rFonts w:eastAsia="Times New Roman" w:cs="Arial"/>
                <w:b/>
                <w:bCs/>
                <w:color w:val="FFFFFF"/>
                <w:sz w:val="16"/>
                <w:szCs w:val="16"/>
                <w:lang w:eastAsia="en-AU"/>
              </w:rPr>
            </w:pPr>
            <w:r w:rsidRPr="00591E98">
              <w:rPr>
                <w:rFonts w:eastAsia="Times New Roman" w:cs="Arial"/>
                <w:b/>
                <w:bCs/>
                <w:color w:val="FFFFFF"/>
                <w:sz w:val="16"/>
                <w:szCs w:val="16"/>
                <w:lang w:eastAsia="en-AU"/>
              </w:rPr>
              <w:t>2022-23</w:t>
            </w:r>
          </w:p>
        </w:tc>
      </w:tr>
      <w:tr w:rsidR="007F7EEF" w:rsidRPr="00CE5513" w14:paraId="62932ED2" w14:textId="77777777" w:rsidTr="001A759A">
        <w:trPr>
          <w:trHeight w:val="298"/>
        </w:trPr>
        <w:tc>
          <w:tcPr>
            <w:tcW w:w="3251" w:type="dxa"/>
            <w:tcBorders>
              <w:top w:val="single" w:sz="8" w:space="0" w:color="D9D9D9"/>
              <w:left w:val="nil"/>
              <w:bottom w:val="single" w:sz="8" w:space="0" w:color="D9D9D9"/>
              <w:right w:val="single" w:sz="8" w:space="0" w:color="FFFFFF"/>
            </w:tcBorders>
            <w:shd w:val="clear" w:color="000000" w:fill="F2F2F2"/>
            <w:vAlign w:val="center"/>
          </w:tcPr>
          <w:p w14:paraId="4BBF4570" w14:textId="77777777" w:rsidR="007F7EEF" w:rsidRPr="00591E98" w:rsidRDefault="007F7EEF" w:rsidP="00E04435">
            <w:pPr>
              <w:spacing w:before="40" w:after="40" w:line="240" w:lineRule="auto"/>
              <w:rPr>
                <w:rFonts w:eastAsia="Times New Roman" w:cs="Arial"/>
                <w:color w:val="1C1C1C"/>
                <w:sz w:val="16"/>
                <w:szCs w:val="16"/>
                <w:lang w:eastAsia="en-AU"/>
              </w:rPr>
            </w:pPr>
            <w:r w:rsidRPr="00591E98">
              <w:rPr>
                <w:rFonts w:eastAsia="Times New Roman" w:cs="Arial"/>
                <w:color w:val="1C1C1C"/>
                <w:sz w:val="16"/>
                <w:szCs w:val="16"/>
                <w:lang w:eastAsia="en-AU"/>
              </w:rPr>
              <w:t>Number of establishments (phases)</w:t>
            </w:r>
          </w:p>
        </w:tc>
        <w:tc>
          <w:tcPr>
            <w:tcW w:w="2001" w:type="dxa"/>
            <w:tcBorders>
              <w:top w:val="single" w:sz="8" w:space="0" w:color="D9D9D9"/>
              <w:left w:val="nil"/>
              <w:bottom w:val="single" w:sz="8" w:space="0" w:color="D9D9D9"/>
              <w:right w:val="single" w:sz="8" w:space="0" w:color="FFFFFF"/>
            </w:tcBorders>
            <w:shd w:val="clear" w:color="000000" w:fill="F2F2F2"/>
            <w:vAlign w:val="center"/>
          </w:tcPr>
          <w:p w14:paraId="03D7C8CF" w14:textId="77777777" w:rsidR="007F7EEF" w:rsidRPr="00591E98" w:rsidRDefault="007F7EEF" w:rsidP="00E04435">
            <w:pPr>
              <w:spacing w:before="40" w:after="40" w:line="240" w:lineRule="auto"/>
              <w:jc w:val="right"/>
              <w:rPr>
                <w:rFonts w:cs="Arial"/>
                <w:sz w:val="16"/>
                <w:szCs w:val="16"/>
              </w:rPr>
            </w:pPr>
            <w:r w:rsidRPr="00591E98">
              <w:rPr>
                <w:rFonts w:cs="Arial"/>
                <w:sz w:val="16"/>
                <w:szCs w:val="16"/>
              </w:rPr>
              <w:t xml:space="preserve">                     107 </w:t>
            </w:r>
          </w:p>
        </w:tc>
        <w:tc>
          <w:tcPr>
            <w:tcW w:w="2146" w:type="dxa"/>
            <w:tcBorders>
              <w:top w:val="single" w:sz="8" w:space="0" w:color="D9D9D9"/>
              <w:left w:val="nil"/>
              <w:bottom w:val="single" w:sz="8" w:space="0" w:color="D9D9D9"/>
              <w:right w:val="single" w:sz="8" w:space="0" w:color="FFFFFF"/>
            </w:tcBorders>
            <w:shd w:val="clear" w:color="000000" w:fill="F2F2F2"/>
            <w:vAlign w:val="center"/>
          </w:tcPr>
          <w:p w14:paraId="083F6EFD" w14:textId="77777777" w:rsidR="007F7EEF" w:rsidRPr="00591E98" w:rsidRDefault="007F7EEF" w:rsidP="00E04435">
            <w:pPr>
              <w:spacing w:before="40" w:after="40" w:line="240" w:lineRule="auto"/>
              <w:jc w:val="right"/>
              <w:rPr>
                <w:rFonts w:cs="Arial"/>
                <w:sz w:val="16"/>
                <w:szCs w:val="16"/>
              </w:rPr>
            </w:pPr>
            <w:r w:rsidRPr="00591E98">
              <w:rPr>
                <w:rFonts w:cs="Arial"/>
                <w:sz w:val="16"/>
                <w:szCs w:val="16"/>
              </w:rPr>
              <w:t xml:space="preserve">                     106 </w:t>
            </w:r>
          </w:p>
        </w:tc>
        <w:tc>
          <w:tcPr>
            <w:tcW w:w="2231" w:type="dxa"/>
            <w:tcBorders>
              <w:top w:val="single" w:sz="8" w:space="0" w:color="D9D9D9"/>
              <w:left w:val="nil"/>
              <w:bottom w:val="single" w:sz="8" w:space="0" w:color="D9D9D9"/>
              <w:right w:val="single" w:sz="8" w:space="0" w:color="FFFFFF"/>
            </w:tcBorders>
            <w:shd w:val="clear" w:color="000000" w:fill="F2F2F2"/>
            <w:vAlign w:val="center"/>
          </w:tcPr>
          <w:p w14:paraId="0491A5D2" w14:textId="77777777" w:rsidR="007F7EEF" w:rsidRPr="00591E98" w:rsidRDefault="007F7EEF" w:rsidP="00E04435">
            <w:pPr>
              <w:spacing w:before="40" w:after="40" w:line="240" w:lineRule="auto"/>
              <w:jc w:val="right"/>
              <w:rPr>
                <w:rFonts w:cs="Arial"/>
                <w:sz w:val="16"/>
                <w:szCs w:val="16"/>
              </w:rPr>
            </w:pPr>
            <w:r w:rsidRPr="00591E98">
              <w:rPr>
                <w:rFonts w:cs="Arial"/>
                <w:sz w:val="16"/>
                <w:szCs w:val="16"/>
              </w:rPr>
              <w:t xml:space="preserve">122 </w:t>
            </w:r>
          </w:p>
        </w:tc>
      </w:tr>
      <w:tr w:rsidR="007F7EEF" w:rsidRPr="00CE5513" w14:paraId="0213ADDE" w14:textId="77777777" w:rsidTr="001A759A">
        <w:trPr>
          <w:trHeight w:val="298"/>
        </w:trPr>
        <w:tc>
          <w:tcPr>
            <w:tcW w:w="3251" w:type="dxa"/>
            <w:tcBorders>
              <w:top w:val="single" w:sz="8" w:space="0" w:color="D9D9D9"/>
              <w:left w:val="nil"/>
              <w:bottom w:val="single" w:sz="8" w:space="0" w:color="D9D9D9"/>
              <w:right w:val="single" w:sz="8" w:space="0" w:color="FFFFFF"/>
            </w:tcBorders>
            <w:shd w:val="clear" w:color="000000" w:fill="F2F2F2"/>
            <w:vAlign w:val="center"/>
          </w:tcPr>
          <w:p w14:paraId="42336680" w14:textId="77777777" w:rsidR="007F7EEF" w:rsidRPr="00591E98" w:rsidRDefault="007F7EEF" w:rsidP="00E04435">
            <w:pPr>
              <w:spacing w:before="40" w:after="40" w:line="240" w:lineRule="auto"/>
              <w:rPr>
                <w:rFonts w:eastAsia="Times New Roman" w:cs="Arial"/>
                <w:color w:val="1C1C1C"/>
                <w:sz w:val="16"/>
                <w:szCs w:val="16"/>
                <w:lang w:eastAsia="en-AU"/>
              </w:rPr>
            </w:pPr>
            <w:r w:rsidRPr="00591E98">
              <w:rPr>
                <w:rFonts w:eastAsia="Times New Roman" w:cs="Arial"/>
                <w:color w:val="1C1C1C"/>
                <w:sz w:val="16"/>
                <w:szCs w:val="16"/>
                <w:lang w:eastAsia="en-AU"/>
              </w:rPr>
              <w:t>Phases</w:t>
            </w:r>
          </w:p>
        </w:tc>
        <w:tc>
          <w:tcPr>
            <w:tcW w:w="2001" w:type="dxa"/>
            <w:tcBorders>
              <w:top w:val="single" w:sz="8" w:space="0" w:color="D9D9D9"/>
              <w:left w:val="nil"/>
              <w:bottom w:val="single" w:sz="8" w:space="0" w:color="D9D9D9"/>
              <w:right w:val="single" w:sz="8" w:space="0" w:color="FFFFFF"/>
            </w:tcBorders>
            <w:shd w:val="clear" w:color="000000" w:fill="F2F2F2"/>
            <w:vAlign w:val="center"/>
          </w:tcPr>
          <w:p w14:paraId="48F02028" w14:textId="77777777" w:rsidR="007F7EEF" w:rsidRPr="00591E98" w:rsidRDefault="007F7EEF" w:rsidP="00E04435">
            <w:pPr>
              <w:spacing w:before="40" w:after="40" w:line="240" w:lineRule="auto"/>
              <w:jc w:val="right"/>
              <w:rPr>
                <w:rFonts w:cs="Arial"/>
                <w:sz w:val="16"/>
                <w:szCs w:val="16"/>
              </w:rPr>
            </w:pPr>
            <w:r w:rsidRPr="00591E98">
              <w:rPr>
                <w:rFonts w:cs="Arial"/>
                <w:sz w:val="16"/>
                <w:szCs w:val="16"/>
              </w:rPr>
              <w:t xml:space="preserve">                69,419 </w:t>
            </w:r>
          </w:p>
        </w:tc>
        <w:tc>
          <w:tcPr>
            <w:tcW w:w="2146" w:type="dxa"/>
            <w:tcBorders>
              <w:top w:val="single" w:sz="8" w:space="0" w:color="D9D9D9"/>
              <w:left w:val="nil"/>
              <w:bottom w:val="single" w:sz="8" w:space="0" w:color="D9D9D9"/>
              <w:right w:val="single" w:sz="8" w:space="0" w:color="FFFFFF"/>
            </w:tcBorders>
            <w:shd w:val="clear" w:color="000000" w:fill="F2F2F2"/>
            <w:vAlign w:val="center"/>
          </w:tcPr>
          <w:p w14:paraId="3F0E6856" w14:textId="77777777" w:rsidR="007F7EEF" w:rsidRPr="00591E98" w:rsidRDefault="007F7EEF" w:rsidP="00E04435">
            <w:pPr>
              <w:spacing w:before="40" w:after="40" w:line="240" w:lineRule="auto"/>
              <w:jc w:val="right"/>
              <w:rPr>
                <w:rFonts w:cs="Arial"/>
                <w:sz w:val="16"/>
                <w:szCs w:val="16"/>
              </w:rPr>
            </w:pPr>
            <w:r w:rsidRPr="00591E98">
              <w:rPr>
                <w:rFonts w:cs="Arial"/>
                <w:sz w:val="16"/>
                <w:szCs w:val="16"/>
              </w:rPr>
              <w:t xml:space="preserve">                79,935 </w:t>
            </w:r>
          </w:p>
        </w:tc>
        <w:tc>
          <w:tcPr>
            <w:tcW w:w="2231" w:type="dxa"/>
            <w:tcBorders>
              <w:top w:val="single" w:sz="8" w:space="0" w:color="D9D9D9"/>
              <w:left w:val="nil"/>
              <w:bottom w:val="single" w:sz="8" w:space="0" w:color="D9D9D9"/>
              <w:right w:val="single" w:sz="8" w:space="0" w:color="FFFFFF"/>
            </w:tcBorders>
            <w:shd w:val="clear" w:color="000000" w:fill="F2F2F2"/>
            <w:vAlign w:val="center"/>
          </w:tcPr>
          <w:p w14:paraId="26C581DC" w14:textId="7377ADCB" w:rsidR="007F7EEF" w:rsidRPr="00591E98" w:rsidRDefault="007F7EEF" w:rsidP="00E04435">
            <w:pPr>
              <w:spacing w:before="40" w:after="40" w:line="240" w:lineRule="auto"/>
              <w:jc w:val="right"/>
              <w:rPr>
                <w:rFonts w:cs="Arial"/>
                <w:sz w:val="16"/>
                <w:szCs w:val="16"/>
              </w:rPr>
            </w:pPr>
            <w:r w:rsidRPr="00591E98">
              <w:rPr>
                <w:rFonts w:cs="Arial"/>
                <w:sz w:val="16"/>
                <w:szCs w:val="16"/>
              </w:rPr>
              <w:t>92,</w:t>
            </w:r>
            <w:r w:rsidR="00335438">
              <w:rPr>
                <w:rFonts w:cs="Arial"/>
                <w:sz w:val="16"/>
                <w:szCs w:val="16"/>
              </w:rPr>
              <w:t>898</w:t>
            </w:r>
            <w:r w:rsidR="00335438" w:rsidRPr="00591E98">
              <w:rPr>
                <w:rFonts w:cs="Arial"/>
                <w:sz w:val="16"/>
                <w:szCs w:val="16"/>
              </w:rPr>
              <w:t xml:space="preserve"> </w:t>
            </w:r>
          </w:p>
        </w:tc>
      </w:tr>
      <w:tr w:rsidR="00335438" w:rsidRPr="00CE5513" w14:paraId="42661C81" w14:textId="77777777" w:rsidTr="0043061C">
        <w:trPr>
          <w:trHeight w:val="298"/>
        </w:trPr>
        <w:tc>
          <w:tcPr>
            <w:tcW w:w="3251" w:type="dxa"/>
            <w:tcBorders>
              <w:top w:val="single" w:sz="8" w:space="0" w:color="D9D9D9"/>
              <w:left w:val="nil"/>
              <w:bottom w:val="single" w:sz="8" w:space="0" w:color="D9D9D9"/>
              <w:right w:val="single" w:sz="8" w:space="0" w:color="FFFFFF"/>
            </w:tcBorders>
            <w:shd w:val="clear" w:color="000000" w:fill="F2F2F2"/>
            <w:vAlign w:val="center"/>
          </w:tcPr>
          <w:p w14:paraId="3C97B5C3" w14:textId="48128460" w:rsidR="00335438" w:rsidRPr="00591E98" w:rsidRDefault="00335438" w:rsidP="00335438">
            <w:pPr>
              <w:spacing w:before="40" w:after="40" w:line="240" w:lineRule="auto"/>
              <w:rPr>
                <w:rFonts w:eastAsia="Times New Roman" w:cs="Arial"/>
                <w:color w:val="1C1C1C"/>
                <w:sz w:val="16"/>
                <w:szCs w:val="16"/>
                <w:lang w:eastAsia="en-AU"/>
              </w:rPr>
            </w:pPr>
            <w:r>
              <w:rPr>
                <w:rFonts w:eastAsia="Times New Roman" w:cs="Arial"/>
                <w:color w:val="1C1C1C"/>
                <w:sz w:val="16"/>
                <w:szCs w:val="16"/>
                <w:lang w:eastAsia="en-AU"/>
              </w:rPr>
              <w:t>C</w:t>
            </w:r>
            <w:r w:rsidRPr="00591E98">
              <w:rPr>
                <w:rFonts w:eastAsia="Times New Roman" w:cs="Arial"/>
                <w:color w:val="1C1C1C"/>
                <w:sz w:val="16"/>
                <w:szCs w:val="16"/>
                <w:lang w:eastAsia="en-AU"/>
              </w:rPr>
              <w:t>ost ($)</w:t>
            </w:r>
          </w:p>
        </w:tc>
        <w:tc>
          <w:tcPr>
            <w:tcW w:w="2001" w:type="dxa"/>
            <w:tcBorders>
              <w:top w:val="single" w:sz="8" w:space="0" w:color="D9D9D9"/>
              <w:left w:val="nil"/>
              <w:bottom w:val="single" w:sz="8" w:space="0" w:color="D9D9D9"/>
              <w:right w:val="single" w:sz="8" w:space="0" w:color="FFFFFF"/>
            </w:tcBorders>
            <w:shd w:val="clear" w:color="000000" w:fill="F2F2F2"/>
            <w:vAlign w:val="center"/>
          </w:tcPr>
          <w:p w14:paraId="2324BB7B" w14:textId="77777777" w:rsidR="00335438" w:rsidRPr="00CE5513" w:rsidRDefault="00335438" w:rsidP="00335438">
            <w:pPr>
              <w:spacing w:before="40" w:after="40" w:line="240" w:lineRule="auto"/>
              <w:jc w:val="right"/>
              <w:rPr>
                <w:rFonts w:eastAsia="Times New Roman" w:cs="Arial"/>
                <w:color w:val="1C1C1C"/>
                <w:sz w:val="16"/>
                <w:szCs w:val="16"/>
                <w:lang w:eastAsia="en-AU"/>
              </w:rPr>
            </w:pPr>
            <w:r w:rsidRPr="00591E98">
              <w:rPr>
                <w:rFonts w:cs="Arial"/>
                <w:sz w:val="16"/>
                <w:szCs w:val="16"/>
              </w:rPr>
              <w:t xml:space="preserve">    1,436,908,662 </w:t>
            </w:r>
          </w:p>
        </w:tc>
        <w:tc>
          <w:tcPr>
            <w:tcW w:w="2146" w:type="dxa"/>
            <w:tcBorders>
              <w:top w:val="single" w:sz="8" w:space="0" w:color="D9D9D9"/>
              <w:left w:val="nil"/>
              <w:bottom w:val="single" w:sz="8" w:space="0" w:color="D9D9D9"/>
              <w:right w:val="single" w:sz="8" w:space="0" w:color="FFFFFF"/>
            </w:tcBorders>
            <w:shd w:val="clear" w:color="000000" w:fill="F2F2F2"/>
            <w:vAlign w:val="center"/>
          </w:tcPr>
          <w:p w14:paraId="533915A7" w14:textId="77777777" w:rsidR="00335438" w:rsidRPr="00CE5513" w:rsidRDefault="00335438" w:rsidP="00335438">
            <w:pPr>
              <w:spacing w:before="40" w:after="40" w:line="240" w:lineRule="auto"/>
              <w:jc w:val="right"/>
              <w:rPr>
                <w:rFonts w:eastAsia="Times New Roman" w:cs="Arial"/>
                <w:color w:val="1C1C1C"/>
                <w:sz w:val="16"/>
                <w:szCs w:val="16"/>
                <w:lang w:eastAsia="en-AU"/>
              </w:rPr>
            </w:pPr>
            <w:r w:rsidRPr="00591E98">
              <w:rPr>
                <w:rFonts w:cs="Arial"/>
                <w:sz w:val="16"/>
                <w:szCs w:val="16"/>
              </w:rPr>
              <w:t xml:space="preserve">    1,909,506,077 </w:t>
            </w:r>
          </w:p>
        </w:tc>
        <w:tc>
          <w:tcPr>
            <w:tcW w:w="2231" w:type="dxa"/>
            <w:tcBorders>
              <w:top w:val="single" w:sz="8" w:space="0" w:color="D9D9D9"/>
              <w:left w:val="nil"/>
              <w:bottom w:val="single" w:sz="8" w:space="0" w:color="D9D9D9"/>
              <w:right w:val="single" w:sz="8" w:space="0" w:color="FFFFFF"/>
            </w:tcBorders>
            <w:shd w:val="clear" w:color="000000" w:fill="F2F2F2"/>
            <w:vAlign w:val="bottom"/>
          </w:tcPr>
          <w:p w14:paraId="50009BCE" w14:textId="51534061" w:rsidR="00335438" w:rsidRPr="0043061C" w:rsidRDefault="00335438" w:rsidP="00335438">
            <w:pPr>
              <w:spacing w:before="40" w:after="40" w:line="240" w:lineRule="auto"/>
              <w:jc w:val="right"/>
              <w:rPr>
                <w:rFonts w:cs="Arial"/>
                <w:sz w:val="16"/>
                <w:szCs w:val="16"/>
              </w:rPr>
            </w:pPr>
            <w:r w:rsidRPr="0043061C">
              <w:rPr>
                <w:rFonts w:cs="Arial"/>
                <w:sz w:val="16"/>
                <w:szCs w:val="16"/>
              </w:rPr>
              <w:t xml:space="preserve">    2,389,377,995 </w:t>
            </w:r>
          </w:p>
        </w:tc>
      </w:tr>
      <w:tr w:rsidR="00335438" w:rsidRPr="00CE5513" w14:paraId="3D404F80" w14:textId="77777777" w:rsidTr="0043061C">
        <w:trPr>
          <w:trHeight w:val="298"/>
        </w:trPr>
        <w:tc>
          <w:tcPr>
            <w:tcW w:w="3251" w:type="dxa"/>
            <w:tcBorders>
              <w:top w:val="single" w:sz="8" w:space="0" w:color="D9D9D9"/>
              <w:left w:val="nil"/>
              <w:bottom w:val="single" w:sz="8" w:space="0" w:color="D9D9D9"/>
              <w:right w:val="single" w:sz="8" w:space="0" w:color="FFFFFF"/>
            </w:tcBorders>
            <w:shd w:val="clear" w:color="000000" w:fill="F2F2F2"/>
            <w:vAlign w:val="center"/>
          </w:tcPr>
          <w:p w14:paraId="0F700315" w14:textId="77777777" w:rsidR="00335438" w:rsidRPr="00591E98" w:rsidRDefault="00335438" w:rsidP="00335438">
            <w:pPr>
              <w:spacing w:before="40" w:after="40" w:line="240" w:lineRule="auto"/>
              <w:rPr>
                <w:rFonts w:eastAsia="Times New Roman" w:cs="Arial"/>
                <w:color w:val="1C1C1C"/>
                <w:sz w:val="16"/>
                <w:szCs w:val="16"/>
                <w:lang w:eastAsia="en-AU"/>
              </w:rPr>
            </w:pPr>
            <w:r w:rsidRPr="00591E98">
              <w:rPr>
                <w:rFonts w:eastAsia="Times New Roman" w:cs="Arial"/>
                <w:color w:val="1C1C1C"/>
                <w:sz w:val="16"/>
                <w:szCs w:val="16"/>
                <w:lang w:eastAsia="en-AU"/>
              </w:rPr>
              <w:t>Average cost per phase ($)</w:t>
            </w:r>
          </w:p>
        </w:tc>
        <w:tc>
          <w:tcPr>
            <w:tcW w:w="2001" w:type="dxa"/>
            <w:tcBorders>
              <w:top w:val="single" w:sz="8" w:space="0" w:color="D9D9D9"/>
              <w:left w:val="nil"/>
              <w:bottom w:val="single" w:sz="8" w:space="0" w:color="D9D9D9"/>
              <w:right w:val="single" w:sz="8" w:space="0" w:color="FFFFFF"/>
            </w:tcBorders>
            <w:shd w:val="clear" w:color="000000" w:fill="F2F2F2"/>
            <w:vAlign w:val="center"/>
          </w:tcPr>
          <w:p w14:paraId="5732FA38" w14:textId="77777777" w:rsidR="00335438" w:rsidRPr="00591E98" w:rsidRDefault="00335438" w:rsidP="00335438">
            <w:pPr>
              <w:spacing w:before="40" w:after="40" w:line="240" w:lineRule="auto"/>
              <w:jc w:val="right"/>
              <w:rPr>
                <w:rFonts w:cs="Arial"/>
                <w:sz w:val="16"/>
                <w:szCs w:val="16"/>
              </w:rPr>
            </w:pPr>
            <w:r w:rsidRPr="00591E98">
              <w:rPr>
                <w:rFonts w:cs="Arial"/>
                <w:sz w:val="16"/>
                <w:szCs w:val="16"/>
              </w:rPr>
              <w:t xml:space="preserve">                20,699 </w:t>
            </w:r>
          </w:p>
        </w:tc>
        <w:tc>
          <w:tcPr>
            <w:tcW w:w="2146" w:type="dxa"/>
            <w:tcBorders>
              <w:top w:val="single" w:sz="8" w:space="0" w:color="D9D9D9"/>
              <w:left w:val="nil"/>
              <w:bottom w:val="single" w:sz="8" w:space="0" w:color="D9D9D9"/>
              <w:right w:val="single" w:sz="8" w:space="0" w:color="FFFFFF"/>
            </w:tcBorders>
            <w:shd w:val="clear" w:color="000000" w:fill="F2F2F2"/>
            <w:vAlign w:val="center"/>
          </w:tcPr>
          <w:p w14:paraId="59B61C05" w14:textId="77777777" w:rsidR="00335438" w:rsidRPr="00591E98" w:rsidRDefault="00335438" w:rsidP="00335438">
            <w:pPr>
              <w:spacing w:before="40" w:after="40" w:line="240" w:lineRule="auto"/>
              <w:jc w:val="right"/>
              <w:rPr>
                <w:rFonts w:cs="Arial"/>
                <w:sz w:val="16"/>
                <w:szCs w:val="16"/>
              </w:rPr>
            </w:pPr>
            <w:r w:rsidRPr="00591E98">
              <w:rPr>
                <w:rFonts w:cs="Arial"/>
                <w:sz w:val="16"/>
                <w:szCs w:val="16"/>
              </w:rPr>
              <w:t xml:space="preserve">                23,888 </w:t>
            </w:r>
          </w:p>
        </w:tc>
        <w:tc>
          <w:tcPr>
            <w:tcW w:w="2231" w:type="dxa"/>
            <w:tcBorders>
              <w:top w:val="single" w:sz="8" w:space="0" w:color="D9D9D9"/>
              <w:left w:val="nil"/>
              <w:bottom w:val="single" w:sz="8" w:space="0" w:color="D9D9D9"/>
              <w:right w:val="single" w:sz="8" w:space="0" w:color="FFFFFF"/>
            </w:tcBorders>
            <w:shd w:val="clear" w:color="000000" w:fill="F2F2F2"/>
            <w:vAlign w:val="bottom"/>
          </w:tcPr>
          <w:p w14:paraId="3A5DD850" w14:textId="01D997FE" w:rsidR="00335438" w:rsidRPr="00591E98" w:rsidRDefault="00335438" w:rsidP="00335438">
            <w:pPr>
              <w:spacing w:before="40" w:after="40" w:line="240" w:lineRule="auto"/>
              <w:jc w:val="right"/>
              <w:rPr>
                <w:rFonts w:cs="Arial"/>
                <w:sz w:val="16"/>
                <w:szCs w:val="16"/>
              </w:rPr>
            </w:pPr>
            <w:r w:rsidRPr="0043061C">
              <w:rPr>
                <w:rFonts w:cs="Arial"/>
                <w:sz w:val="16"/>
                <w:szCs w:val="16"/>
              </w:rPr>
              <w:t xml:space="preserve">                25,720 </w:t>
            </w:r>
          </w:p>
        </w:tc>
      </w:tr>
    </w:tbl>
    <w:p w14:paraId="55A37F3A" w14:textId="758DE7A0" w:rsidR="00023350" w:rsidRPr="00303546" w:rsidRDefault="006970E8" w:rsidP="00296833">
      <w:pPr>
        <w:spacing w:before="240"/>
        <w:rPr>
          <w:rFonts w:cs="Arial"/>
        </w:rPr>
      </w:pPr>
      <w:r>
        <w:rPr>
          <w:rFonts w:cs="Arial"/>
        </w:rPr>
        <w:fldChar w:fldCharType="begin"/>
      </w:r>
      <w:r>
        <w:rPr>
          <w:rFonts w:cs="Arial"/>
        </w:rPr>
        <w:instrText xml:space="preserve"> REF _Ref185848956 \h </w:instrText>
      </w:r>
      <w:r w:rsidR="00563E41">
        <w:rPr>
          <w:rFonts w:cs="Arial"/>
        </w:rPr>
        <w:instrText xml:space="preserve"> \* MERGEFORMAT </w:instrText>
      </w:r>
      <w:r>
        <w:rPr>
          <w:rFonts w:cs="Arial"/>
        </w:rPr>
      </w:r>
      <w:r>
        <w:rPr>
          <w:rFonts w:cs="Arial"/>
        </w:rPr>
        <w:fldChar w:fldCharType="separate"/>
      </w:r>
      <w:r w:rsidRPr="00303546">
        <w:rPr>
          <w:rStyle w:val="Cross-referenceChar"/>
        </w:rPr>
        <w:t>Table</w:t>
      </w:r>
      <w:r w:rsidRPr="0093558C">
        <w:rPr>
          <w:rFonts w:cstheme="majorBidi"/>
          <w:color w:val="104F99" w:themeColor="accent2"/>
          <w:lang w:val="en-PH"/>
        </w:rPr>
        <w:t xml:space="preserve"> </w:t>
      </w:r>
      <w:r>
        <w:rPr>
          <w:rFonts w:cstheme="majorBidi"/>
          <w:noProof/>
          <w:lang w:val="en-PH"/>
        </w:rPr>
        <w:t>26</w:t>
      </w:r>
      <w:r>
        <w:rPr>
          <w:rFonts w:cs="Arial"/>
        </w:rPr>
        <w:fldChar w:fldCharType="end"/>
      </w:r>
      <w:r w:rsidR="007F7EEF" w:rsidRPr="00303546">
        <w:rPr>
          <w:rFonts w:cs="Arial"/>
        </w:rPr>
        <w:t xml:space="preserve"> summarises the national episode results from 2020-21 to </w:t>
      </w:r>
      <w:r w:rsidR="00A87E04">
        <w:rPr>
          <w:rFonts w:cs="Arial"/>
        </w:rPr>
        <w:t>2022-23</w:t>
      </w:r>
      <w:r w:rsidR="007F7EEF" w:rsidRPr="00303546">
        <w:rPr>
          <w:rFonts w:cs="Arial"/>
        </w:rPr>
        <w:t xml:space="preserve">. </w:t>
      </w:r>
      <w:r w:rsidR="00023350" w:rsidRPr="00303546">
        <w:rPr>
          <w:rFonts w:cs="Arial"/>
        </w:rPr>
        <w:t xml:space="preserve">In </w:t>
      </w:r>
      <w:r w:rsidR="00023350" w:rsidRPr="00303546">
        <w:rPr>
          <w:rFonts w:cstheme="majorBidi"/>
          <w:lang w:val="en-PH"/>
        </w:rPr>
        <w:t>2022-23</w:t>
      </w:r>
      <w:r w:rsidR="00023350" w:rsidRPr="00303546">
        <w:rPr>
          <w:rFonts w:cs="Arial"/>
        </w:rPr>
        <w:t xml:space="preserve">, the national results for admitted mental health episodes </w:t>
      </w:r>
      <w:r w:rsidR="00E66FEE">
        <w:rPr>
          <w:rFonts w:cs="Arial"/>
        </w:rPr>
        <w:t xml:space="preserve">included </w:t>
      </w:r>
      <w:r w:rsidR="00023350" w:rsidRPr="00303546">
        <w:rPr>
          <w:rFonts w:cs="Arial"/>
        </w:rPr>
        <w:t>29,812 episodes</w:t>
      </w:r>
      <w:r w:rsidR="00E66FEE">
        <w:rPr>
          <w:rFonts w:cs="Arial"/>
        </w:rPr>
        <w:t xml:space="preserve"> with an associated cost of $625.3 million,</w:t>
      </w:r>
      <w:r w:rsidR="00023350" w:rsidRPr="00303546">
        <w:rPr>
          <w:rFonts w:cs="Arial"/>
        </w:rPr>
        <w:t xml:space="preserve"> a 7% increase </w:t>
      </w:r>
      <w:r w:rsidR="00E66FEE">
        <w:rPr>
          <w:rFonts w:cs="Arial"/>
        </w:rPr>
        <w:t xml:space="preserve">and </w:t>
      </w:r>
      <w:r w:rsidR="003F4A30">
        <w:rPr>
          <w:rFonts w:cs="Arial"/>
        </w:rPr>
        <w:t xml:space="preserve">6% decrease </w:t>
      </w:r>
      <w:r w:rsidR="003B244B">
        <w:rPr>
          <w:rFonts w:cs="Arial"/>
        </w:rPr>
        <w:t>from</w:t>
      </w:r>
      <w:r w:rsidR="00023350" w:rsidRPr="00303546">
        <w:rPr>
          <w:rFonts w:cs="Arial"/>
        </w:rPr>
        <w:t xml:space="preserve"> 2021-22</w:t>
      </w:r>
      <w:r w:rsidR="00717E87" w:rsidRPr="00303546">
        <w:rPr>
          <w:rFonts w:cs="Arial"/>
        </w:rPr>
        <w:t xml:space="preserve">. The </w:t>
      </w:r>
      <w:r w:rsidR="00023350" w:rsidRPr="00303546">
        <w:rPr>
          <w:rFonts w:cs="Arial"/>
        </w:rPr>
        <w:t>average cost per episode</w:t>
      </w:r>
      <w:r w:rsidR="00717E87" w:rsidRPr="00303546">
        <w:rPr>
          <w:rFonts w:cs="Arial"/>
        </w:rPr>
        <w:t xml:space="preserve"> was $20,975</w:t>
      </w:r>
      <w:r w:rsidR="00023350" w:rsidRPr="00303546">
        <w:rPr>
          <w:rFonts w:cs="Arial"/>
        </w:rPr>
        <w:t>, a 12% decrease from the 2021-22 amount of $23,910</w:t>
      </w:r>
      <w:r w:rsidR="00717E87" w:rsidRPr="00303546">
        <w:rPr>
          <w:rFonts w:cs="Arial"/>
        </w:rPr>
        <w:t xml:space="preserve"> per episode.</w:t>
      </w:r>
    </w:p>
    <w:p w14:paraId="298030CB" w14:textId="5B278722" w:rsidR="00EA134E" w:rsidRPr="00862D6F" w:rsidRDefault="00EA134E" w:rsidP="003B244B">
      <w:pPr>
        <w:pStyle w:val="TableFigureheading"/>
        <w:rPr>
          <w:lang w:val="en-PH"/>
        </w:rPr>
      </w:pPr>
      <w:bookmarkStart w:id="358" w:name="_Ref185848956"/>
      <w:bookmarkStart w:id="359" w:name="_Toc177467523"/>
      <w:bookmarkStart w:id="360" w:name="_Toc185852233"/>
      <w:bookmarkStart w:id="361" w:name="_Toc187312152"/>
      <w:bookmarkStart w:id="362" w:name="_Hlk184200054"/>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6970E8">
        <w:rPr>
          <w:noProof/>
          <w:lang w:val="en-PH"/>
        </w:rPr>
        <w:t>26</w:t>
      </w:r>
      <w:r w:rsidRPr="0093558C">
        <w:rPr>
          <w:lang w:val="en-PH"/>
        </w:rPr>
        <w:fldChar w:fldCharType="end"/>
      </w:r>
      <w:bookmarkEnd w:id="358"/>
      <w:r w:rsidRPr="0093558C">
        <w:rPr>
          <w:lang w:val="en-PH"/>
        </w:rPr>
        <w:t xml:space="preserve">: </w:t>
      </w:r>
      <w:r w:rsidR="003425B0">
        <w:rPr>
          <w:lang w:val="en-PH"/>
        </w:rPr>
        <w:t>Admitted mental health</w:t>
      </w:r>
      <w:r>
        <w:rPr>
          <w:lang w:val="en-PH"/>
        </w:rPr>
        <w:t xml:space="preserve"> </w:t>
      </w:r>
      <w:r w:rsidR="00E41CF2" w:rsidRPr="00303546">
        <w:t>episodes</w:t>
      </w:r>
      <w:r w:rsidR="00E41CF2">
        <w:rPr>
          <w:lang w:val="en-PH"/>
        </w:rPr>
        <w:t xml:space="preserve"> </w:t>
      </w:r>
      <w:r w:rsidR="005F6B4B">
        <w:rPr>
          <w:lang w:val="en-PH"/>
        </w:rPr>
        <w:t xml:space="preserve">(AR-DRG) </w:t>
      </w:r>
      <w:r>
        <w:rPr>
          <w:lang w:val="en-PH"/>
        </w:rPr>
        <w:t>national</w:t>
      </w:r>
      <w:r w:rsidR="001840F9">
        <w:rPr>
          <w:lang w:val="en-PH"/>
        </w:rPr>
        <w:t xml:space="preserve"> summary</w:t>
      </w:r>
      <w:r w:rsidRPr="0093558C">
        <w:rPr>
          <w:lang w:val="en-PH"/>
        </w:rPr>
        <w:t xml:space="preserve">, </w:t>
      </w:r>
      <w:r w:rsidRPr="00D73FCC">
        <w:rPr>
          <w:lang w:val="en-PH"/>
        </w:rPr>
        <w:t>2020-21</w:t>
      </w:r>
      <w:r w:rsidRPr="0093558C">
        <w:rPr>
          <w:lang w:val="en-PH"/>
        </w:rPr>
        <w:t xml:space="preserve"> to </w:t>
      </w:r>
      <w:r w:rsidRPr="008B2CD8">
        <w:rPr>
          <w:lang w:val="en-PH"/>
        </w:rPr>
        <w:t>202</w:t>
      </w:r>
      <w:r>
        <w:rPr>
          <w:lang w:val="en-PH"/>
        </w:rPr>
        <w:t>2</w:t>
      </w:r>
      <w:r w:rsidRPr="008B2CD8">
        <w:rPr>
          <w:lang w:val="en-PH"/>
        </w:rPr>
        <w:t>-2</w:t>
      </w:r>
      <w:r>
        <w:rPr>
          <w:lang w:val="en-PH"/>
        </w:rPr>
        <w:t>3</w:t>
      </w:r>
      <w:bookmarkEnd w:id="359"/>
      <w:bookmarkEnd w:id="360"/>
      <w:bookmarkEnd w:id="361"/>
    </w:p>
    <w:tbl>
      <w:tblPr>
        <w:tblW w:w="9629" w:type="dxa"/>
        <w:tblLook w:val="04A0" w:firstRow="1" w:lastRow="0" w:firstColumn="1" w:lastColumn="0" w:noHBand="0" w:noVBand="1"/>
      </w:tblPr>
      <w:tblGrid>
        <w:gridCol w:w="3251"/>
        <w:gridCol w:w="2001"/>
        <w:gridCol w:w="2146"/>
        <w:gridCol w:w="2231"/>
      </w:tblGrid>
      <w:tr w:rsidR="007C6CE4" w:rsidRPr="00CE5513" w14:paraId="1E07E337" w14:textId="77777777" w:rsidTr="003F4A30">
        <w:trPr>
          <w:trHeight w:val="298"/>
        </w:trPr>
        <w:tc>
          <w:tcPr>
            <w:tcW w:w="3251" w:type="dxa"/>
            <w:tcBorders>
              <w:top w:val="nil"/>
              <w:left w:val="single" w:sz="8" w:space="0" w:color="FFFFFF"/>
              <w:bottom w:val="nil"/>
              <w:right w:val="nil"/>
            </w:tcBorders>
            <w:shd w:val="clear" w:color="000000" w:fill="15272F"/>
            <w:vAlign w:val="center"/>
            <w:hideMark/>
          </w:tcPr>
          <w:p w14:paraId="35DC9D76" w14:textId="77777777" w:rsidR="00EA134E" w:rsidRPr="00591E98" w:rsidRDefault="00EA134E" w:rsidP="00591E98">
            <w:pPr>
              <w:spacing w:before="40" w:after="40" w:line="240" w:lineRule="auto"/>
              <w:rPr>
                <w:rFonts w:eastAsia="Times New Roman" w:cs="Arial"/>
                <w:b/>
                <w:bCs/>
                <w:color w:val="FFFFFF"/>
                <w:sz w:val="16"/>
                <w:szCs w:val="16"/>
                <w:lang w:eastAsia="en-AU"/>
              </w:rPr>
            </w:pPr>
            <w:r w:rsidRPr="00591E98">
              <w:rPr>
                <w:rFonts w:eastAsia="Times New Roman" w:cs="Arial"/>
                <w:b/>
                <w:bCs/>
                <w:color w:val="FFFFFF"/>
                <w:sz w:val="16"/>
                <w:szCs w:val="16"/>
                <w:lang w:eastAsia="en-AU"/>
              </w:rPr>
              <w:t> </w:t>
            </w:r>
          </w:p>
        </w:tc>
        <w:tc>
          <w:tcPr>
            <w:tcW w:w="2001" w:type="dxa"/>
            <w:tcBorders>
              <w:top w:val="nil"/>
              <w:left w:val="single" w:sz="8" w:space="0" w:color="FFFFFF"/>
              <w:bottom w:val="nil"/>
              <w:right w:val="nil"/>
            </w:tcBorders>
            <w:shd w:val="clear" w:color="000000" w:fill="15272F"/>
            <w:vAlign w:val="center"/>
            <w:hideMark/>
          </w:tcPr>
          <w:p w14:paraId="6B9176CE" w14:textId="77777777" w:rsidR="00EA134E" w:rsidRPr="00591E98" w:rsidRDefault="00EA134E" w:rsidP="00591E98">
            <w:pPr>
              <w:spacing w:before="40" w:after="40" w:line="240" w:lineRule="auto"/>
              <w:jc w:val="center"/>
              <w:rPr>
                <w:rFonts w:eastAsia="Times New Roman" w:cs="Arial"/>
                <w:b/>
                <w:bCs/>
                <w:color w:val="FFFFFF"/>
                <w:sz w:val="16"/>
                <w:szCs w:val="16"/>
                <w:lang w:eastAsia="en-AU"/>
              </w:rPr>
            </w:pPr>
            <w:r w:rsidRPr="00591E98">
              <w:rPr>
                <w:rFonts w:eastAsia="Times New Roman" w:cs="Arial"/>
                <w:b/>
                <w:bCs/>
                <w:color w:val="FFFFFF"/>
                <w:sz w:val="16"/>
                <w:szCs w:val="16"/>
                <w:lang w:eastAsia="en-AU"/>
              </w:rPr>
              <w:t>2020-21</w:t>
            </w:r>
          </w:p>
        </w:tc>
        <w:tc>
          <w:tcPr>
            <w:tcW w:w="2146" w:type="dxa"/>
            <w:tcBorders>
              <w:top w:val="nil"/>
              <w:left w:val="single" w:sz="8" w:space="0" w:color="FFFFFF"/>
              <w:bottom w:val="nil"/>
              <w:right w:val="nil"/>
            </w:tcBorders>
            <w:shd w:val="clear" w:color="000000" w:fill="15272F"/>
            <w:vAlign w:val="center"/>
            <w:hideMark/>
          </w:tcPr>
          <w:p w14:paraId="4687ACDB" w14:textId="77777777" w:rsidR="00EA134E" w:rsidRPr="00591E98" w:rsidRDefault="00EA134E" w:rsidP="00591E98">
            <w:pPr>
              <w:spacing w:before="40" w:after="40" w:line="240" w:lineRule="auto"/>
              <w:jc w:val="center"/>
              <w:rPr>
                <w:rFonts w:eastAsia="Times New Roman" w:cs="Arial"/>
                <w:b/>
                <w:bCs/>
                <w:color w:val="FFFFFF"/>
                <w:sz w:val="16"/>
                <w:szCs w:val="16"/>
                <w:lang w:eastAsia="en-AU"/>
              </w:rPr>
            </w:pPr>
            <w:r w:rsidRPr="00591E98">
              <w:rPr>
                <w:rFonts w:eastAsia="Times New Roman" w:cs="Arial"/>
                <w:b/>
                <w:bCs/>
                <w:color w:val="FFFFFF"/>
                <w:sz w:val="16"/>
                <w:szCs w:val="16"/>
                <w:lang w:eastAsia="en-AU"/>
              </w:rPr>
              <w:t>2021-22</w:t>
            </w:r>
          </w:p>
        </w:tc>
        <w:tc>
          <w:tcPr>
            <w:tcW w:w="2231" w:type="dxa"/>
            <w:tcBorders>
              <w:top w:val="nil"/>
              <w:left w:val="single" w:sz="8" w:space="0" w:color="FFFFFF"/>
              <w:bottom w:val="nil"/>
              <w:right w:val="nil"/>
            </w:tcBorders>
            <w:shd w:val="clear" w:color="000000" w:fill="15272F"/>
            <w:vAlign w:val="center"/>
            <w:hideMark/>
          </w:tcPr>
          <w:p w14:paraId="5DFF1650" w14:textId="77777777" w:rsidR="00EA134E" w:rsidRPr="00591E98" w:rsidRDefault="00EA134E" w:rsidP="00591E98">
            <w:pPr>
              <w:spacing w:before="40" w:after="40" w:line="240" w:lineRule="auto"/>
              <w:jc w:val="center"/>
              <w:rPr>
                <w:rFonts w:eastAsia="Times New Roman" w:cs="Arial"/>
                <w:b/>
                <w:bCs/>
                <w:color w:val="FFFFFF"/>
                <w:sz w:val="16"/>
                <w:szCs w:val="16"/>
                <w:lang w:eastAsia="en-AU"/>
              </w:rPr>
            </w:pPr>
            <w:r w:rsidRPr="00591E98">
              <w:rPr>
                <w:rFonts w:eastAsia="Times New Roman" w:cs="Arial"/>
                <w:b/>
                <w:bCs/>
                <w:color w:val="FFFFFF"/>
                <w:sz w:val="16"/>
                <w:szCs w:val="16"/>
                <w:lang w:eastAsia="en-AU"/>
              </w:rPr>
              <w:t>2022-23</w:t>
            </w:r>
          </w:p>
        </w:tc>
      </w:tr>
      <w:tr w:rsidR="007C6CE4" w:rsidRPr="00CE5513" w14:paraId="4B439DFD" w14:textId="77777777" w:rsidTr="003F4A30">
        <w:trPr>
          <w:trHeight w:val="298"/>
        </w:trPr>
        <w:tc>
          <w:tcPr>
            <w:tcW w:w="3251" w:type="dxa"/>
            <w:tcBorders>
              <w:top w:val="single" w:sz="8" w:space="0" w:color="D9D9D9"/>
              <w:left w:val="nil"/>
              <w:bottom w:val="single" w:sz="8" w:space="0" w:color="D9D9D9"/>
              <w:right w:val="single" w:sz="8" w:space="0" w:color="FFFFFF"/>
            </w:tcBorders>
            <w:shd w:val="clear" w:color="000000" w:fill="F2F2F2"/>
            <w:vAlign w:val="center"/>
            <w:hideMark/>
          </w:tcPr>
          <w:p w14:paraId="2FA47AE4" w14:textId="0EEC2950" w:rsidR="00EA134E" w:rsidRPr="00591E98" w:rsidRDefault="00EA134E" w:rsidP="00591E98">
            <w:pPr>
              <w:spacing w:before="40" w:after="40" w:line="240" w:lineRule="auto"/>
              <w:rPr>
                <w:rFonts w:eastAsia="Times New Roman" w:cs="Arial"/>
                <w:color w:val="1C1C1C"/>
                <w:sz w:val="16"/>
                <w:szCs w:val="16"/>
                <w:lang w:eastAsia="en-AU"/>
              </w:rPr>
            </w:pPr>
            <w:r w:rsidRPr="00591E98">
              <w:rPr>
                <w:rFonts w:eastAsia="Times New Roman" w:cs="Arial"/>
                <w:color w:val="1C1C1C"/>
                <w:sz w:val="16"/>
                <w:szCs w:val="16"/>
                <w:lang w:eastAsia="en-AU"/>
              </w:rPr>
              <w:t>Number of establishments (episodes)</w:t>
            </w:r>
          </w:p>
        </w:tc>
        <w:tc>
          <w:tcPr>
            <w:tcW w:w="2001" w:type="dxa"/>
            <w:tcBorders>
              <w:top w:val="single" w:sz="8" w:space="0" w:color="D9D9D9"/>
              <w:left w:val="nil"/>
              <w:bottom w:val="single" w:sz="8" w:space="0" w:color="D9D9D9"/>
              <w:right w:val="single" w:sz="8" w:space="0" w:color="FFFFFF"/>
            </w:tcBorders>
            <w:shd w:val="clear" w:color="000000" w:fill="F2F2F2"/>
            <w:vAlign w:val="center"/>
            <w:hideMark/>
          </w:tcPr>
          <w:p w14:paraId="540B425C" w14:textId="297AD774" w:rsidR="00EA134E" w:rsidRPr="00CE5513" w:rsidRDefault="00EA134E" w:rsidP="00591E98">
            <w:pPr>
              <w:spacing w:before="40" w:after="40" w:line="240" w:lineRule="auto"/>
              <w:jc w:val="right"/>
              <w:rPr>
                <w:rFonts w:eastAsia="Times New Roman" w:cs="Arial"/>
                <w:color w:val="1C1C1C"/>
                <w:sz w:val="16"/>
                <w:szCs w:val="16"/>
                <w:lang w:eastAsia="en-AU"/>
              </w:rPr>
            </w:pPr>
            <w:r w:rsidRPr="00591E98">
              <w:rPr>
                <w:rFonts w:cs="Arial"/>
                <w:sz w:val="16"/>
                <w:szCs w:val="16"/>
              </w:rPr>
              <w:t xml:space="preserve">                     140 </w:t>
            </w:r>
          </w:p>
        </w:tc>
        <w:tc>
          <w:tcPr>
            <w:tcW w:w="2146" w:type="dxa"/>
            <w:tcBorders>
              <w:top w:val="single" w:sz="8" w:space="0" w:color="D9D9D9"/>
              <w:left w:val="nil"/>
              <w:bottom w:val="single" w:sz="8" w:space="0" w:color="D9D9D9"/>
              <w:right w:val="single" w:sz="8" w:space="0" w:color="FFFFFF"/>
            </w:tcBorders>
            <w:shd w:val="clear" w:color="000000" w:fill="F2F2F2"/>
            <w:vAlign w:val="center"/>
            <w:hideMark/>
          </w:tcPr>
          <w:p w14:paraId="4EFDB2D7" w14:textId="68A8503C" w:rsidR="00EA134E" w:rsidRPr="00CE5513" w:rsidRDefault="00EA134E" w:rsidP="00591E98">
            <w:pPr>
              <w:spacing w:before="40" w:after="40" w:line="240" w:lineRule="auto"/>
              <w:jc w:val="right"/>
              <w:rPr>
                <w:rFonts w:eastAsia="Times New Roman" w:cs="Arial"/>
                <w:color w:val="1C1C1C"/>
                <w:sz w:val="16"/>
                <w:szCs w:val="16"/>
                <w:lang w:eastAsia="en-AU"/>
              </w:rPr>
            </w:pPr>
            <w:r w:rsidRPr="00591E98">
              <w:rPr>
                <w:rFonts w:cs="Arial"/>
                <w:sz w:val="16"/>
                <w:szCs w:val="16"/>
              </w:rPr>
              <w:t xml:space="preserve">                     133 </w:t>
            </w:r>
          </w:p>
        </w:tc>
        <w:tc>
          <w:tcPr>
            <w:tcW w:w="2231" w:type="dxa"/>
            <w:tcBorders>
              <w:top w:val="single" w:sz="8" w:space="0" w:color="D9D9D9"/>
              <w:left w:val="nil"/>
              <w:bottom w:val="single" w:sz="8" w:space="0" w:color="D9D9D9"/>
              <w:right w:val="single" w:sz="8" w:space="0" w:color="FFFFFF"/>
            </w:tcBorders>
            <w:shd w:val="clear" w:color="000000" w:fill="F2F2F2"/>
            <w:vAlign w:val="center"/>
            <w:hideMark/>
          </w:tcPr>
          <w:p w14:paraId="75C2BFC3" w14:textId="064ABCBC" w:rsidR="00EA134E" w:rsidRPr="00CE5513" w:rsidRDefault="00EA134E" w:rsidP="00591E98">
            <w:pPr>
              <w:spacing w:before="40" w:after="40" w:line="240" w:lineRule="auto"/>
              <w:jc w:val="right"/>
              <w:rPr>
                <w:rFonts w:eastAsia="Times New Roman" w:cs="Arial"/>
                <w:color w:val="1C1C1C"/>
                <w:sz w:val="16"/>
                <w:szCs w:val="16"/>
                <w:lang w:eastAsia="en-AU"/>
              </w:rPr>
            </w:pPr>
            <w:r w:rsidRPr="00591E98">
              <w:rPr>
                <w:rFonts w:cs="Arial"/>
                <w:sz w:val="16"/>
                <w:szCs w:val="16"/>
              </w:rPr>
              <w:t xml:space="preserve">                     13</w:t>
            </w:r>
            <w:r w:rsidR="001E4B9D" w:rsidRPr="00591E98">
              <w:rPr>
                <w:rFonts w:cs="Arial"/>
                <w:sz w:val="16"/>
                <w:szCs w:val="16"/>
              </w:rPr>
              <w:t>6</w:t>
            </w:r>
            <w:r w:rsidRPr="00591E98">
              <w:rPr>
                <w:rFonts w:cs="Arial"/>
                <w:sz w:val="16"/>
                <w:szCs w:val="16"/>
              </w:rPr>
              <w:t xml:space="preserve"> </w:t>
            </w:r>
          </w:p>
        </w:tc>
      </w:tr>
      <w:tr w:rsidR="007C6CE4" w:rsidRPr="00CE5513" w14:paraId="6D09221F" w14:textId="77777777" w:rsidTr="003F4A30">
        <w:trPr>
          <w:trHeight w:val="298"/>
        </w:trPr>
        <w:tc>
          <w:tcPr>
            <w:tcW w:w="3251" w:type="dxa"/>
            <w:tcBorders>
              <w:top w:val="nil"/>
              <w:left w:val="nil"/>
              <w:bottom w:val="nil"/>
              <w:right w:val="single" w:sz="8" w:space="0" w:color="FFFFFF"/>
            </w:tcBorders>
            <w:shd w:val="clear" w:color="000000" w:fill="F2F2F2"/>
            <w:vAlign w:val="center"/>
            <w:hideMark/>
          </w:tcPr>
          <w:p w14:paraId="7C10E061" w14:textId="0ECE7ABB" w:rsidR="00EA134E" w:rsidRPr="00591E98" w:rsidRDefault="00EA134E" w:rsidP="00591E98">
            <w:pPr>
              <w:spacing w:before="40" w:after="40" w:line="240" w:lineRule="auto"/>
              <w:rPr>
                <w:rFonts w:eastAsia="Times New Roman" w:cs="Arial"/>
                <w:color w:val="1C1C1C"/>
                <w:sz w:val="16"/>
                <w:szCs w:val="16"/>
                <w:lang w:eastAsia="en-AU"/>
              </w:rPr>
            </w:pPr>
            <w:r w:rsidRPr="00591E98">
              <w:rPr>
                <w:rFonts w:eastAsia="Times New Roman" w:cs="Arial"/>
                <w:color w:val="1C1C1C"/>
                <w:sz w:val="16"/>
                <w:szCs w:val="16"/>
                <w:lang w:eastAsia="en-AU"/>
              </w:rPr>
              <w:t>Episodes</w:t>
            </w:r>
          </w:p>
        </w:tc>
        <w:tc>
          <w:tcPr>
            <w:tcW w:w="2001" w:type="dxa"/>
            <w:tcBorders>
              <w:top w:val="nil"/>
              <w:left w:val="nil"/>
              <w:bottom w:val="nil"/>
              <w:right w:val="single" w:sz="8" w:space="0" w:color="FFFFFF"/>
            </w:tcBorders>
            <w:shd w:val="clear" w:color="000000" w:fill="F2F2F2"/>
            <w:vAlign w:val="center"/>
            <w:hideMark/>
          </w:tcPr>
          <w:p w14:paraId="2E7CD18A" w14:textId="3CEBDC36" w:rsidR="00EA134E" w:rsidRPr="00CE5513" w:rsidRDefault="00EA134E" w:rsidP="00591E98">
            <w:pPr>
              <w:spacing w:before="40" w:after="40" w:line="240" w:lineRule="auto"/>
              <w:jc w:val="right"/>
              <w:rPr>
                <w:rFonts w:eastAsia="Times New Roman" w:cs="Arial"/>
                <w:color w:val="1C1C1C"/>
                <w:sz w:val="16"/>
                <w:szCs w:val="16"/>
                <w:lang w:eastAsia="en-AU"/>
              </w:rPr>
            </w:pPr>
            <w:r w:rsidRPr="00591E98">
              <w:rPr>
                <w:rFonts w:cs="Arial"/>
                <w:sz w:val="16"/>
                <w:szCs w:val="16"/>
              </w:rPr>
              <w:t xml:space="preserve">                45,096 </w:t>
            </w:r>
          </w:p>
        </w:tc>
        <w:tc>
          <w:tcPr>
            <w:tcW w:w="2146" w:type="dxa"/>
            <w:tcBorders>
              <w:top w:val="nil"/>
              <w:left w:val="nil"/>
              <w:bottom w:val="nil"/>
              <w:right w:val="single" w:sz="8" w:space="0" w:color="FFFFFF"/>
            </w:tcBorders>
            <w:shd w:val="clear" w:color="000000" w:fill="F2F2F2"/>
            <w:vAlign w:val="center"/>
            <w:hideMark/>
          </w:tcPr>
          <w:p w14:paraId="057F6EFB" w14:textId="3F6BE0E7" w:rsidR="00EA134E" w:rsidRPr="00CE5513" w:rsidRDefault="00EA134E" w:rsidP="00591E98">
            <w:pPr>
              <w:spacing w:before="40" w:after="40" w:line="240" w:lineRule="auto"/>
              <w:jc w:val="right"/>
              <w:rPr>
                <w:rFonts w:eastAsia="Times New Roman" w:cs="Arial"/>
                <w:color w:val="1C1C1C"/>
                <w:sz w:val="16"/>
                <w:szCs w:val="16"/>
                <w:lang w:eastAsia="en-AU"/>
              </w:rPr>
            </w:pPr>
            <w:r w:rsidRPr="00591E98">
              <w:rPr>
                <w:rFonts w:cs="Arial"/>
                <w:sz w:val="16"/>
                <w:szCs w:val="16"/>
              </w:rPr>
              <w:t xml:space="preserve">                27,918 </w:t>
            </w:r>
          </w:p>
        </w:tc>
        <w:tc>
          <w:tcPr>
            <w:tcW w:w="2231" w:type="dxa"/>
            <w:tcBorders>
              <w:top w:val="nil"/>
              <w:left w:val="nil"/>
              <w:bottom w:val="nil"/>
              <w:right w:val="single" w:sz="8" w:space="0" w:color="FFFFFF"/>
            </w:tcBorders>
            <w:shd w:val="clear" w:color="000000" w:fill="F2F2F2"/>
            <w:vAlign w:val="center"/>
            <w:hideMark/>
          </w:tcPr>
          <w:p w14:paraId="04D1507B" w14:textId="6A49AB9A" w:rsidR="00EA134E" w:rsidRPr="00CE5513" w:rsidRDefault="00EA134E" w:rsidP="00591E98">
            <w:pPr>
              <w:spacing w:before="40" w:after="40" w:line="240" w:lineRule="auto"/>
              <w:jc w:val="right"/>
              <w:rPr>
                <w:rFonts w:eastAsia="Times New Roman" w:cs="Arial"/>
                <w:color w:val="1C1C1C"/>
                <w:sz w:val="16"/>
                <w:szCs w:val="16"/>
                <w:lang w:eastAsia="en-AU"/>
              </w:rPr>
            </w:pPr>
            <w:r w:rsidRPr="00591E98">
              <w:rPr>
                <w:rFonts w:cs="Arial"/>
                <w:sz w:val="16"/>
                <w:szCs w:val="16"/>
              </w:rPr>
              <w:t xml:space="preserve">                29,8</w:t>
            </w:r>
            <w:r w:rsidR="007C6CE4" w:rsidRPr="00591E98">
              <w:rPr>
                <w:rFonts w:cs="Arial"/>
                <w:sz w:val="16"/>
                <w:szCs w:val="16"/>
              </w:rPr>
              <w:t>12</w:t>
            </w:r>
            <w:r w:rsidRPr="00591E98">
              <w:rPr>
                <w:rFonts w:cs="Arial"/>
                <w:sz w:val="16"/>
                <w:szCs w:val="16"/>
              </w:rPr>
              <w:t xml:space="preserve"> </w:t>
            </w:r>
          </w:p>
        </w:tc>
      </w:tr>
      <w:tr w:rsidR="007C6CE4" w:rsidRPr="00CE5513" w14:paraId="1E2E8271" w14:textId="77777777" w:rsidTr="003F4A30">
        <w:trPr>
          <w:trHeight w:val="298"/>
        </w:trPr>
        <w:tc>
          <w:tcPr>
            <w:tcW w:w="3251" w:type="dxa"/>
            <w:tcBorders>
              <w:top w:val="single" w:sz="8" w:space="0" w:color="D9D9D9"/>
              <w:left w:val="nil"/>
              <w:bottom w:val="single" w:sz="8" w:space="0" w:color="D9D9D9"/>
              <w:right w:val="single" w:sz="8" w:space="0" w:color="FFFFFF"/>
            </w:tcBorders>
            <w:shd w:val="clear" w:color="000000" w:fill="F2F2F2"/>
            <w:vAlign w:val="center"/>
          </w:tcPr>
          <w:p w14:paraId="535E08AF" w14:textId="5090E352" w:rsidR="00EA134E" w:rsidRPr="00591E98" w:rsidRDefault="003F4A30" w:rsidP="00591E98">
            <w:pPr>
              <w:spacing w:before="40" w:after="40" w:line="240" w:lineRule="auto"/>
              <w:rPr>
                <w:rFonts w:eastAsia="Times New Roman" w:cs="Arial"/>
                <w:color w:val="1C1C1C"/>
                <w:sz w:val="16"/>
                <w:szCs w:val="16"/>
                <w:lang w:eastAsia="en-AU"/>
              </w:rPr>
            </w:pPr>
            <w:r>
              <w:rPr>
                <w:rFonts w:eastAsia="Times New Roman" w:cs="Arial"/>
                <w:color w:val="1C1C1C"/>
                <w:sz w:val="16"/>
                <w:szCs w:val="16"/>
                <w:lang w:eastAsia="en-AU"/>
              </w:rPr>
              <w:t>C</w:t>
            </w:r>
            <w:r w:rsidR="00EA134E" w:rsidRPr="00591E98">
              <w:rPr>
                <w:rFonts w:eastAsia="Times New Roman" w:cs="Arial"/>
                <w:color w:val="1C1C1C"/>
                <w:sz w:val="16"/>
                <w:szCs w:val="16"/>
                <w:lang w:eastAsia="en-AU"/>
              </w:rPr>
              <w:t>ost ($)</w:t>
            </w:r>
          </w:p>
        </w:tc>
        <w:tc>
          <w:tcPr>
            <w:tcW w:w="2001" w:type="dxa"/>
            <w:tcBorders>
              <w:top w:val="single" w:sz="8" w:space="0" w:color="D9D9D9"/>
              <w:left w:val="nil"/>
              <w:bottom w:val="single" w:sz="8" w:space="0" w:color="D9D9D9"/>
              <w:right w:val="single" w:sz="8" w:space="0" w:color="FFFFFF"/>
            </w:tcBorders>
            <w:shd w:val="clear" w:color="000000" w:fill="F2F2F2"/>
            <w:vAlign w:val="center"/>
          </w:tcPr>
          <w:p w14:paraId="597FFA96" w14:textId="211C933B" w:rsidR="00EA134E" w:rsidRPr="00CE5513" w:rsidRDefault="00EA134E" w:rsidP="00591E98">
            <w:pPr>
              <w:spacing w:before="40" w:after="40" w:line="240" w:lineRule="auto"/>
              <w:jc w:val="right"/>
              <w:rPr>
                <w:rFonts w:eastAsia="Times New Roman" w:cs="Arial"/>
                <w:color w:val="1C1C1C"/>
                <w:sz w:val="16"/>
                <w:szCs w:val="16"/>
                <w:lang w:eastAsia="en-AU"/>
              </w:rPr>
            </w:pPr>
            <w:r w:rsidRPr="00591E98">
              <w:rPr>
                <w:rFonts w:cs="Arial"/>
                <w:sz w:val="16"/>
                <w:szCs w:val="16"/>
              </w:rPr>
              <w:t xml:space="preserve">       842,093,482 </w:t>
            </w:r>
          </w:p>
        </w:tc>
        <w:tc>
          <w:tcPr>
            <w:tcW w:w="2146" w:type="dxa"/>
            <w:tcBorders>
              <w:top w:val="single" w:sz="8" w:space="0" w:color="D9D9D9"/>
              <w:left w:val="nil"/>
              <w:bottom w:val="single" w:sz="8" w:space="0" w:color="D9D9D9"/>
              <w:right w:val="single" w:sz="8" w:space="0" w:color="FFFFFF"/>
            </w:tcBorders>
            <w:shd w:val="clear" w:color="000000" w:fill="F2F2F2"/>
            <w:vAlign w:val="center"/>
          </w:tcPr>
          <w:p w14:paraId="1DBD449B" w14:textId="604909E2" w:rsidR="00EA134E" w:rsidRPr="00CE5513" w:rsidRDefault="00EA134E" w:rsidP="00591E98">
            <w:pPr>
              <w:spacing w:before="40" w:after="40" w:line="240" w:lineRule="auto"/>
              <w:jc w:val="right"/>
              <w:rPr>
                <w:rFonts w:eastAsia="Times New Roman" w:cs="Arial"/>
                <w:color w:val="1C1C1C"/>
                <w:sz w:val="16"/>
                <w:szCs w:val="16"/>
                <w:lang w:eastAsia="en-AU"/>
              </w:rPr>
            </w:pPr>
            <w:r w:rsidRPr="00591E98">
              <w:rPr>
                <w:rFonts w:cs="Arial"/>
                <w:sz w:val="16"/>
                <w:szCs w:val="16"/>
              </w:rPr>
              <w:t xml:space="preserve">       667,520,990 </w:t>
            </w:r>
          </w:p>
        </w:tc>
        <w:tc>
          <w:tcPr>
            <w:tcW w:w="2231" w:type="dxa"/>
            <w:tcBorders>
              <w:top w:val="single" w:sz="8" w:space="0" w:color="D9D9D9"/>
              <w:left w:val="nil"/>
              <w:bottom w:val="single" w:sz="8" w:space="0" w:color="D9D9D9"/>
              <w:right w:val="single" w:sz="8" w:space="0" w:color="FFFFFF"/>
            </w:tcBorders>
            <w:shd w:val="clear" w:color="000000" w:fill="F2F2F2"/>
            <w:vAlign w:val="center"/>
          </w:tcPr>
          <w:p w14:paraId="00FDA84F" w14:textId="3B172EB0" w:rsidR="00EA134E" w:rsidRPr="00CE5513" w:rsidRDefault="00EA134E" w:rsidP="00591E98">
            <w:pPr>
              <w:spacing w:before="40" w:after="40" w:line="240" w:lineRule="auto"/>
              <w:jc w:val="right"/>
              <w:rPr>
                <w:rFonts w:eastAsia="Times New Roman" w:cs="Arial"/>
                <w:color w:val="1C1C1C"/>
                <w:sz w:val="16"/>
                <w:szCs w:val="16"/>
                <w:lang w:eastAsia="en-AU"/>
              </w:rPr>
            </w:pPr>
            <w:r w:rsidRPr="00591E98">
              <w:rPr>
                <w:rFonts w:cs="Arial"/>
                <w:sz w:val="16"/>
                <w:szCs w:val="16"/>
              </w:rPr>
              <w:t xml:space="preserve">       625,2</w:t>
            </w:r>
            <w:r w:rsidR="007C6CE4" w:rsidRPr="00591E98">
              <w:rPr>
                <w:rFonts w:cs="Arial"/>
                <w:sz w:val="16"/>
                <w:szCs w:val="16"/>
              </w:rPr>
              <w:t>95,881</w:t>
            </w:r>
          </w:p>
        </w:tc>
      </w:tr>
      <w:tr w:rsidR="007C6CE4" w:rsidRPr="00CE5513" w14:paraId="22716157" w14:textId="77777777" w:rsidTr="003F4A30">
        <w:trPr>
          <w:trHeight w:val="298"/>
        </w:trPr>
        <w:tc>
          <w:tcPr>
            <w:tcW w:w="3251" w:type="dxa"/>
            <w:tcBorders>
              <w:top w:val="single" w:sz="8" w:space="0" w:color="D9D9D9"/>
              <w:left w:val="nil"/>
              <w:bottom w:val="single" w:sz="8" w:space="0" w:color="D9D9D9"/>
              <w:right w:val="single" w:sz="8" w:space="0" w:color="FFFFFF"/>
            </w:tcBorders>
            <w:shd w:val="clear" w:color="000000" w:fill="F2F2F2"/>
            <w:vAlign w:val="center"/>
            <w:hideMark/>
          </w:tcPr>
          <w:p w14:paraId="226E9D33" w14:textId="101CDB16" w:rsidR="00EA134E" w:rsidRPr="00591E98" w:rsidRDefault="00666969" w:rsidP="00591E98">
            <w:pPr>
              <w:spacing w:before="40" w:after="40" w:line="240" w:lineRule="auto"/>
              <w:rPr>
                <w:rFonts w:eastAsia="Times New Roman" w:cs="Arial"/>
                <w:color w:val="1C1C1C"/>
                <w:sz w:val="16"/>
                <w:szCs w:val="16"/>
                <w:lang w:eastAsia="en-AU"/>
              </w:rPr>
            </w:pPr>
            <w:r w:rsidRPr="00591E98">
              <w:rPr>
                <w:rFonts w:eastAsia="Times New Roman" w:cs="Arial"/>
                <w:color w:val="1C1C1C"/>
                <w:sz w:val="16"/>
                <w:szCs w:val="16"/>
                <w:lang w:eastAsia="en-AU"/>
              </w:rPr>
              <w:t xml:space="preserve">Average cost per episode ($) </w:t>
            </w:r>
          </w:p>
        </w:tc>
        <w:tc>
          <w:tcPr>
            <w:tcW w:w="2001" w:type="dxa"/>
            <w:tcBorders>
              <w:top w:val="single" w:sz="8" w:space="0" w:color="D9D9D9"/>
              <w:left w:val="nil"/>
              <w:bottom w:val="single" w:sz="8" w:space="0" w:color="D9D9D9"/>
              <w:right w:val="single" w:sz="8" w:space="0" w:color="FFFFFF"/>
            </w:tcBorders>
            <w:shd w:val="clear" w:color="000000" w:fill="F2F2F2"/>
            <w:vAlign w:val="center"/>
            <w:hideMark/>
          </w:tcPr>
          <w:p w14:paraId="0891643B" w14:textId="119EFE23" w:rsidR="00EA134E" w:rsidRPr="00CE5513" w:rsidRDefault="00EA134E" w:rsidP="00591E98">
            <w:pPr>
              <w:spacing w:before="40" w:after="40" w:line="240" w:lineRule="auto"/>
              <w:jc w:val="right"/>
              <w:rPr>
                <w:rFonts w:eastAsia="Times New Roman" w:cs="Arial"/>
                <w:color w:val="1C1C1C"/>
                <w:sz w:val="16"/>
                <w:szCs w:val="16"/>
                <w:lang w:eastAsia="en-AU"/>
              </w:rPr>
            </w:pPr>
            <w:r w:rsidRPr="00591E98">
              <w:rPr>
                <w:rFonts w:cs="Arial"/>
                <w:sz w:val="16"/>
                <w:szCs w:val="16"/>
              </w:rPr>
              <w:t xml:space="preserve">                18,673 </w:t>
            </w:r>
          </w:p>
        </w:tc>
        <w:tc>
          <w:tcPr>
            <w:tcW w:w="2146" w:type="dxa"/>
            <w:tcBorders>
              <w:top w:val="single" w:sz="8" w:space="0" w:color="D9D9D9"/>
              <w:left w:val="nil"/>
              <w:bottom w:val="single" w:sz="8" w:space="0" w:color="D9D9D9"/>
              <w:right w:val="single" w:sz="8" w:space="0" w:color="FFFFFF"/>
            </w:tcBorders>
            <w:shd w:val="clear" w:color="000000" w:fill="F2F2F2"/>
            <w:vAlign w:val="center"/>
            <w:hideMark/>
          </w:tcPr>
          <w:p w14:paraId="4CBECF79" w14:textId="1B882D67" w:rsidR="00EA134E" w:rsidRPr="00CE5513" w:rsidRDefault="00EA134E" w:rsidP="00591E98">
            <w:pPr>
              <w:spacing w:before="40" w:after="40" w:line="240" w:lineRule="auto"/>
              <w:jc w:val="right"/>
              <w:rPr>
                <w:rFonts w:eastAsia="Times New Roman" w:cs="Arial"/>
                <w:color w:val="1C1C1C"/>
                <w:sz w:val="16"/>
                <w:szCs w:val="16"/>
                <w:lang w:eastAsia="en-AU"/>
              </w:rPr>
            </w:pPr>
            <w:r w:rsidRPr="00591E98">
              <w:rPr>
                <w:rFonts w:cs="Arial"/>
                <w:sz w:val="16"/>
                <w:szCs w:val="16"/>
              </w:rPr>
              <w:t xml:space="preserve">                23,910 </w:t>
            </w:r>
          </w:p>
        </w:tc>
        <w:tc>
          <w:tcPr>
            <w:tcW w:w="2231" w:type="dxa"/>
            <w:tcBorders>
              <w:top w:val="single" w:sz="8" w:space="0" w:color="D9D9D9"/>
              <w:left w:val="nil"/>
              <w:bottom w:val="single" w:sz="8" w:space="0" w:color="D9D9D9"/>
              <w:right w:val="single" w:sz="8" w:space="0" w:color="FFFFFF"/>
            </w:tcBorders>
            <w:shd w:val="clear" w:color="000000" w:fill="F2F2F2"/>
            <w:vAlign w:val="center"/>
            <w:hideMark/>
          </w:tcPr>
          <w:p w14:paraId="4F2A3CF5" w14:textId="1F6B3292" w:rsidR="00EA134E" w:rsidRPr="00CE5513" w:rsidRDefault="00EA134E" w:rsidP="00591E98">
            <w:pPr>
              <w:spacing w:before="40" w:after="40" w:line="240" w:lineRule="auto"/>
              <w:jc w:val="right"/>
              <w:rPr>
                <w:rFonts w:eastAsia="Times New Roman" w:cs="Arial"/>
                <w:color w:val="1C1C1C"/>
                <w:sz w:val="16"/>
                <w:szCs w:val="16"/>
                <w:lang w:eastAsia="en-AU"/>
              </w:rPr>
            </w:pPr>
            <w:r w:rsidRPr="00591E98">
              <w:rPr>
                <w:rFonts w:cs="Arial"/>
                <w:sz w:val="16"/>
                <w:szCs w:val="16"/>
              </w:rPr>
              <w:t xml:space="preserve">                20,97</w:t>
            </w:r>
            <w:r w:rsidR="007C6CE4" w:rsidRPr="00591E98">
              <w:rPr>
                <w:rFonts w:cs="Arial"/>
                <w:sz w:val="16"/>
                <w:szCs w:val="16"/>
              </w:rPr>
              <w:t>5</w:t>
            </w:r>
            <w:r w:rsidRPr="00591E98">
              <w:rPr>
                <w:rFonts w:cs="Arial"/>
                <w:sz w:val="16"/>
                <w:szCs w:val="16"/>
              </w:rPr>
              <w:t xml:space="preserve"> </w:t>
            </w:r>
          </w:p>
        </w:tc>
      </w:tr>
    </w:tbl>
    <w:p w14:paraId="3C93C198" w14:textId="3E0DA22D" w:rsidR="00935107" w:rsidRPr="00CE058E" w:rsidRDefault="00935107" w:rsidP="007B41F8">
      <w:pPr>
        <w:pStyle w:val="Heading2"/>
      </w:pPr>
      <w:bookmarkStart w:id="363" w:name="_Toc151129723"/>
      <w:bookmarkStart w:id="364" w:name="_Toc158882574"/>
      <w:bookmarkStart w:id="365" w:name="_Toc158882635"/>
      <w:bookmarkStart w:id="366" w:name="_Toc144215472"/>
      <w:bookmarkStart w:id="367" w:name="_Toc144967679"/>
      <w:bookmarkEnd w:id="362"/>
      <w:r w:rsidRPr="00CE058E">
        <w:lastRenderedPageBreak/>
        <w:t xml:space="preserve">Admitted mental health </w:t>
      </w:r>
      <w:bookmarkEnd w:id="363"/>
      <w:bookmarkEnd w:id="364"/>
      <w:bookmarkEnd w:id="365"/>
      <w:r w:rsidR="007F7EEF">
        <w:t>sample</w:t>
      </w:r>
    </w:p>
    <w:p w14:paraId="43AC9330" w14:textId="1C330F1A" w:rsidR="006001CE" w:rsidRPr="00E538CF" w:rsidRDefault="006001CE" w:rsidP="006001CE">
      <w:pPr>
        <w:rPr>
          <w:rFonts w:cs="Arial"/>
        </w:rPr>
      </w:pPr>
      <w:r w:rsidRPr="00E538CF">
        <w:rPr>
          <w:rFonts w:cs="Arial"/>
        </w:rPr>
        <w:t xml:space="preserve">In 2022-23, 100% of the NHCDC admitted mental health phase records were </w:t>
      </w:r>
      <w:r w:rsidR="00651174" w:rsidRPr="00E538CF">
        <w:rPr>
          <w:rFonts w:cs="Arial"/>
        </w:rPr>
        <w:t xml:space="preserve">linked to </w:t>
      </w:r>
      <w:r w:rsidRPr="00E538CF">
        <w:rPr>
          <w:rFonts w:cs="Arial"/>
        </w:rPr>
        <w:t>activity and in</w:t>
      </w:r>
      <w:r w:rsidR="00451D8E">
        <w:rPr>
          <w:rFonts w:cs="Arial"/>
        </w:rPr>
        <w:t xml:space="preserve"> </w:t>
      </w:r>
      <w:r w:rsidRPr="00E538CF">
        <w:rPr>
          <w:rFonts w:cs="Arial"/>
        </w:rPr>
        <w:t xml:space="preserve">scope for NHCDC reporting. </w:t>
      </w:r>
      <w:r w:rsidR="006970E8">
        <w:rPr>
          <w:rFonts w:cs="Arial"/>
        </w:rPr>
        <w:fldChar w:fldCharType="begin"/>
      </w:r>
      <w:r w:rsidR="006970E8">
        <w:rPr>
          <w:rFonts w:cs="Arial"/>
        </w:rPr>
        <w:instrText xml:space="preserve"> REF _Ref185848973 \h </w:instrText>
      </w:r>
      <w:r w:rsidR="00464BC5">
        <w:rPr>
          <w:rFonts w:cs="Arial"/>
        </w:rPr>
        <w:instrText xml:space="preserve"> \* MERGEFORMAT </w:instrText>
      </w:r>
      <w:r w:rsidR="006970E8">
        <w:rPr>
          <w:rFonts w:cs="Arial"/>
        </w:rPr>
      </w:r>
      <w:r w:rsidR="006970E8">
        <w:rPr>
          <w:rFonts w:cs="Arial"/>
        </w:rPr>
        <w:fldChar w:fldCharType="separate"/>
      </w:r>
      <w:r w:rsidR="006970E8" w:rsidRPr="00303546">
        <w:rPr>
          <w:rStyle w:val="Cross-referenceChar"/>
        </w:rPr>
        <w:t>Table</w:t>
      </w:r>
      <w:r w:rsidR="006970E8" w:rsidRPr="0093558C">
        <w:rPr>
          <w:rFonts w:cstheme="majorBidi"/>
          <w:color w:val="104F99" w:themeColor="accent2"/>
          <w:lang w:val="en-PH"/>
        </w:rPr>
        <w:t xml:space="preserve"> </w:t>
      </w:r>
      <w:r w:rsidR="006970E8">
        <w:rPr>
          <w:rFonts w:cstheme="majorBidi"/>
          <w:noProof/>
          <w:lang w:val="en-PH"/>
        </w:rPr>
        <w:t>27</w:t>
      </w:r>
      <w:r w:rsidR="006970E8">
        <w:rPr>
          <w:rFonts w:cs="Arial"/>
        </w:rPr>
        <w:fldChar w:fldCharType="end"/>
      </w:r>
      <w:r w:rsidR="006970E8">
        <w:rPr>
          <w:rFonts w:cs="Arial"/>
        </w:rPr>
        <w:t xml:space="preserve"> </w:t>
      </w:r>
      <w:r w:rsidRPr="00E538CF">
        <w:rPr>
          <w:rFonts w:cs="Arial"/>
        </w:rPr>
        <w:t>shows the number of in-scope</w:t>
      </w:r>
      <w:r w:rsidR="003A549C">
        <w:rPr>
          <w:rFonts w:cs="Arial"/>
        </w:rPr>
        <w:t xml:space="preserve"> NHCDC</w:t>
      </w:r>
      <w:r w:rsidRPr="00E538CF">
        <w:rPr>
          <w:rFonts w:cs="Arial"/>
        </w:rPr>
        <w:t xml:space="preserve"> records</w:t>
      </w:r>
      <w:r w:rsidR="001B40A3">
        <w:rPr>
          <w:rFonts w:cs="Arial"/>
        </w:rPr>
        <w:t xml:space="preserve"> and </w:t>
      </w:r>
      <w:r w:rsidR="003A549C">
        <w:rPr>
          <w:rFonts w:cs="Arial"/>
        </w:rPr>
        <w:t xml:space="preserve">ABF </w:t>
      </w:r>
      <w:r w:rsidRPr="00E538CF">
        <w:rPr>
          <w:rFonts w:cs="Arial"/>
        </w:rPr>
        <w:t xml:space="preserve">activity, and proportion of costed activity by jurisdiction, from 2021-22 to </w:t>
      </w:r>
      <w:r w:rsidRPr="00E538CF">
        <w:rPr>
          <w:rFonts w:cs="Arial"/>
          <w:lang w:val="en-PH"/>
        </w:rPr>
        <w:t>2022-23</w:t>
      </w:r>
      <w:r w:rsidRPr="00E538CF">
        <w:rPr>
          <w:rFonts w:cs="Arial"/>
        </w:rPr>
        <w:t>. In 2022-23, nationally 7</w:t>
      </w:r>
      <w:r w:rsidR="00651174" w:rsidRPr="00E538CF">
        <w:rPr>
          <w:rFonts w:cs="Arial"/>
        </w:rPr>
        <w:t>7</w:t>
      </w:r>
      <w:r w:rsidRPr="00E538CF">
        <w:rPr>
          <w:rFonts w:cs="Arial"/>
        </w:rPr>
        <w:t>% of in-scope activity was linked to cost (</w:t>
      </w:r>
      <w:r w:rsidR="00477467">
        <w:rPr>
          <w:rFonts w:cs="Arial"/>
        </w:rPr>
        <w:t>c</w:t>
      </w:r>
      <w:r w:rsidRPr="00E538CF">
        <w:rPr>
          <w:rFonts w:cs="Arial"/>
        </w:rPr>
        <w:t xml:space="preserve">osted </w:t>
      </w:r>
      <w:r w:rsidR="00183417" w:rsidRPr="00E538CF">
        <w:rPr>
          <w:rFonts w:cs="Arial"/>
        </w:rPr>
        <w:t>a</w:t>
      </w:r>
      <w:r w:rsidRPr="00E538CF">
        <w:rPr>
          <w:rFonts w:cs="Arial"/>
        </w:rPr>
        <w:t>ctivity %)</w:t>
      </w:r>
      <w:r w:rsidRPr="00E538CF">
        <w:t>, a</w:t>
      </w:r>
      <w:r w:rsidR="00651174" w:rsidRPr="00E538CF">
        <w:t xml:space="preserve">n increase </w:t>
      </w:r>
      <w:r w:rsidRPr="00E538CF">
        <w:t xml:space="preserve">from </w:t>
      </w:r>
      <w:r w:rsidR="00651174" w:rsidRPr="00E538CF">
        <w:t>67</w:t>
      </w:r>
      <w:r w:rsidRPr="00E538CF">
        <w:t>% in 2021-22.</w:t>
      </w:r>
    </w:p>
    <w:p w14:paraId="05B5D5A5" w14:textId="656AFE93" w:rsidR="00C170C2" w:rsidRDefault="00B42434" w:rsidP="00303546">
      <w:pPr>
        <w:pStyle w:val="TableFigureheading"/>
        <w:rPr>
          <w:lang w:val="en-PH"/>
        </w:rPr>
      </w:pPr>
      <w:bookmarkStart w:id="368" w:name="_Ref185848973"/>
      <w:bookmarkStart w:id="369" w:name="_Toc177467524"/>
      <w:bookmarkStart w:id="370" w:name="_Toc185852234"/>
      <w:bookmarkStart w:id="371" w:name="_Toc187312153"/>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6970E8">
        <w:rPr>
          <w:noProof/>
          <w:lang w:val="en-PH"/>
        </w:rPr>
        <w:t>27</w:t>
      </w:r>
      <w:r w:rsidRPr="0093558C">
        <w:rPr>
          <w:lang w:val="en-PH"/>
        </w:rPr>
        <w:fldChar w:fldCharType="end"/>
      </w:r>
      <w:bookmarkEnd w:id="368"/>
      <w:r w:rsidR="00C170C2" w:rsidRPr="0093558C">
        <w:rPr>
          <w:lang w:val="en-PH"/>
        </w:rPr>
        <w:t xml:space="preserve">: </w:t>
      </w:r>
      <w:r w:rsidR="00CE5E1A">
        <w:rPr>
          <w:lang w:val="en-PH"/>
        </w:rPr>
        <w:t>A</w:t>
      </w:r>
      <w:r w:rsidR="00B1223D">
        <w:rPr>
          <w:lang w:val="en-PH"/>
        </w:rPr>
        <w:t>dmitted mental health phase sample summary</w:t>
      </w:r>
      <w:r w:rsidR="00C170C2" w:rsidRPr="0093558C">
        <w:rPr>
          <w:lang w:val="en-PH"/>
        </w:rPr>
        <w:t xml:space="preserve">, </w:t>
      </w:r>
      <w:r w:rsidR="008578F3" w:rsidRPr="00D73FCC">
        <w:rPr>
          <w:lang w:val="en-PH"/>
        </w:rPr>
        <w:t>2020-21</w:t>
      </w:r>
      <w:r w:rsidR="00C170C2" w:rsidRPr="0093558C">
        <w:rPr>
          <w:lang w:val="en-PH"/>
        </w:rPr>
        <w:t xml:space="preserve"> to </w:t>
      </w:r>
      <w:r w:rsidR="00B82AA0" w:rsidRPr="008B2CD8">
        <w:rPr>
          <w:lang w:val="en-PH"/>
        </w:rPr>
        <w:t>202</w:t>
      </w:r>
      <w:r w:rsidR="00B82AA0">
        <w:rPr>
          <w:lang w:val="en-PH"/>
        </w:rPr>
        <w:t>2</w:t>
      </w:r>
      <w:r w:rsidR="00B82AA0" w:rsidRPr="008B2CD8">
        <w:rPr>
          <w:lang w:val="en-PH"/>
        </w:rPr>
        <w:t>-2</w:t>
      </w:r>
      <w:r w:rsidR="00B82AA0">
        <w:rPr>
          <w:lang w:val="en-PH"/>
        </w:rPr>
        <w:t>3</w:t>
      </w:r>
      <w:bookmarkEnd w:id="369"/>
      <w:bookmarkEnd w:id="370"/>
      <w:bookmarkEnd w:id="371"/>
    </w:p>
    <w:tbl>
      <w:tblPr>
        <w:tblW w:w="9498" w:type="dxa"/>
        <w:tblLook w:val="04A0" w:firstRow="1" w:lastRow="0" w:firstColumn="1" w:lastColumn="0" w:noHBand="0" w:noVBand="1"/>
      </w:tblPr>
      <w:tblGrid>
        <w:gridCol w:w="1124"/>
        <w:gridCol w:w="1003"/>
        <w:gridCol w:w="992"/>
        <w:gridCol w:w="850"/>
        <w:gridCol w:w="993"/>
        <w:gridCol w:w="850"/>
        <w:gridCol w:w="992"/>
        <w:gridCol w:w="993"/>
        <w:gridCol w:w="850"/>
        <w:gridCol w:w="851"/>
      </w:tblGrid>
      <w:tr w:rsidR="003A549C" w:rsidRPr="00DC7A99" w14:paraId="73E03493" w14:textId="77777777" w:rsidTr="00223677">
        <w:trPr>
          <w:trHeight w:val="300"/>
        </w:trPr>
        <w:tc>
          <w:tcPr>
            <w:tcW w:w="1124" w:type="dxa"/>
            <w:vMerge w:val="restart"/>
            <w:tcBorders>
              <w:top w:val="nil"/>
              <w:left w:val="nil"/>
              <w:bottom w:val="single" w:sz="8" w:space="0" w:color="D9D9D9"/>
              <w:right w:val="single" w:sz="8" w:space="0" w:color="FFFFFF"/>
            </w:tcBorders>
            <w:shd w:val="clear" w:color="000000" w:fill="15272F"/>
            <w:vAlign w:val="center"/>
            <w:hideMark/>
          </w:tcPr>
          <w:p w14:paraId="6630E98D" w14:textId="77777777" w:rsidR="003A549C" w:rsidRPr="00144CE8" w:rsidRDefault="003A549C" w:rsidP="003A549C">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themeColor="background2"/>
                <w:sz w:val="16"/>
                <w:szCs w:val="16"/>
                <w:lang w:eastAsia="en-AU"/>
              </w:rPr>
              <w:t>Jurisdiction</w:t>
            </w:r>
          </w:p>
        </w:tc>
        <w:tc>
          <w:tcPr>
            <w:tcW w:w="2845" w:type="dxa"/>
            <w:gridSpan w:val="3"/>
            <w:tcBorders>
              <w:top w:val="single" w:sz="8" w:space="0" w:color="auto"/>
              <w:left w:val="nil"/>
              <w:bottom w:val="single" w:sz="8" w:space="0" w:color="FFFFFF"/>
              <w:right w:val="single" w:sz="8" w:space="0" w:color="FFFFFF"/>
            </w:tcBorders>
            <w:shd w:val="clear" w:color="000000" w:fill="15272F"/>
            <w:vAlign w:val="center"/>
            <w:hideMark/>
          </w:tcPr>
          <w:p w14:paraId="7D7CBAF5" w14:textId="40F146B8" w:rsidR="003A549C" w:rsidRPr="00144CE8"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In-scope</w:t>
            </w:r>
            <w:r>
              <w:rPr>
                <w:rFonts w:eastAsia="Times New Roman" w:cs="Arial"/>
                <w:b/>
                <w:bCs/>
                <w:color w:val="FFFFFF" w:themeColor="background2"/>
                <w:sz w:val="16"/>
                <w:szCs w:val="16"/>
                <w:lang w:eastAsia="en-AU"/>
              </w:rPr>
              <w:t xml:space="preserve"> NHCDC</w:t>
            </w:r>
            <w:r w:rsidRPr="00F61D59">
              <w:rPr>
                <w:rFonts w:eastAsia="Times New Roman" w:cs="Arial"/>
                <w:b/>
                <w:bCs/>
                <w:color w:val="FFFFFF" w:themeColor="background2"/>
                <w:sz w:val="16"/>
                <w:szCs w:val="16"/>
                <w:lang w:eastAsia="en-AU"/>
              </w:rPr>
              <w:t xml:space="preserve"> </w:t>
            </w:r>
            <w:r>
              <w:rPr>
                <w:rFonts w:eastAsia="Times New Roman" w:cs="Arial"/>
                <w:b/>
                <w:bCs/>
                <w:color w:val="FFFFFF" w:themeColor="background2"/>
                <w:sz w:val="16"/>
                <w:szCs w:val="16"/>
                <w:lang w:eastAsia="en-AU"/>
              </w:rPr>
              <w:t>r</w:t>
            </w:r>
            <w:r w:rsidRPr="00F61D59">
              <w:rPr>
                <w:rFonts w:eastAsia="Times New Roman" w:cs="Arial"/>
                <w:b/>
                <w:bCs/>
                <w:color w:val="FFFFFF" w:themeColor="background2"/>
                <w:sz w:val="16"/>
                <w:szCs w:val="16"/>
                <w:lang w:eastAsia="en-AU"/>
              </w:rPr>
              <w:t>ecords</w:t>
            </w:r>
          </w:p>
        </w:tc>
        <w:tc>
          <w:tcPr>
            <w:tcW w:w="2835" w:type="dxa"/>
            <w:gridSpan w:val="3"/>
            <w:tcBorders>
              <w:top w:val="single" w:sz="8" w:space="0" w:color="auto"/>
              <w:left w:val="nil"/>
              <w:bottom w:val="single" w:sz="8" w:space="0" w:color="FFFFFF"/>
              <w:right w:val="single" w:sz="4" w:space="0" w:color="FFFFFF" w:themeColor="background2"/>
            </w:tcBorders>
            <w:shd w:val="clear" w:color="000000" w:fill="15272F"/>
            <w:vAlign w:val="center"/>
            <w:hideMark/>
          </w:tcPr>
          <w:p w14:paraId="351D490F" w14:textId="50DC9EAB" w:rsidR="003A549C" w:rsidRPr="00144CE8"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 xml:space="preserve">In-scope </w:t>
            </w:r>
            <w:r>
              <w:rPr>
                <w:rFonts w:eastAsia="Times New Roman" w:cs="Arial"/>
                <w:b/>
                <w:bCs/>
                <w:color w:val="FFFFFF" w:themeColor="background2"/>
                <w:sz w:val="16"/>
                <w:szCs w:val="16"/>
                <w:lang w:eastAsia="en-AU"/>
              </w:rPr>
              <w:t>ABF activity</w:t>
            </w:r>
          </w:p>
        </w:tc>
        <w:tc>
          <w:tcPr>
            <w:tcW w:w="2694" w:type="dxa"/>
            <w:gridSpan w:val="3"/>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3F888842" w14:textId="6845CD81" w:rsidR="003A549C" w:rsidRPr="00144CE8" w:rsidRDefault="003A549C" w:rsidP="003A549C">
            <w:pPr>
              <w:spacing w:before="40" w:after="40" w:line="240" w:lineRule="auto"/>
              <w:jc w:val="center"/>
              <w:rPr>
                <w:rFonts w:eastAsia="Times New Roman" w:cs="Arial"/>
                <w:b/>
                <w:bCs/>
                <w:color w:val="FFFFFF"/>
                <w:sz w:val="16"/>
                <w:szCs w:val="16"/>
                <w:lang w:eastAsia="en-AU"/>
              </w:rPr>
            </w:pPr>
            <w:r w:rsidRPr="00657489">
              <w:rPr>
                <w:rFonts w:eastAsia="Times New Roman" w:cs="Arial"/>
                <w:b/>
                <w:bCs/>
                <w:color w:val="FFFFFF" w:themeColor="background2"/>
                <w:sz w:val="16"/>
                <w:szCs w:val="16"/>
                <w:lang w:eastAsia="en-AU"/>
              </w:rPr>
              <w:t xml:space="preserve">Costed </w:t>
            </w:r>
            <w:r>
              <w:rPr>
                <w:rFonts w:eastAsia="Times New Roman" w:cs="Arial"/>
                <w:b/>
                <w:bCs/>
                <w:color w:val="FFFFFF" w:themeColor="background2"/>
                <w:sz w:val="16"/>
                <w:szCs w:val="16"/>
                <w:lang w:eastAsia="en-AU"/>
              </w:rPr>
              <w:t>a</w:t>
            </w:r>
            <w:r w:rsidRPr="00657489">
              <w:rPr>
                <w:rFonts w:eastAsia="Times New Roman" w:cs="Arial"/>
                <w:b/>
                <w:bCs/>
                <w:color w:val="FFFFFF" w:themeColor="background2"/>
                <w:sz w:val="16"/>
                <w:szCs w:val="16"/>
                <w:lang w:eastAsia="en-AU"/>
              </w:rPr>
              <w:t>ctivity (%)</w:t>
            </w:r>
          </w:p>
        </w:tc>
      </w:tr>
      <w:tr w:rsidR="00DC7A99" w:rsidRPr="00DC7A99" w14:paraId="5CB63A04" w14:textId="77777777" w:rsidTr="00223677">
        <w:trPr>
          <w:trHeight w:val="300"/>
        </w:trPr>
        <w:tc>
          <w:tcPr>
            <w:tcW w:w="1124" w:type="dxa"/>
            <w:vMerge/>
            <w:tcBorders>
              <w:top w:val="nil"/>
              <w:left w:val="nil"/>
              <w:bottom w:val="single" w:sz="8" w:space="0" w:color="D9D9D9"/>
              <w:right w:val="single" w:sz="8" w:space="0" w:color="FFFFFF"/>
            </w:tcBorders>
            <w:vAlign w:val="center"/>
            <w:hideMark/>
          </w:tcPr>
          <w:p w14:paraId="7B4DDB1E" w14:textId="77777777" w:rsidR="00DC7A99" w:rsidRPr="00144CE8" w:rsidRDefault="00DC7A99" w:rsidP="000E5BF8">
            <w:pPr>
              <w:spacing w:before="40" w:after="40" w:line="240" w:lineRule="auto"/>
              <w:rPr>
                <w:rFonts w:eastAsia="Times New Roman" w:cs="Arial"/>
                <w:b/>
                <w:bCs/>
                <w:color w:val="FFFFFF"/>
                <w:sz w:val="16"/>
                <w:szCs w:val="16"/>
                <w:lang w:eastAsia="en-AU"/>
              </w:rPr>
            </w:pPr>
          </w:p>
        </w:tc>
        <w:tc>
          <w:tcPr>
            <w:tcW w:w="1003" w:type="dxa"/>
            <w:tcBorders>
              <w:top w:val="nil"/>
              <w:left w:val="nil"/>
              <w:bottom w:val="single" w:sz="8" w:space="0" w:color="D9D9D9"/>
              <w:right w:val="single" w:sz="8" w:space="0" w:color="FFFFFF"/>
            </w:tcBorders>
            <w:shd w:val="clear" w:color="000000" w:fill="15272F"/>
            <w:vAlign w:val="center"/>
            <w:hideMark/>
          </w:tcPr>
          <w:p w14:paraId="74DC0781" w14:textId="77777777" w:rsidR="00DC7A99" w:rsidRPr="00144CE8" w:rsidRDefault="00DC7A99" w:rsidP="000E5BF8">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themeColor="background2"/>
                <w:sz w:val="16"/>
                <w:szCs w:val="16"/>
                <w:lang w:eastAsia="en-AU"/>
              </w:rPr>
              <w:t>2020-21</w:t>
            </w:r>
          </w:p>
        </w:tc>
        <w:tc>
          <w:tcPr>
            <w:tcW w:w="992" w:type="dxa"/>
            <w:tcBorders>
              <w:top w:val="nil"/>
              <w:left w:val="nil"/>
              <w:bottom w:val="single" w:sz="8" w:space="0" w:color="D9D9D9"/>
              <w:right w:val="single" w:sz="8" w:space="0" w:color="FFFFFF"/>
            </w:tcBorders>
            <w:shd w:val="clear" w:color="000000" w:fill="15272F"/>
            <w:vAlign w:val="center"/>
            <w:hideMark/>
          </w:tcPr>
          <w:p w14:paraId="3818D893" w14:textId="77777777" w:rsidR="00DC7A99" w:rsidRPr="00144CE8" w:rsidRDefault="00DC7A99" w:rsidP="000E5BF8">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themeColor="background2"/>
                <w:sz w:val="16"/>
                <w:szCs w:val="16"/>
                <w:lang w:eastAsia="en-AU"/>
              </w:rPr>
              <w:t>2021-22</w:t>
            </w:r>
          </w:p>
        </w:tc>
        <w:tc>
          <w:tcPr>
            <w:tcW w:w="850" w:type="dxa"/>
            <w:tcBorders>
              <w:top w:val="nil"/>
              <w:left w:val="nil"/>
              <w:bottom w:val="single" w:sz="8" w:space="0" w:color="D9D9D9"/>
              <w:right w:val="single" w:sz="8" w:space="0" w:color="FFFFFF"/>
            </w:tcBorders>
            <w:shd w:val="clear" w:color="000000" w:fill="15272F"/>
            <w:vAlign w:val="center"/>
            <w:hideMark/>
          </w:tcPr>
          <w:p w14:paraId="2C394ADB" w14:textId="77777777" w:rsidR="00DC7A99" w:rsidRPr="00144CE8" w:rsidRDefault="00DC7A99" w:rsidP="000E5BF8">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themeColor="background2"/>
                <w:sz w:val="16"/>
                <w:szCs w:val="16"/>
                <w:lang w:eastAsia="en-AU"/>
              </w:rPr>
              <w:t>2022-23</w:t>
            </w:r>
          </w:p>
        </w:tc>
        <w:tc>
          <w:tcPr>
            <w:tcW w:w="993" w:type="dxa"/>
            <w:tcBorders>
              <w:top w:val="nil"/>
              <w:left w:val="nil"/>
              <w:bottom w:val="single" w:sz="8" w:space="0" w:color="D9D9D9"/>
              <w:right w:val="single" w:sz="8" w:space="0" w:color="FFFFFF"/>
            </w:tcBorders>
            <w:shd w:val="clear" w:color="000000" w:fill="15272F"/>
            <w:vAlign w:val="center"/>
            <w:hideMark/>
          </w:tcPr>
          <w:p w14:paraId="2CF98A07" w14:textId="77777777" w:rsidR="00DC7A99" w:rsidRPr="00144CE8" w:rsidRDefault="00DC7A99" w:rsidP="000E5BF8">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themeColor="background2"/>
                <w:sz w:val="16"/>
                <w:szCs w:val="16"/>
                <w:lang w:eastAsia="en-AU"/>
              </w:rPr>
              <w:t>2020-21</w:t>
            </w:r>
          </w:p>
        </w:tc>
        <w:tc>
          <w:tcPr>
            <w:tcW w:w="850" w:type="dxa"/>
            <w:tcBorders>
              <w:top w:val="nil"/>
              <w:left w:val="nil"/>
              <w:bottom w:val="single" w:sz="8" w:space="0" w:color="D9D9D9"/>
              <w:right w:val="single" w:sz="8" w:space="0" w:color="FFFFFF"/>
            </w:tcBorders>
            <w:shd w:val="clear" w:color="000000" w:fill="15272F"/>
            <w:vAlign w:val="center"/>
            <w:hideMark/>
          </w:tcPr>
          <w:p w14:paraId="7C30F98B" w14:textId="77777777" w:rsidR="00DC7A99" w:rsidRPr="00144CE8" w:rsidRDefault="00DC7A99" w:rsidP="000E5BF8">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themeColor="background2"/>
                <w:sz w:val="16"/>
                <w:szCs w:val="16"/>
                <w:lang w:eastAsia="en-AU"/>
              </w:rPr>
              <w:t>2021-22</w:t>
            </w:r>
          </w:p>
        </w:tc>
        <w:tc>
          <w:tcPr>
            <w:tcW w:w="992" w:type="dxa"/>
            <w:tcBorders>
              <w:top w:val="nil"/>
              <w:left w:val="nil"/>
              <w:bottom w:val="single" w:sz="8" w:space="0" w:color="D9D9D9"/>
              <w:right w:val="single" w:sz="8" w:space="0" w:color="FFFFFF"/>
            </w:tcBorders>
            <w:shd w:val="clear" w:color="000000" w:fill="15272F"/>
            <w:vAlign w:val="center"/>
            <w:hideMark/>
          </w:tcPr>
          <w:p w14:paraId="7DE242E0" w14:textId="77777777" w:rsidR="00DC7A99" w:rsidRPr="00144CE8" w:rsidRDefault="00DC7A99" w:rsidP="000E5BF8">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themeColor="background2"/>
                <w:sz w:val="16"/>
                <w:szCs w:val="16"/>
                <w:lang w:eastAsia="en-AU"/>
              </w:rPr>
              <w:t>2022-23</w:t>
            </w:r>
          </w:p>
        </w:tc>
        <w:tc>
          <w:tcPr>
            <w:tcW w:w="993" w:type="dxa"/>
            <w:tcBorders>
              <w:top w:val="single" w:sz="8" w:space="0" w:color="D9D9D9"/>
              <w:left w:val="nil"/>
              <w:bottom w:val="single" w:sz="8" w:space="0" w:color="D9D9D9"/>
              <w:right w:val="single" w:sz="4" w:space="0" w:color="FFFFFF" w:themeColor="background2"/>
            </w:tcBorders>
            <w:shd w:val="clear" w:color="000000" w:fill="15272F"/>
            <w:vAlign w:val="center"/>
            <w:hideMark/>
          </w:tcPr>
          <w:p w14:paraId="6C2C9577" w14:textId="77777777" w:rsidR="00DC7A99" w:rsidRPr="00144CE8" w:rsidRDefault="00DC7A99" w:rsidP="000E5BF8">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themeColor="background2"/>
                <w:sz w:val="16"/>
                <w:szCs w:val="16"/>
                <w:lang w:eastAsia="en-AU"/>
              </w:rPr>
              <w:t>2020-21</w:t>
            </w:r>
          </w:p>
        </w:tc>
        <w:tc>
          <w:tcPr>
            <w:tcW w:w="85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056EED72" w14:textId="77777777" w:rsidR="00DC7A99" w:rsidRPr="00144CE8" w:rsidRDefault="00DC7A99" w:rsidP="000E5BF8">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themeColor="background2"/>
                <w:sz w:val="16"/>
                <w:szCs w:val="16"/>
                <w:lang w:eastAsia="en-AU"/>
              </w:rPr>
              <w:t>2021-22</w:t>
            </w:r>
          </w:p>
        </w:tc>
        <w:tc>
          <w:tcPr>
            <w:tcW w:w="851"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0B97E198" w14:textId="77777777" w:rsidR="00DC7A99" w:rsidRPr="00144CE8" w:rsidRDefault="00DC7A99" w:rsidP="000E5BF8">
            <w:pPr>
              <w:spacing w:before="40" w:after="40" w:line="240" w:lineRule="auto"/>
              <w:jc w:val="center"/>
              <w:rPr>
                <w:rFonts w:eastAsia="Times New Roman" w:cs="Arial"/>
                <w:b/>
                <w:bCs/>
                <w:color w:val="FFFFFF"/>
                <w:sz w:val="16"/>
                <w:szCs w:val="16"/>
                <w:lang w:eastAsia="en-AU"/>
              </w:rPr>
            </w:pPr>
            <w:r w:rsidRPr="00144CE8">
              <w:rPr>
                <w:rFonts w:eastAsia="Times New Roman" w:cs="Arial"/>
                <w:b/>
                <w:bCs/>
                <w:color w:val="FFFFFF" w:themeColor="background2"/>
                <w:sz w:val="16"/>
                <w:szCs w:val="16"/>
                <w:lang w:eastAsia="en-AU"/>
              </w:rPr>
              <w:t>2022-23</w:t>
            </w:r>
          </w:p>
        </w:tc>
      </w:tr>
      <w:tr w:rsidR="00C3787D" w:rsidRPr="00DC7A99" w14:paraId="3155D2EE" w14:textId="77777777" w:rsidTr="00091DB9">
        <w:trPr>
          <w:trHeight w:val="300"/>
        </w:trPr>
        <w:tc>
          <w:tcPr>
            <w:tcW w:w="1124" w:type="dxa"/>
            <w:tcBorders>
              <w:top w:val="nil"/>
              <w:left w:val="nil"/>
              <w:bottom w:val="single" w:sz="8" w:space="0" w:color="D9D9D9"/>
              <w:right w:val="single" w:sz="8" w:space="0" w:color="FFFFFF"/>
            </w:tcBorders>
            <w:shd w:val="clear" w:color="auto" w:fill="auto"/>
            <w:vAlign w:val="center"/>
            <w:hideMark/>
          </w:tcPr>
          <w:p w14:paraId="55DC9553" w14:textId="77777777" w:rsidR="00C3787D" w:rsidRPr="00144CE8" w:rsidRDefault="00C3787D" w:rsidP="00C3787D">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NSW</w:t>
            </w:r>
          </w:p>
        </w:tc>
        <w:tc>
          <w:tcPr>
            <w:tcW w:w="1003" w:type="dxa"/>
            <w:tcBorders>
              <w:top w:val="nil"/>
              <w:left w:val="nil"/>
              <w:bottom w:val="single" w:sz="8" w:space="0" w:color="D9D9D9"/>
              <w:right w:val="single" w:sz="8" w:space="0" w:color="FFFFFF"/>
            </w:tcBorders>
            <w:shd w:val="clear" w:color="000000" w:fill="F2F2F2"/>
            <w:vAlign w:val="center"/>
            <w:hideMark/>
          </w:tcPr>
          <w:p w14:paraId="0A59843F" w14:textId="58E9CA3E"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36,387 </w:t>
            </w:r>
          </w:p>
        </w:tc>
        <w:tc>
          <w:tcPr>
            <w:tcW w:w="992" w:type="dxa"/>
            <w:tcBorders>
              <w:top w:val="nil"/>
              <w:left w:val="nil"/>
              <w:bottom w:val="nil"/>
              <w:right w:val="single" w:sz="8" w:space="0" w:color="FFFFFF"/>
            </w:tcBorders>
            <w:shd w:val="clear" w:color="000000" w:fill="F2F2F2"/>
            <w:vAlign w:val="center"/>
            <w:hideMark/>
          </w:tcPr>
          <w:p w14:paraId="2733185D" w14:textId="1C009A72"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32,181 </w:t>
            </w:r>
          </w:p>
        </w:tc>
        <w:tc>
          <w:tcPr>
            <w:tcW w:w="850" w:type="dxa"/>
            <w:tcBorders>
              <w:top w:val="nil"/>
              <w:left w:val="nil"/>
              <w:bottom w:val="single" w:sz="8" w:space="0" w:color="D9D9D9"/>
              <w:right w:val="single" w:sz="8" w:space="0" w:color="FFFFFF"/>
            </w:tcBorders>
            <w:shd w:val="clear" w:color="000000" w:fill="F2F2F2"/>
            <w:vAlign w:val="center"/>
            <w:hideMark/>
          </w:tcPr>
          <w:p w14:paraId="6E3A7974" w14:textId="5E31CCCC"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35,432 </w:t>
            </w:r>
          </w:p>
        </w:tc>
        <w:tc>
          <w:tcPr>
            <w:tcW w:w="993" w:type="dxa"/>
            <w:tcBorders>
              <w:top w:val="nil"/>
              <w:left w:val="nil"/>
              <w:bottom w:val="single" w:sz="8" w:space="0" w:color="D9D9D9"/>
              <w:right w:val="single" w:sz="8" w:space="0" w:color="FFFFFF"/>
            </w:tcBorders>
            <w:shd w:val="clear" w:color="000000" w:fill="F2F2F2"/>
            <w:vAlign w:val="center"/>
            <w:hideMark/>
          </w:tcPr>
          <w:p w14:paraId="545256E4" w14:textId="378A8F98"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43,292 </w:t>
            </w:r>
          </w:p>
        </w:tc>
        <w:tc>
          <w:tcPr>
            <w:tcW w:w="850" w:type="dxa"/>
            <w:tcBorders>
              <w:top w:val="nil"/>
              <w:left w:val="nil"/>
              <w:bottom w:val="nil"/>
              <w:right w:val="single" w:sz="8" w:space="0" w:color="FFFFFF"/>
            </w:tcBorders>
            <w:shd w:val="clear" w:color="000000" w:fill="F2F2F2"/>
            <w:vAlign w:val="center"/>
            <w:hideMark/>
          </w:tcPr>
          <w:p w14:paraId="75DC5D7D" w14:textId="59B379C2"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38,942 </w:t>
            </w:r>
          </w:p>
        </w:tc>
        <w:tc>
          <w:tcPr>
            <w:tcW w:w="992" w:type="dxa"/>
            <w:tcBorders>
              <w:top w:val="nil"/>
              <w:left w:val="nil"/>
              <w:bottom w:val="single" w:sz="8" w:space="0" w:color="D9D9D9"/>
              <w:right w:val="single" w:sz="8" w:space="0" w:color="FFFFFF"/>
            </w:tcBorders>
            <w:shd w:val="clear" w:color="000000" w:fill="F2F2F2"/>
            <w:vAlign w:val="center"/>
            <w:hideMark/>
          </w:tcPr>
          <w:p w14:paraId="21FB7D7F" w14:textId="5552E283"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39,532 </w:t>
            </w:r>
          </w:p>
        </w:tc>
        <w:tc>
          <w:tcPr>
            <w:tcW w:w="993" w:type="dxa"/>
            <w:tcBorders>
              <w:top w:val="nil"/>
              <w:left w:val="nil"/>
              <w:bottom w:val="single" w:sz="8" w:space="0" w:color="D9D9D9"/>
              <w:right w:val="single" w:sz="8" w:space="0" w:color="FFFFFF"/>
            </w:tcBorders>
            <w:shd w:val="clear" w:color="000000" w:fill="F2F2F2"/>
            <w:vAlign w:val="center"/>
            <w:hideMark/>
          </w:tcPr>
          <w:p w14:paraId="480A38FE" w14:textId="67C8B007"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84 </w:t>
            </w:r>
          </w:p>
        </w:tc>
        <w:tc>
          <w:tcPr>
            <w:tcW w:w="850" w:type="dxa"/>
            <w:tcBorders>
              <w:top w:val="single" w:sz="4" w:space="0" w:color="FFFFFF" w:themeColor="background2"/>
              <w:left w:val="nil"/>
              <w:bottom w:val="nil"/>
              <w:right w:val="single" w:sz="8" w:space="0" w:color="FFFFFF"/>
            </w:tcBorders>
            <w:shd w:val="clear" w:color="000000" w:fill="F2F2F2"/>
            <w:vAlign w:val="center"/>
            <w:hideMark/>
          </w:tcPr>
          <w:p w14:paraId="4B394988" w14:textId="1915E0BA"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83 </w:t>
            </w:r>
          </w:p>
        </w:tc>
        <w:tc>
          <w:tcPr>
            <w:tcW w:w="851" w:type="dxa"/>
            <w:tcBorders>
              <w:top w:val="single" w:sz="4" w:space="0" w:color="FFFFFF" w:themeColor="background2"/>
              <w:left w:val="nil"/>
              <w:bottom w:val="single" w:sz="8" w:space="0" w:color="D9D9D9"/>
              <w:right w:val="single" w:sz="8" w:space="0" w:color="FFFFFF"/>
            </w:tcBorders>
            <w:shd w:val="clear" w:color="000000" w:fill="F2F2F2"/>
            <w:vAlign w:val="center"/>
            <w:hideMark/>
          </w:tcPr>
          <w:p w14:paraId="6FC6B767" w14:textId="775AED6C"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90 </w:t>
            </w:r>
          </w:p>
        </w:tc>
      </w:tr>
      <w:tr w:rsidR="00C3787D" w:rsidRPr="00DC7A99" w14:paraId="1F73E7A6" w14:textId="77777777" w:rsidTr="00091DB9">
        <w:trPr>
          <w:trHeight w:val="300"/>
        </w:trPr>
        <w:tc>
          <w:tcPr>
            <w:tcW w:w="1124" w:type="dxa"/>
            <w:tcBorders>
              <w:top w:val="nil"/>
              <w:left w:val="nil"/>
              <w:bottom w:val="single" w:sz="8" w:space="0" w:color="D9D9D9"/>
              <w:right w:val="single" w:sz="8" w:space="0" w:color="FFFFFF"/>
            </w:tcBorders>
            <w:shd w:val="clear" w:color="auto" w:fill="auto"/>
            <w:vAlign w:val="center"/>
            <w:hideMark/>
          </w:tcPr>
          <w:p w14:paraId="2A5C323E" w14:textId="77777777" w:rsidR="00C3787D" w:rsidRPr="00144CE8" w:rsidRDefault="00C3787D" w:rsidP="00C3787D">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Vic</w:t>
            </w:r>
          </w:p>
        </w:tc>
        <w:tc>
          <w:tcPr>
            <w:tcW w:w="1003" w:type="dxa"/>
            <w:tcBorders>
              <w:top w:val="nil"/>
              <w:left w:val="nil"/>
              <w:bottom w:val="nil"/>
              <w:right w:val="single" w:sz="8" w:space="0" w:color="FFFFFF"/>
            </w:tcBorders>
            <w:shd w:val="clear" w:color="000000" w:fill="F2F2F2"/>
            <w:vAlign w:val="center"/>
            <w:hideMark/>
          </w:tcPr>
          <w:p w14:paraId="2E003CE8" w14:textId="76534EBA"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26,470 </w:t>
            </w:r>
          </w:p>
        </w:tc>
        <w:tc>
          <w:tcPr>
            <w:tcW w:w="992" w:type="dxa"/>
            <w:tcBorders>
              <w:top w:val="single" w:sz="8" w:space="0" w:color="D9D9D9"/>
              <w:left w:val="nil"/>
              <w:bottom w:val="single" w:sz="8" w:space="0" w:color="D9D9D9"/>
              <w:right w:val="single" w:sz="8" w:space="0" w:color="FFFFFF"/>
            </w:tcBorders>
            <w:shd w:val="clear" w:color="000000" w:fill="F2F2F2"/>
            <w:vAlign w:val="center"/>
            <w:hideMark/>
          </w:tcPr>
          <w:p w14:paraId="5A2D5597" w14:textId="75003791"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25,507 </w:t>
            </w:r>
          </w:p>
        </w:tc>
        <w:tc>
          <w:tcPr>
            <w:tcW w:w="850" w:type="dxa"/>
            <w:tcBorders>
              <w:top w:val="nil"/>
              <w:left w:val="nil"/>
              <w:bottom w:val="nil"/>
              <w:right w:val="single" w:sz="8" w:space="0" w:color="FFFFFF"/>
            </w:tcBorders>
            <w:shd w:val="clear" w:color="000000" w:fill="F2F2F2"/>
            <w:vAlign w:val="center"/>
            <w:hideMark/>
          </w:tcPr>
          <w:p w14:paraId="18395C5F" w14:textId="13A89B15"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24,</w:t>
            </w:r>
            <w:r w:rsidR="00335438">
              <w:rPr>
                <w:rFonts w:cs="Arial"/>
                <w:color w:val="15272F"/>
                <w:sz w:val="16"/>
                <w:szCs w:val="16"/>
              </w:rPr>
              <w:t>295</w:t>
            </w:r>
            <w:r w:rsidRPr="00091DB9">
              <w:rPr>
                <w:rFonts w:cs="Arial"/>
                <w:color w:val="15272F"/>
                <w:sz w:val="16"/>
                <w:szCs w:val="16"/>
              </w:rPr>
              <w:t xml:space="preserve"> </w:t>
            </w:r>
          </w:p>
        </w:tc>
        <w:tc>
          <w:tcPr>
            <w:tcW w:w="993" w:type="dxa"/>
            <w:tcBorders>
              <w:top w:val="nil"/>
              <w:left w:val="nil"/>
              <w:bottom w:val="nil"/>
              <w:right w:val="single" w:sz="8" w:space="0" w:color="FFFFFF"/>
            </w:tcBorders>
            <w:shd w:val="clear" w:color="000000" w:fill="F2F2F2"/>
            <w:vAlign w:val="center"/>
            <w:hideMark/>
          </w:tcPr>
          <w:p w14:paraId="6B996C2B" w14:textId="2E08C0A8"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28,160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77D7AEA5" w14:textId="20D3C719"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27,057 </w:t>
            </w:r>
          </w:p>
        </w:tc>
        <w:tc>
          <w:tcPr>
            <w:tcW w:w="992" w:type="dxa"/>
            <w:tcBorders>
              <w:top w:val="nil"/>
              <w:left w:val="nil"/>
              <w:bottom w:val="nil"/>
              <w:right w:val="single" w:sz="8" w:space="0" w:color="FFFFFF"/>
            </w:tcBorders>
            <w:shd w:val="clear" w:color="000000" w:fill="F2F2F2"/>
            <w:vAlign w:val="center"/>
            <w:hideMark/>
          </w:tcPr>
          <w:p w14:paraId="2853E80E" w14:textId="1ABB417C"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25,516 </w:t>
            </w:r>
          </w:p>
        </w:tc>
        <w:tc>
          <w:tcPr>
            <w:tcW w:w="993" w:type="dxa"/>
            <w:tcBorders>
              <w:top w:val="nil"/>
              <w:left w:val="nil"/>
              <w:bottom w:val="nil"/>
              <w:right w:val="single" w:sz="8" w:space="0" w:color="FFFFFF"/>
            </w:tcBorders>
            <w:shd w:val="clear" w:color="000000" w:fill="F2F2F2"/>
            <w:vAlign w:val="center"/>
            <w:hideMark/>
          </w:tcPr>
          <w:p w14:paraId="35FA1B28" w14:textId="7C2292A2"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94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56F09E9A" w14:textId="55604690"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94 </w:t>
            </w:r>
          </w:p>
        </w:tc>
        <w:tc>
          <w:tcPr>
            <w:tcW w:w="851" w:type="dxa"/>
            <w:tcBorders>
              <w:top w:val="nil"/>
              <w:left w:val="nil"/>
              <w:bottom w:val="nil"/>
              <w:right w:val="single" w:sz="8" w:space="0" w:color="FFFFFF"/>
            </w:tcBorders>
            <w:shd w:val="clear" w:color="000000" w:fill="F2F2F2"/>
            <w:vAlign w:val="center"/>
            <w:hideMark/>
          </w:tcPr>
          <w:p w14:paraId="68016850" w14:textId="697FE9F0"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95 </w:t>
            </w:r>
          </w:p>
        </w:tc>
      </w:tr>
      <w:tr w:rsidR="00C3787D" w:rsidRPr="00DC7A99" w14:paraId="2A4E3711" w14:textId="77777777" w:rsidTr="00091DB9">
        <w:trPr>
          <w:trHeight w:val="300"/>
        </w:trPr>
        <w:tc>
          <w:tcPr>
            <w:tcW w:w="1124" w:type="dxa"/>
            <w:tcBorders>
              <w:top w:val="nil"/>
              <w:left w:val="nil"/>
              <w:bottom w:val="single" w:sz="8" w:space="0" w:color="D9D9D9"/>
              <w:right w:val="single" w:sz="8" w:space="0" w:color="FFFFFF"/>
            </w:tcBorders>
            <w:shd w:val="clear" w:color="auto" w:fill="auto"/>
            <w:vAlign w:val="center"/>
            <w:hideMark/>
          </w:tcPr>
          <w:p w14:paraId="710F10BB" w14:textId="77777777" w:rsidR="00C3787D" w:rsidRPr="00144CE8" w:rsidRDefault="00C3787D" w:rsidP="00C3787D">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Qld</w:t>
            </w:r>
          </w:p>
        </w:tc>
        <w:tc>
          <w:tcPr>
            <w:tcW w:w="1003" w:type="dxa"/>
            <w:tcBorders>
              <w:top w:val="single" w:sz="8" w:space="0" w:color="D9D9D9"/>
              <w:left w:val="nil"/>
              <w:bottom w:val="single" w:sz="8" w:space="0" w:color="D9D9D9"/>
              <w:right w:val="single" w:sz="8" w:space="0" w:color="FFFFFF"/>
            </w:tcBorders>
            <w:shd w:val="clear" w:color="000000" w:fill="F2F2F2"/>
            <w:vAlign w:val="center"/>
            <w:hideMark/>
          </w:tcPr>
          <w:p w14:paraId="6A01BE15" w14:textId="6B3E7E0B"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6,562 </w:t>
            </w:r>
          </w:p>
        </w:tc>
        <w:tc>
          <w:tcPr>
            <w:tcW w:w="992" w:type="dxa"/>
            <w:tcBorders>
              <w:top w:val="nil"/>
              <w:left w:val="nil"/>
              <w:bottom w:val="single" w:sz="8" w:space="0" w:color="D9D9D9"/>
              <w:right w:val="single" w:sz="8" w:space="0" w:color="FFFFFF"/>
            </w:tcBorders>
            <w:shd w:val="clear" w:color="000000" w:fill="F2F2F2"/>
            <w:vAlign w:val="center"/>
            <w:hideMark/>
          </w:tcPr>
          <w:p w14:paraId="5FE6180C" w14:textId="57764E60"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15,763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19357E32" w14:textId="70A9A5BE"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24,036 </w:t>
            </w:r>
          </w:p>
        </w:tc>
        <w:tc>
          <w:tcPr>
            <w:tcW w:w="993" w:type="dxa"/>
            <w:tcBorders>
              <w:top w:val="single" w:sz="8" w:space="0" w:color="D9D9D9"/>
              <w:left w:val="nil"/>
              <w:bottom w:val="single" w:sz="8" w:space="0" w:color="D9D9D9"/>
              <w:right w:val="single" w:sz="8" w:space="0" w:color="FFFFFF"/>
            </w:tcBorders>
            <w:shd w:val="clear" w:color="000000" w:fill="F2F2F2"/>
            <w:vAlign w:val="center"/>
            <w:hideMark/>
          </w:tcPr>
          <w:p w14:paraId="343704FA" w14:textId="3748674E"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23,281 </w:t>
            </w:r>
          </w:p>
        </w:tc>
        <w:tc>
          <w:tcPr>
            <w:tcW w:w="850" w:type="dxa"/>
            <w:tcBorders>
              <w:top w:val="nil"/>
              <w:left w:val="nil"/>
              <w:bottom w:val="single" w:sz="8" w:space="0" w:color="D9D9D9"/>
              <w:right w:val="single" w:sz="8" w:space="0" w:color="FFFFFF"/>
            </w:tcBorders>
            <w:shd w:val="clear" w:color="000000" w:fill="F2F2F2"/>
            <w:vAlign w:val="center"/>
            <w:hideMark/>
          </w:tcPr>
          <w:p w14:paraId="3DC6C93B" w14:textId="6FAFE9C9"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21,221 </w:t>
            </w:r>
          </w:p>
        </w:tc>
        <w:tc>
          <w:tcPr>
            <w:tcW w:w="992" w:type="dxa"/>
            <w:tcBorders>
              <w:top w:val="single" w:sz="8" w:space="0" w:color="D9D9D9"/>
              <w:left w:val="nil"/>
              <w:bottom w:val="single" w:sz="8" w:space="0" w:color="D9D9D9"/>
              <w:right w:val="single" w:sz="8" w:space="0" w:color="FFFFFF"/>
            </w:tcBorders>
            <w:shd w:val="clear" w:color="000000" w:fill="F2F2F2"/>
            <w:vAlign w:val="center"/>
            <w:hideMark/>
          </w:tcPr>
          <w:p w14:paraId="0E22B12E" w14:textId="4AA8A4AD"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25,561 </w:t>
            </w:r>
          </w:p>
        </w:tc>
        <w:tc>
          <w:tcPr>
            <w:tcW w:w="993" w:type="dxa"/>
            <w:tcBorders>
              <w:top w:val="single" w:sz="8" w:space="0" w:color="D9D9D9"/>
              <w:left w:val="nil"/>
              <w:bottom w:val="single" w:sz="8" w:space="0" w:color="D9D9D9"/>
              <w:right w:val="single" w:sz="8" w:space="0" w:color="FFFFFF"/>
            </w:tcBorders>
            <w:shd w:val="clear" w:color="000000" w:fill="F2F2F2"/>
            <w:vAlign w:val="center"/>
            <w:hideMark/>
          </w:tcPr>
          <w:p w14:paraId="63F3F5E5" w14:textId="42C266FA"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28 </w:t>
            </w:r>
          </w:p>
        </w:tc>
        <w:tc>
          <w:tcPr>
            <w:tcW w:w="850" w:type="dxa"/>
            <w:tcBorders>
              <w:top w:val="nil"/>
              <w:left w:val="nil"/>
              <w:bottom w:val="single" w:sz="8" w:space="0" w:color="D9D9D9"/>
              <w:right w:val="single" w:sz="8" w:space="0" w:color="FFFFFF"/>
            </w:tcBorders>
            <w:shd w:val="clear" w:color="000000" w:fill="F2F2F2"/>
            <w:vAlign w:val="center"/>
            <w:hideMark/>
          </w:tcPr>
          <w:p w14:paraId="212D3746" w14:textId="36F54E67"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74 </w:t>
            </w:r>
          </w:p>
        </w:tc>
        <w:tc>
          <w:tcPr>
            <w:tcW w:w="851" w:type="dxa"/>
            <w:tcBorders>
              <w:top w:val="single" w:sz="8" w:space="0" w:color="D9D9D9"/>
              <w:left w:val="nil"/>
              <w:bottom w:val="single" w:sz="8" w:space="0" w:color="D9D9D9"/>
              <w:right w:val="single" w:sz="8" w:space="0" w:color="FFFFFF"/>
            </w:tcBorders>
            <w:shd w:val="clear" w:color="000000" w:fill="F2F2F2"/>
            <w:vAlign w:val="center"/>
            <w:hideMark/>
          </w:tcPr>
          <w:p w14:paraId="5EAE2D2D" w14:textId="7BCD8720"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94 </w:t>
            </w:r>
          </w:p>
        </w:tc>
      </w:tr>
      <w:tr w:rsidR="00C3787D" w:rsidRPr="00DC7A99" w14:paraId="125F6510" w14:textId="77777777" w:rsidTr="00091DB9">
        <w:trPr>
          <w:trHeight w:val="300"/>
        </w:trPr>
        <w:tc>
          <w:tcPr>
            <w:tcW w:w="1124" w:type="dxa"/>
            <w:tcBorders>
              <w:top w:val="nil"/>
              <w:left w:val="nil"/>
              <w:bottom w:val="single" w:sz="8" w:space="0" w:color="D9D9D9"/>
              <w:right w:val="single" w:sz="8" w:space="0" w:color="FFFFFF"/>
            </w:tcBorders>
            <w:shd w:val="clear" w:color="auto" w:fill="auto"/>
            <w:vAlign w:val="center"/>
            <w:hideMark/>
          </w:tcPr>
          <w:p w14:paraId="5FC4562B" w14:textId="77777777" w:rsidR="00C3787D" w:rsidRPr="00144CE8" w:rsidRDefault="00C3787D" w:rsidP="00C3787D">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SA</w:t>
            </w:r>
          </w:p>
        </w:tc>
        <w:tc>
          <w:tcPr>
            <w:tcW w:w="1003" w:type="dxa"/>
            <w:tcBorders>
              <w:top w:val="nil"/>
              <w:left w:val="nil"/>
              <w:bottom w:val="single" w:sz="8" w:space="0" w:color="D9D9D9"/>
              <w:right w:val="single" w:sz="8" w:space="0" w:color="FFFFFF"/>
            </w:tcBorders>
            <w:shd w:val="clear" w:color="000000" w:fill="F2F2F2"/>
            <w:vAlign w:val="center"/>
            <w:hideMark/>
          </w:tcPr>
          <w:p w14:paraId="0A2AAA95" w14:textId="16C5E24B"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92" w:type="dxa"/>
            <w:tcBorders>
              <w:top w:val="nil"/>
              <w:left w:val="nil"/>
              <w:bottom w:val="nil"/>
              <w:right w:val="single" w:sz="8" w:space="0" w:color="FFFFFF"/>
            </w:tcBorders>
            <w:shd w:val="clear" w:color="000000" w:fill="F2F2F2"/>
            <w:vAlign w:val="center"/>
            <w:hideMark/>
          </w:tcPr>
          <w:p w14:paraId="21DECC61" w14:textId="408720E7"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6,484 </w:t>
            </w:r>
          </w:p>
        </w:tc>
        <w:tc>
          <w:tcPr>
            <w:tcW w:w="850" w:type="dxa"/>
            <w:tcBorders>
              <w:top w:val="nil"/>
              <w:left w:val="nil"/>
              <w:bottom w:val="single" w:sz="8" w:space="0" w:color="D9D9D9"/>
              <w:right w:val="single" w:sz="8" w:space="0" w:color="FFFFFF"/>
            </w:tcBorders>
            <w:shd w:val="clear" w:color="000000" w:fill="F2F2F2"/>
            <w:vAlign w:val="center"/>
            <w:hideMark/>
          </w:tcPr>
          <w:p w14:paraId="7B536C31" w14:textId="1B06069A"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9,135 </w:t>
            </w:r>
          </w:p>
        </w:tc>
        <w:tc>
          <w:tcPr>
            <w:tcW w:w="993" w:type="dxa"/>
            <w:tcBorders>
              <w:top w:val="nil"/>
              <w:left w:val="nil"/>
              <w:bottom w:val="single" w:sz="8" w:space="0" w:color="D9D9D9"/>
              <w:right w:val="single" w:sz="8" w:space="0" w:color="FFFFFF"/>
            </w:tcBorders>
            <w:shd w:val="clear" w:color="000000" w:fill="F2F2F2"/>
            <w:vAlign w:val="center"/>
            <w:hideMark/>
          </w:tcPr>
          <w:p w14:paraId="4A6A9487" w14:textId="5137FCC3"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10,653 </w:t>
            </w:r>
          </w:p>
        </w:tc>
        <w:tc>
          <w:tcPr>
            <w:tcW w:w="850" w:type="dxa"/>
            <w:tcBorders>
              <w:top w:val="nil"/>
              <w:left w:val="nil"/>
              <w:bottom w:val="nil"/>
              <w:right w:val="single" w:sz="8" w:space="0" w:color="FFFFFF"/>
            </w:tcBorders>
            <w:shd w:val="clear" w:color="000000" w:fill="F2F2F2"/>
            <w:vAlign w:val="center"/>
            <w:hideMark/>
          </w:tcPr>
          <w:p w14:paraId="75D0DB47" w14:textId="6BE8B53B"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9,310 </w:t>
            </w:r>
          </w:p>
        </w:tc>
        <w:tc>
          <w:tcPr>
            <w:tcW w:w="992" w:type="dxa"/>
            <w:tcBorders>
              <w:top w:val="nil"/>
              <w:left w:val="nil"/>
              <w:bottom w:val="single" w:sz="8" w:space="0" w:color="D9D9D9"/>
              <w:right w:val="single" w:sz="8" w:space="0" w:color="FFFFFF"/>
            </w:tcBorders>
            <w:shd w:val="clear" w:color="000000" w:fill="F2F2F2"/>
            <w:vAlign w:val="center"/>
            <w:hideMark/>
          </w:tcPr>
          <w:p w14:paraId="687923A2" w14:textId="597D83F4"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10,502 </w:t>
            </w:r>
          </w:p>
        </w:tc>
        <w:tc>
          <w:tcPr>
            <w:tcW w:w="993" w:type="dxa"/>
            <w:tcBorders>
              <w:top w:val="nil"/>
              <w:left w:val="nil"/>
              <w:bottom w:val="single" w:sz="8" w:space="0" w:color="D9D9D9"/>
              <w:right w:val="single" w:sz="8" w:space="0" w:color="FFFFFF"/>
            </w:tcBorders>
            <w:shd w:val="clear" w:color="000000" w:fill="F2F2F2"/>
            <w:vAlign w:val="center"/>
            <w:hideMark/>
          </w:tcPr>
          <w:p w14:paraId="0A58ECF9" w14:textId="3F3C1AA8"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850" w:type="dxa"/>
            <w:tcBorders>
              <w:top w:val="nil"/>
              <w:left w:val="nil"/>
              <w:bottom w:val="nil"/>
              <w:right w:val="single" w:sz="8" w:space="0" w:color="FFFFFF"/>
            </w:tcBorders>
            <w:shd w:val="clear" w:color="000000" w:fill="F2F2F2"/>
            <w:vAlign w:val="center"/>
            <w:hideMark/>
          </w:tcPr>
          <w:p w14:paraId="1087CE3F" w14:textId="7FD771E6"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70 </w:t>
            </w:r>
          </w:p>
        </w:tc>
        <w:tc>
          <w:tcPr>
            <w:tcW w:w="851" w:type="dxa"/>
            <w:tcBorders>
              <w:top w:val="nil"/>
              <w:left w:val="nil"/>
              <w:bottom w:val="single" w:sz="8" w:space="0" w:color="D9D9D9"/>
              <w:right w:val="single" w:sz="8" w:space="0" w:color="FFFFFF"/>
            </w:tcBorders>
            <w:shd w:val="clear" w:color="000000" w:fill="F2F2F2"/>
            <w:vAlign w:val="center"/>
            <w:hideMark/>
          </w:tcPr>
          <w:p w14:paraId="45000CCB" w14:textId="073980B7"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87 </w:t>
            </w:r>
          </w:p>
        </w:tc>
      </w:tr>
      <w:tr w:rsidR="00C3787D" w:rsidRPr="00DC7A99" w14:paraId="15FF9AB7" w14:textId="77777777" w:rsidTr="00091DB9">
        <w:trPr>
          <w:trHeight w:val="300"/>
        </w:trPr>
        <w:tc>
          <w:tcPr>
            <w:tcW w:w="1124" w:type="dxa"/>
            <w:tcBorders>
              <w:top w:val="nil"/>
              <w:left w:val="nil"/>
              <w:bottom w:val="nil"/>
              <w:right w:val="single" w:sz="8" w:space="0" w:color="FFFFFF"/>
            </w:tcBorders>
            <w:shd w:val="clear" w:color="auto" w:fill="auto"/>
            <w:vAlign w:val="center"/>
            <w:hideMark/>
          </w:tcPr>
          <w:p w14:paraId="12B38A00" w14:textId="77777777" w:rsidR="00C3787D" w:rsidRPr="00144CE8" w:rsidRDefault="00C3787D" w:rsidP="00C3787D">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WA</w:t>
            </w:r>
          </w:p>
        </w:tc>
        <w:tc>
          <w:tcPr>
            <w:tcW w:w="1003" w:type="dxa"/>
            <w:tcBorders>
              <w:top w:val="nil"/>
              <w:left w:val="nil"/>
              <w:bottom w:val="nil"/>
              <w:right w:val="single" w:sz="8" w:space="0" w:color="FFFFFF"/>
            </w:tcBorders>
            <w:shd w:val="clear" w:color="000000" w:fill="F2F2F2"/>
            <w:vAlign w:val="center"/>
            <w:hideMark/>
          </w:tcPr>
          <w:p w14:paraId="0CC1D94D" w14:textId="440B9F35"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92" w:type="dxa"/>
            <w:tcBorders>
              <w:top w:val="single" w:sz="8" w:space="0" w:color="D9D9D9"/>
              <w:left w:val="nil"/>
              <w:bottom w:val="single" w:sz="8" w:space="0" w:color="D9D9D9"/>
              <w:right w:val="single" w:sz="8" w:space="0" w:color="FFFFFF"/>
            </w:tcBorders>
            <w:shd w:val="clear" w:color="000000" w:fill="F2F2F2"/>
            <w:vAlign w:val="center"/>
            <w:hideMark/>
          </w:tcPr>
          <w:p w14:paraId="03BA1467" w14:textId="0CE78CF9"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850" w:type="dxa"/>
            <w:tcBorders>
              <w:top w:val="nil"/>
              <w:left w:val="nil"/>
              <w:bottom w:val="nil"/>
              <w:right w:val="single" w:sz="8" w:space="0" w:color="FFFFFF"/>
            </w:tcBorders>
            <w:shd w:val="clear" w:color="000000" w:fill="F2F2F2"/>
            <w:vAlign w:val="center"/>
            <w:hideMark/>
          </w:tcPr>
          <w:p w14:paraId="14AD5417" w14:textId="2A17E255"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93" w:type="dxa"/>
            <w:tcBorders>
              <w:top w:val="nil"/>
              <w:left w:val="nil"/>
              <w:bottom w:val="single" w:sz="8" w:space="0" w:color="D9D9D9"/>
              <w:right w:val="single" w:sz="8" w:space="0" w:color="FFFFFF"/>
            </w:tcBorders>
            <w:shd w:val="clear" w:color="000000" w:fill="F2F2F2"/>
            <w:vAlign w:val="center"/>
            <w:hideMark/>
          </w:tcPr>
          <w:p w14:paraId="587FB153" w14:textId="7152A15B"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11,269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35C2951E" w14:textId="0A050F08"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10,676 </w:t>
            </w:r>
          </w:p>
        </w:tc>
        <w:tc>
          <w:tcPr>
            <w:tcW w:w="992" w:type="dxa"/>
            <w:tcBorders>
              <w:top w:val="nil"/>
              <w:left w:val="nil"/>
              <w:bottom w:val="nil"/>
              <w:right w:val="single" w:sz="8" w:space="0" w:color="FFFFFF"/>
            </w:tcBorders>
            <w:shd w:val="clear" w:color="000000" w:fill="F2F2F2"/>
            <w:vAlign w:val="center"/>
            <w:hideMark/>
          </w:tcPr>
          <w:p w14:paraId="04DF832F" w14:textId="7F1E59D4"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11,166 </w:t>
            </w:r>
          </w:p>
        </w:tc>
        <w:tc>
          <w:tcPr>
            <w:tcW w:w="993" w:type="dxa"/>
            <w:tcBorders>
              <w:top w:val="nil"/>
              <w:left w:val="nil"/>
              <w:bottom w:val="nil"/>
              <w:right w:val="single" w:sz="8" w:space="0" w:color="FFFFFF"/>
            </w:tcBorders>
            <w:shd w:val="clear" w:color="000000" w:fill="F2F2F2"/>
            <w:vAlign w:val="center"/>
            <w:hideMark/>
          </w:tcPr>
          <w:p w14:paraId="0DB8490A" w14:textId="4A69157F"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71D6C97D" w14:textId="3C6A902A"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851" w:type="dxa"/>
            <w:tcBorders>
              <w:top w:val="nil"/>
              <w:left w:val="nil"/>
              <w:bottom w:val="nil"/>
              <w:right w:val="single" w:sz="8" w:space="0" w:color="FFFFFF"/>
            </w:tcBorders>
            <w:shd w:val="clear" w:color="000000" w:fill="F2F2F2"/>
            <w:vAlign w:val="center"/>
            <w:hideMark/>
          </w:tcPr>
          <w:p w14:paraId="57FCBDD7" w14:textId="5F296BBB"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r>
      <w:tr w:rsidR="00C3787D" w:rsidRPr="00DC7A99" w14:paraId="10D15373" w14:textId="77777777" w:rsidTr="00091DB9">
        <w:trPr>
          <w:trHeight w:val="300"/>
        </w:trPr>
        <w:tc>
          <w:tcPr>
            <w:tcW w:w="1124" w:type="dxa"/>
            <w:tcBorders>
              <w:top w:val="single" w:sz="8" w:space="0" w:color="D9D9D9"/>
              <w:left w:val="nil"/>
              <w:bottom w:val="single" w:sz="8" w:space="0" w:color="D9D9D9"/>
              <w:right w:val="single" w:sz="8" w:space="0" w:color="FFFFFF"/>
            </w:tcBorders>
            <w:shd w:val="clear" w:color="auto" w:fill="auto"/>
            <w:vAlign w:val="center"/>
            <w:hideMark/>
          </w:tcPr>
          <w:p w14:paraId="5B7722EE" w14:textId="77777777" w:rsidR="00C3787D" w:rsidRPr="00144CE8" w:rsidRDefault="00C3787D" w:rsidP="00C3787D">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Tas</w:t>
            </w:r>
          </w:p>
        </w:tc>
        <w:tc>
          <w:tcPr>
            <w:tcW w:w="1003" w:type="dxa"/>
            <w:tcBorders>
              <w:top w:val="single" w:sz="8" w:space="0" w:color="D9D9D9"/>
              <w:left w:val="nil"/>
              <w:bottom w:val="single" w:sz="8" w:space="0" w:color="D9D9D9"/>
              <w:right w:val="single" w:sz="8" w:space="0" w:color="FFFFFF"/>
            </w:tcBorders>
            <w:shd w:val="clear" w:color="000000" w:fill="F2F2F2"/>
            <w:vAlign w:val="center"/>
            <w:hideMark/>
          </w:tcPr>
          <w:p w14:paraId="0483E2F3" w14:textId="5316C1EB"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92" w:type="dxa"/>
            <w:tcBorders>
              <w:top w:val="nil"/>
              <w:left w:val="nil"/>
              <w:bottom w:val="single" w:sz="8" w:space="0" w:color="D9D9D9"/>
              <w:right w:val="single" w:sz="8" w:space="0" w:color="FFFFFF"/>
            </w:tcBorders>
            <w:shd w:val="clear" w:color="000000" w:fill="F2F2F2"/>
            <w:vAlign w:val="center"/>
            <w:hideMark/>
          </w:tcPr>
          <w:p w14:paraId="52A639A0" w14:textId="2B1A3E2C"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4DFD958D" w14:textId="28CFE3BF"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93" w:type="dxa"/>
            <w:tcBorders>
              <w:top w:val="nil"/>
              <w:left w:val="nil"/>
              <w:bottom w:val="nil"/>
              <w:right w:val="single" w:sz="8" w:space="0" w:color="FFFFFF"/>
            </w:tcBorders>
            <w:shd w:val="clear" w:color="000000" w:fill="F2F2F2"/>
            <w:vAlign w:val="center"/>
            <w:hideMark/>
          </w:tcPr>
          <w:p w14:paraId="145F27AE" w14:textId="4A60CDFC"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2,388 </w:t>
            </w:r>
          </w:p>
        </w:tc>
        <w:tc>
          <w:tcPr>
            <w:tcW w:w="850" w:type="dxa"/>
            <w:tcBorders>
              <w:top w:val="nil"/>
              <w:left w:val="nil"/>
              <w:bottom w:val="single" w:sz="8" w:space="0" w:color="D9D9D9"/>
              <w:right w:val="single" w:sz="8" w:space="0" w:color="FFFFFF"/>
            </w:tcBorders>
            <w:shd w:val="clear" w:color="000000" w:fill="F2F2F2"/>
            <w:vAlign w:val="center"/>
            <w:hideMark/>
          </w:tcPr>
          <w:p w14:paraId="2181EF71" w14:textId="7ECB0DD7"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3,086 </w:t>
            </w:r>
          </w:p>
        </w:tc>
        <w:tc>
          <w:tcPr>
            <w:tcW w:w="992" w:type="dxa"/>
            <w:tcBorders>
              <w:top w:val="single" w:sz="8" w:space="0" w:color="D9D9D9"/>
              <w:left w:val="nil"/>
              <w:bottom w:val="single" w:sz="8" w:space="0" w:color="D9D9D9"/>
              <w:right w:val="single" w:sz="8" w:space="0" w:color="FFFFFF"/>
            </w:tcBorders>
            <w:shd w:val="clear" w:color="000000" w:fill="F2F2F2"/>
            <w:vAlign w:val="center"/>
            <w:hideMark/>
          </w:tcPr>
          <w:p w14:paraId="10CB827E" w14:textId="4EDEF461"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2,934 </w:t>
            </w:r>
          </w:p>
        </w:tc>
        <w:tc>
          <w:tcPr>
            <w:tcW w:w="993" w:type="dxa"/>
            <w:tcBorders>
              <w:top w:val="single" w:sz="8" w:space="0" w:color="D9D9D9"/>
              <w:left w:val="nil"/>
              <w:bottom w:val="single" w:sz="8" w:space="0" w:color="D9D9D9"/>
              <w:right w:val="single" w:sz="8" w:space="0" w:color="FFFFFF"/>
            </w:tcBorders>
            <w:shd w:val="clear" w:color="000000" w:fill="F2F2F2"/>
            <w:vAlign w:val="center"/>
            <w:hideMark/>
          </w:tcPr>
          <w:p w14:paraId="6A59D757" w14:textId="5A521011"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850" w:type="dxa"/>
            <w:tcBorders>
              <w:top w:val="nil"/>
              <w:left w:val="nil"/>
              <w:bottom w:val="single" w:sz="8" w:space="0" w:color="D9D9D9"/>
              <w:right w:val="single" w:sz="8" w:space="0" w:color="FFFFFF"/>
            </w:tcBorders>
            <w:shd w:val="clear" w:color="000000" w:fill="F2F2F2"/>
            <w:vAlign w:val="center"/>
            <w:hideMark/>
          </w:tcPr>
          <w:p w14:paraId="13A70DF5" w14:textId="193F4C6C"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851" w:type="dxa"/>
            <w:tcBorders>
              <w:top w:val="single" w:sz="8" w:space="0" w:color="D9D9D9"/>
              <w:left w:val="nil"/>
              <w:bottom w:val="single" w:sz="8" w:space="0" w:color="D9D9D9"/>
              <w:right w:val="single" w:sz="8" w:space="0" w:color="FFFFFF"/>
            </w:tcBorders>
            <w:shd w:val="clear" w:color="000000" w:fill="F2F2F2"/>
            <w:vAlign w:val="center"/>
            <w:hideMark/>
          </w:tcPr>
          <w:p w14:paraId="0ACF3252" w14:textId="2C638275"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r>
      <w:tr w:rsidR="00C3787D" w:rsidRPr="00DC7A99" w14:paraId="6855983B" w14:textId="77777777" w:rsidTr="00091DB9">
        <w:trPr>
          <w:trHeight w:val="300"/>
        </w:trPr>
        <w:tc>
          <w:tcPr>
            <w:tcW w:w="1124" w:type="dxa"/>
            <w:tcBorders>
              <w:top w:val="nil"/>
              <w:left w:val="nil"/>
              <w:bottom w:val="nil"/>
              <w:right w:val="single" w:sz="8" w:space="0" w:color="FFFFFF"/>
            </w:tcBorders>
            <w:shd w:val="clear" w:color="auto" w:fill="auto"/>
            <w:vAlign w:val="center"/>
            <w:hideMark/>
          </w:tcPr>
          <w:p w14:paraId="69E41DCC" w14:textId="77777777" w:rsidR="00C3787D" w:rsidRPr="00144CE8" w:rsidRDefault="00C3787D" w:rsidP="00C3787D">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NT</w:t>
            </w:r>
          </w:p>
        </w:tc>
        <w:tc>
          <w:tcPr>
            <w:tcW w:w="1003" w:type="dxa"/>
            <w:tcBorders>
              <w:top w:val="nil"/>
              <w:left w:val="nil"/>
              <w:bottom w:val="nil"/>
              <w:right w:val="single" w:sz="8" w:space="0" w:color="FFFFFF"/>
            </w:tcBorders>
            <w:shd w:val="clear" w:color="000000" w:fill="F2F2F2"/>
            <w:vAlign w:val="center"/>
            <w:hideMark/>
          </w:tcPr>
          <w:p w14:paraId="6F580D26" w14:textId="00909754"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92" w:type="dxa"/>
            <w:tcBorders>
              <w:top w:val="nil"/>
              <w:left w:val="nil"/>
              <w:bottom w:val="nil"/>
              <w:right w:val="single" w:sz="8" w:space="0" w:color="FFFFFF"/>
            </w:tcBorders>
            <w:shd w:val="clear" w:color="000000" w:fill="F2F2F2"/>
            <w:vAlign w:val="center"/>
            <w:hideMark/>
          </w:tcPr>
          <w:p w14:paraId="1FFD562E" w14:textId="460A164E"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850" w:type="dxa"/>
            <w:tcBorders>
              <w:top w:val="nil"/>
              <w:left w:val="nil"/>
              <w:bottom w:val="nil"/>
              <w:right w:val="single" w:sz="8" w:space="0" w:color="FFFFFF"/>
            </w:tcBorders>
            <w:shd w:val="clear" w:color="000000" w:fill="F2F2F2"/>
            <w:vAlign w:val="center"/>
            <w:hideMark/>
          </w:tcPr>
          <w:p w14:paraId="54DFE16D" w14:textId="0C068F4C"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93" w:type="dxa"/>
            <w:tcBorders>
              <w:top w:val="single" w:sz="8" w:space="0" w:color="D9D9D9"/>
              <w:left w:val="nil"/>
              <w:bottom w:val="single" w:sz="8" w:space="0" w:color="D9D9D9"/>
              <w:right w:val="single" w:sz="8" w:space="0" w:color="FFFFFF"/>
            </w:tcBorders>
            <w:shd w:val="clear" w:color="000000" w:fill="F2F2F2"/>
            <w:vAlign w:val="center"/>
            <w:hideMark/>
          </w:tcPr>
          <w:p w14:paraId="2BD7EDB6" w14:textId="72B41732"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850" w:type="dxa"/>
            <w:tcBorders>
              <w:top w:val="nil"/>
              <w:left w:val="nil"/>
              <w:bottom w:val="nil"/>
              <w:right w:val="single" w:sz="8" w:space="0" w:color="FFFFFF"/>
            </w:tcBorders>
            <w:shd w:val="clear" w:color="000000" w:fill="F2F2F2"/>
            <w:vAlign w:val="center"/>
            <w:hideMark/>
          </w:tcPr>
          <w:p w14:paraId="15C7342A" w14:textId="01EAC909"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1,192 </w:t>
            </w:r>
          </w:p>
        </w:tc>
        <w:tc>
          <w:tcPr>
            <w:tcW w:w="992" w:type="dxa"/>
            <w:tcBorders>
              <w:top w:val="nil"/>
              <w:left w:val="nil"/>
              <w:bottom w:val="nil"/>
              <w:right w:val="single" w:sz="8" w:space="0" w:color="FFFFFF"/>
            </w:tcBorders>
            <w:shd w:val="clear" w:color="000000" w:fill="F2F2F2"/>
            <w:vAlign w:val="center"/>
            <w:hideMark/>
          </w:tcPr>
          <w:p w14:paraId="1628E8F5" w14:textId="272F1917"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1,636 </w:t>
            </w:r>
          </w:p>
        </w:tc>
        <w:tc>
          <w:tcPr>
            <w:tcW w:w="993" w:type="dxa"/>
            <w:tcBorders>
              <w:top w:val="nil"/>
              <w:left w:val="nil"/>
              <w:bottom w:val="nil"/>
              <w:right w:val="single" w:sz="8" w:space="0" w:color="FFFFFF"/>
            </w:tcBorders>
            <w:shd w:val="clear" w:color="000000" w:fill="F2F2F2"/>
            <w:vAlign w:val="center"/>
            <w:hideMark/>
          </w:tcPr>
          <w:p w14:paraId="3A7DAD3C" w14:textId="54E25163" w:rsidR="00C3787D" w:rsidRPr="00C3787D" w:rsidRDefault="00C3787D" w:rsidP="00C3787D">
            <w:pPr>
              <w:spacing w:before="40" w:after="40" w:line="240" w:lineRule="auto"/>
              <w:jc w:val="right"/>
              <w:rPr>
                <w:rFonts w:eastAsia="Times New Roman" w:cs="Arial"/>
                <w:color w:val="000000"/>
                <w:sz w:val="16"/>
                <w:szCs w:val="16"/>
                <w:lang w:eastAsia="en-AU"/>
              </w:rPr>
            </w:pPr>
            <w:r>
              <w:rPr>
                <w:rFonts w:eastAsia="Times New Roman" w:cs="Arial"/>
                <w:color w:val="000000"/>
                <w:sz w:val="16"/>
                <w:szCs w:val="16"/>
                <w:lang w:eastAsia="en-AU"/>
              </w:rPr>
              <w:t>-</w:t>
            </w:r>
          </w:p>
        </w:tc>
        <w:tc>
          <w:tcPr>
            <w:tcW w:w="850" w:type="dxa"/>
            <w:tcBorders>
              <w:top w:val="nil"/>
              <w:left w:val="nil"/>
              <w:bottom w:val="nil"/>
              <w:right w:val="single" w:sz="8" w:space="0" w:color="FFFFFF"/>
            </w:tcBorders>
            <w:shd w:val="clear" w:color="000000" w:fill="F2F2F2"/>
            <w:vAlign w:val="center"/>
            <w:hideMark/>
          </w:tcPr>
          <w:p w14:paraId="026BB36A" w14:textId="09591F21"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851" w:type="dxa"/>
            <w:tcBorders>
              <w:top w:val="nil"/>
              <w:left w:val="nil"/>
              <w:bottom w:val="nil"/>
              <w:right w:val="single" w:sz="8" w:space="0" w:color="FFFFFF"/>
            </w:tcBorders>
            <w:shd w:val="clear" w:color="000000" w:fill="F2F2F2"/>
            <w:vAlign w:val="center"/>
            <w:hideMark/>
          </w:tcPr>
          <w:p w14:paraId="78CE8A19" w14:textId="3B0BF880"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r>
      <w:tr w:rsidR="00C3787D" w:rsidRPr="00DC7A99" w14:paraId="4F2CD20A" w14:textId="77777777" w:rsidTr="00091DB9">
        <w:trPr>
          <w:trHeight w:val="300"/>
        </w:trPr>
        <w:tc>
          <w:tcPr>
            <w:tcW w:w="1124" w:type="dxa"/>
            <w:tcBorders>
              <w:top w:val="single" w:sz="8" w:space="0" w:color="D9D9D9"/>
              <w:left w:val="nil"/>
              <w:bottom w:val="single" w:sz="8" w:space="0" w:color="D9D9D9"/>
              <w:right w:val="single" w:sz="8" w:space="0" w:color="FFFFFF"/>
            </w:tcBorders>
            <w:shd w:val="clear" w:color="auto" w:fill="auto"/>
            <w:vAlign w:val="center"/>
            <w:hideMark/>
          </w:tcPr>
          <w:p w14:paraId="38A7B55D" w14:textId="77777777" w:rsidR="00C3787D" w:rsidRPr="00144CE8" w:rsidRDefault="00C3787D" w:rsidP="00C3787D">
            <w:pPr>
              <w:spacing w:before="40" w:after="40" w:line="240" w:lineRule="auto"/>
              <w:rPr>
                <w:rFonts w:eastAsia="Times New Roman" w:cs="Arial"/>
                <w:color w:val="1C1C1C"/>
                <w:sz w:val="16"/>
                <w:szCs w:val="16"/>
                <w:lang w:eastAsia="en-AU"/>
              </w:rPr>
            </w:pPr>
            <w:r w:rsidRPr="00144CE8">
              <w:rPr>
                <w:rFonts w:eastAsia="Times New Roman" w:cs="Arial"/>
                <w:color w:val="1C1C1C"/>
                <w:sz w:val="16"/>
                <w:szCs w:val="16"/>
                <w:lang w:eastAsia="en-AU"/>
              </w:rPr>
              <w:t>ACT</w:t>
            </w:r>
          </w:p>
        </w:tc>
        <w:tc>
          <w:tcPr>
            <w:tcW w:w="1003" w:type="dxa"/>
            <w:tcBorders>
              <w:top w:val="single" w:sz="8" w:space="0" w:color="D9D9D9"/>
              <w:left w:val="nil"/>
              <w:bottom w:val="single" w:sz="8" w:space="0" w:color="D9D9D9"/>
              <w:right w:val="single" w:sz="8" w:space="0" w:color="FFFFFF"/>
            </w:tcBorders>
            <w:shd w:val="clear" w:color="000000" w:fill="F2F2F2"/>
            <w:vAlign w:val="center"/>
            <w:hideMark/>
          </w:tcPr>
          <w:p w14:paraId="14E59198" w14:textId="5549133A"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92" w:type="dxa"/>
            <w:tcBorders>
              <w:top w:val="single" w:sz="8" w:space="0" w:color="D9D9D9"/>
              <w:left w:val="nil"/>
              <w:bottom w:val="single" w:sz="8" w:space="0" w:color="D9D9D9"/>
              <w:right w:val="single" w:sz="8" w:space="0" w:color="FFFFFF"/>
            </w:tcBorders>
            <w:shd w:val="clear" w:color="000000" w:fill="F2F2F2"/>
            <w:vAlign w:val="center"/>
            <w:hideMark/>
          </w:tcPr>
          <w:p w14:paraId="460F41C5" w14:textId="6F7371E8"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525AFC54" w14:textId="3AE5C951"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93" w:type="dxa"/>
            <w:tcBorders>
              <w:top w:val="nil"/>
              <w:left w:val="nil"/>
              <w:bottom w:val="single" w:sz="8" w:space="0" w:color="D9D9D9"/>
              <w:right w:val="single" w:sz="8" w:space="0" w:color="FFFFFF"/>
            </w:tcBorders>
            <w:shd w:val="clear" w:color="000000" w:fill="F2F2F2"/>
            <w:vAlign w:val="center"/>
            <w:hideMark/>
          </w:tcPr>
          <w:p w14:paraId="078F1396" w14:textId="1C6901F8"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5,264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16EF18A4" w14:textId="037D3CE5"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7,254 </w:t>
            </w:r>
          </w:p>
        </w:tc>
        <w:tc>
          <w:tcPr>
            <w:tcW w:w="992" w:type="dxa"/>
            <w:tcBorders>
              <w:top w:val="single" w:sz="8" w:space="0" w:color="D9D9D9"/>
              <w:left w:val="nil"/>
              <w:bottom w:val="single" w:sz="8" w:space="0" w:color="D9D9D9"/>
              <w:right w:val="single" w:sz="8" w:space="0" w:color="FFFFFF"/>
            </w:tcBorders>
            <w:shd w:val="clear" w:color="000000" w:fill="F2F2F2"/>
            <w:vAlign w:val="center"/>
            <w:hideMark/>
          </w:tcPr>
          <w:p w14:paraId="6D91196D" w14:textId="7695E0B3"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4,034 </w:t>
            </w:r>
          </w:p>
        </w:tc>
        <w:tc>
          <w:tcPr>
            <w:tcW w:w="993" w:type="dxa"/>
            <w:tcBorders>
              <w:top w:val="single" w:sz="8" w:space="0" w:color="D9D9D9"/>
              <w:left w:val="nil"/>
              <w:bottom w:val="single" w:sz="8" w:space="0" w:color="D9D9D9"/>
              <w:right w:val="single" w:sz="8" w:space="0" w:color="FFFFFF"/>
            </w:tcBorders>
            <w:shd w:val="clear" w:color="000000" w:fill="F2F2F2"/>
            <w:vAlign w:val="center"/>
            <w:hideMark/>
          </w:tcPr>
          <w:p w14:paraId="7289603B" w14:textId="6EDA261D"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1B3DBE88" w14:textId="41F526BD"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851" w:type="dxa"/>
            <w:tcBorders>
              <w:top w:val="single" w:sz="8" w:space="0" w:color="D9D9D9"/>
              <w:left w:val="nil"/>
              <w:bottom w:val="single" w:sz="8" w:space="0" w:color="D9D9D9"/>
              <w:right w:val="single" w:sz="8" w:space="0" w:color="FFFFFF"/>
            </w:tcBorders>
            <w:shd w:val="clear" w:color="000000" w:fill="F2F2F2"/>
            <w:vAlign w:val="center"/>
            <w:hideMark/>
          </w:tcPr>
          <w:p w14:paraId="2AC32E11" w14:textId="74DBF267"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r>
      <w:tr w:rsidR="00C3787D" w:rsidRPr="00DC7A99" w14:paraId="298DE960" w14:textId="77777777" w:rsidTr="00091DB9">
        <w:trPr>
          <w:trHeight w:val="285"/>
        </w:trPr>
        <w:tc>
          <w:tcPr>
            <w:tcW w:w="1124" w:type="dxa"/>
            <w:tcBorders>
              <w:top w:val="nil"/>
              <w:left w:val="nil"/>
              <w:bottom w:val="nil"/>
              <w:right w:val="single" w:sz="8" w:space="0" w:color="FFFFFF"/>
            </w:tcBorders>
            <w:shd w:val="clear" w:color="000000" w:fill="DFEBF1"/>
            <w:vAlign w:val="center"/>
            <w:hideMark/>
          </w:tcPr>
          <w:p w14:paraId="32E56654" w14:textId="77777777" w:rsidR="00C3787D" w:rsidRPr="00144CE8" w:rsidRDefault="00C3787D" w:rsidP="00C3787D">
            <w:pPr>
              <w:spacing w:before="40" w:after="40" w:line="240" w:lineRule="auto"/>
              <w:rPr>
                <w:rFonts w:eastAsia="Times New Roman" w:cs="Arial"/>
                <w:b/>
                <w:bCs/>
                <w:color w:val="1C1C1C"/>
                <w:sz w:val="16"/>
                <w:szCs w:val="16"/>
                <w:lang w:eastAsia="en-AU"/>
              </w:rPr>
            </w:pPr>
            <w:r w:rsidRPr="00144CE8">
              <w:rPr>
                <w:rFonts w:eastAsia="Times New Roman" w:cs="Arial"/>
                <w:b/>
                <w:bCs/>
                <w:color w:val="1C1C1C"/>
                <w:sz w:val="16"/>
                <w:szCs w:val="16"/>
                <w:lang w:eastAsia="en-AU"/>
              </w:rPr>
              <w:t>National</w:t>
            </w:r>
          </w:p>
        </w:tc>
        <w:tc>
          <w:tcPr>
            <w:tcW w:w="1003" w:type="dxa"/>
            <w:tcBorders>
              <w:top w:val="nil"/>
              <w:left w:val="nil"/>
              <w:bottom w:val="nil"/>
              <w:right w:val="single" w:sz="8" w:space="0" w:color="FFFFFF"/>
            </w:tcBorders>
            <w:shd w:val="clear" w:color="000000" w:fill="DFEBF1"/>
            <w:vAlign w:val="center"/>
            <w:hideMark/>
          </w:tcPr>
          <w:p w14:paraId="259385ED" w14:textId="34EF6024" w:rsidR="00C3787D" w:rsidRPr="00C3787D" w:rsidRDefault="00C3787D" w:rsidP="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69,419 </w:t>
            </w:r>
          </w:p>
        </w:tc>
        <w:tc>
          <w:tcPr>
            <w:tcW w:w="992" w:type="dxa"/>
            <w:tcBorders>
              <w:top w:val="nil"/>
              <w:left w:val="nil"/>
              <w:bottom w:val="nil"/>
              <w:right w:val="single" w:sz="8" w:space="0" w:color="FFFFFF"/>
            </w:tcBorders>
            <w:shd w:val="clear" w:color="000000" w:fill="DFEBF1"/>
            <w:vAlign w:val="center"/>
            <w:hideMark/>
          </w:tcPr>
          <w:p w14:paraId="27858DAC" w14:textId="5E480F55" w:rsidR="00C3787D" w:rsidRPr="00C3787D" w:rsidRDefault="00C3787D" w:rsidP="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79,935 </w:t>
            </w:r>
          </w:p>
        </w:tc>
        <w:tc>
          <w:tcPr>
            <w:tcW w:w="850" w:type="dxa"/>
            <w:tcBorders>
              <w:top w:val="nil"/>
              <w:left w:val="nil"/>
              <w:bottom w:val="nil"/>
              <w:right w:val="single" w:sz="8" w:space="0" w:color="FFFFFF"/>
            </w:tcBorders>
            <w:shd w:val="clear" w:color="000000" w:fill="DFEBF1"/>
            <w:vAlign w:val="center"/>
            <w:hideMark/>
          </w:tcPr>
          <w:p w14:paraId="4998B848" w14:textId="465223C3" w:rsidR="00C3787D" w:rsidRPr="00C3787D" w:rsidRDefault="00C3787D" w:rsidP="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92,</w:t>
            </w:r>
            <w:r w:rsidR="00335438">
              <w:rPr>
                <w:rFonts w:cs="Arial"/>
                <w:b/>
                <w:bCs/>
                <w:color w:val="15272F"/>
                <w:sz w:val="16"/>
                <w:szCs w:val="16"/>
              </w:rPr>
              <w:t>898</w:t>
            </w:r>
            <w:r w:rsidRPr="00091DB9">
              <w:rPr>
                <w:rFonts w:cs="Arial"/>
                <w:b/>
                <w:bCs/>
                <w:color w:val="15272F"/>
                <w:sz w:val="16"/>
                <w:szCs w:val="16"/>
              </w:rPr>
              <w:t xml:space="preserve"> </w:t>
            </w:r>
          </w:p>
        </w:tc>
        <w:tc>
          <w:tcPr>
            <w:tcW w:w="993" w:type="dxa"/>
            <w:tcBorders>
              <w:top w:val="nil"/>
              <w:left w:val="nil"/>
              <w:bottom w:val="nil"/>
              <w:right w:val="single" w:sz="8" w:space="0" w:color="FFFFFF"/>
            </w:tcBorders>
            <w:shd w:val="clear" w:color="000000" w:fill="DFEBF1"/>
            <w:vAlign w:val="center"/>
            <w:hideMark/>
          </w:tcPr>
          <w:p w14:paraId="02E26FDC" w14:textId="2A674921" w:rsidR="00C3787D" w:rsidRPr="00C3787D" w:rsidRDefault="00C3787D" w:rsidP="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124,307 </w:t>
            </w:r>
          </w:p>
        </w:tc>
        <w:tc>
          <w:tcPr>
            <w:tcW w:w="850" w:type="dxa"/>
            <w:tcBorders>
              <w:top w:val="nil"/>
              <w:left w:val="nil"/>
              <w:bottom w:val="nil"/>
              <w:right w:val="single" w:sz="8" w:space="0" w:color="FFFFFF"/>
            </w:tcBorders>
            <w:shd w:val="clear" w:color="000000" w:fill="DFEBF1"/>
            <w:vAlign w:val="center"/>
            <w:hideMark/>
          </w:tcPr>
          <w:p w14:paraId="43EA0C42" w14:textId="576D4403" w:rsidR="00C3787D" w:rsidRPr="00C3787D" w:rsidRDefault="00C3787D" w:rsidP="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118,738 </w:t>
            </w:r>
          </w:p>
        </w:tc>
        <w:tc>
          <w:tcPr>
            <w:tcW w:w="992" w:type="dxa"/>
            <w:tcBorders>
              <w:top w:val="nil"/>
              <w:left w:val="nil"/>
              <w:bottom w:val="nil"/>
              <w:right w:val="single" w:sz="8" w:space="0" w:color="FFFFFF"/>
            </w:tcBorders>
            <w:shd w:val="clear" w:color="000000" w:fill="DFEBF1"/>
            <w:vAlign w:val="center"/>
            <w:hideMark/>
          </w:tcPr>
          <w:p w14:paraId="04E528CF" w14:textId="15D71CCE" w:rsidR="00C3787D" w:rsidRPr="00C3787D" w:rsidRDefault="00C3787D" w:rsidP="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120,881 </w:t>
            </w:r>
          </w:p>
        </w:tc>
        <w:tc>
          <w:tcPr>
            <w:tcW w:w="993" w:type="dxa"/>
            <w:tcBorders>
              <w:top w:val="nil"/>
              <w:left w:val="nil"/>
              <w:bottom w:val="nil"/>
              <w:right w:val="single" w:sz="8" w:space="0" w:color="FFFFFF"/>
            </w:tcBorders>
            <w:shd w:val="clear" w:color="000000" w:fill="DFEBF1"/>
            <w:vAlign w:val="center"/>
            <w:hideMark/>
          </w:tcPr>
          <w:p w14:paraId="665B35BC" w14:textId="7878CC05" w:rsidR="00C3787D" w:rsidRPr="00C3787D" w:rsidRDefault="00C3787D" w:rsidP="00C3787D">
            <w:pPr>
              <w:spacing w:before="40" w:after="40" w:line="240" w:lineRule="auto"/>
              <w:jc w:val="right"/>
              <w:rPr>
                <w:rFonts w:eastAsia="Times New Roman" w:cs="Arial"/>
                <w:b/>
                <w:bCs/>
                <w:color w:val="000000"/>
                <w:sz w:val="16"/>
                <w:szCs w:val="16"/>
                <w:lang w:eastAsia="en-AU"/>
              </w:rPr>
            </w:pPr>
            <w:r w:rsidRPr="00091DB9">
              <w:rPr>
                <w:rFonts w:cs="Arial"/>
                <w:b/>
                <w:bCs/>
                <w:color w:val="15272F"/>
                <w:sz w:val="16"/>
                <w:szCs w:val="16"/>
              </w:rPr>
              <w:t xml:space="preserve">56 </w:t>
            </w:r>
          </w:p>
        </w:tc>
        <w:tc>
          <w:tcPr>
            <w:tcW w:w="850" w:type="dxa"/>
            <w:tcBorders>
              <w:top w:val="nil"/>
              <w:left w:val="nil"/>
              <w:bottom w:val="nil"/>
              <w:right w:val="single" w:sz="8" w:space="0" w:color="FFFFFF"/>
            </w:tcBorders>
            <w:shd w:val="clear" w:color="000000" w:fill="DFEBF1"/>
            <w:vAlign w:val="center"/>
            <w:hideMark/>
          </w:tcPr>
          <w:p w14:paraId="54295166" w14:textId="4D37DD11" w:rsidR="00C3787D" w:rsidRPr="00C3787D" w:rsidRDefault="00C3787D" w:rsidP="00C3787D">
            <w:pPr>
              <w:spacing w:before="40" w:after="40" w:line="240" w:lineRule="auto"/>
              <w:jc w:val="right"/>
              <w:rPr>
                <w:rFonts w:eastAsia="Times New Roman" w:cs="Arial"/>
                <w:b/>
                <w:bCs/>
                <w:color w:val="000000"/>
                <w:sz w:val="16"/>
                <w:szCs w:val="16"/>
                <w:lang w:eastAsia="en-AU"/>
              </w:rPr>
            </w:pPr>
            <w:r w:rsidRPr="00091DB9">
              <w:rPr>
                <w:rFonts w:cs="Arial"/>
                <w:b/>
                <w:bCs/>
                <w:color w:val="15272F"/>
                <w:sz w:val="16"/>
                <w:szCs w:val="16"/>
              </w:rPr>
              <w:t xml:space="preserve">67 </w:t>
            </w:r>
          </w:p>
        </w:tc>
        <w:tc>
          <w:tcPr>
            <w:tcW w:w="851" w:type="dxa"/>
            <w:tcBorders>
              <w:top w:val="nil"/>
              <w:left w:val="nil"/>
              <w:bottom w:val="nil"/>
              <w:right w:val="single" w:sz="8" w:space="0" w:color="FFFFFF"/>
            </w:tcBorders>
            <w:shd w:val="clear" w:color="000000" w:fill="DFEBF1"/>
            <w:vAlign w:val="center"/>
            <w:hideMark/>
          </w:tcPr>
          <w:p w14:paraId="5024A9AB" w14:textId="7328BBC0" w:rsidR="00C3787D" w:rsidRPr="00C3787D" w:rsidRDefault="00C3787D" w:rsidP="00C3787D">
            <w:pPr>
              <w:spacing w:before="40" w:after="40" w:line="240" w:lineRule="auto"/>
              <w:jc w:val="right"/>
              <w:rPr>
                <w:rFonts w:eastAsia="Times New Roman" w:cs="Arial"/>
                <w:b/>
                <w:bCs/>
                <w:color w:val="000000"/>
                <w:sz w:val="16"/>
                <w:szCs w:val="16"/>
                <w:lang w:eastAsia="en-AU"/>
              </w:rPr>
            </w:pPr>
            <w:r w:rsidRPr="00091DB9">
              <w:rPr>
                <w:rFonts w:cs="Arial"/>
                <w:b/>
                <w:bCs/>
                <w:color w:val="15272F"/>
                <w:sz w:val="16"/>
                <w:szCs w:val="16"/>
              </w:rPr>
              <w:t xml:space="preserve">77 </w:t>
            </w:r>
          </w:p>
        </w:tc>
      </w:tr>
    </w:tbl>
    <w:p w14:paraId="38FCA8E5" w14:textId="142F7F77" w:rsidR="00C170C2" w:rsidRPr="00303546" w:rsidRDefault="00651174" w:rsidP="00DA13A2">
      <w:pPr>
        <w:spacing w:before="240" w:line="276" w:lineRule="auto"/>
        <w:rPr>
          <w:rFonts w:cs="Arial"/>
        </w:rPr>
      </w:pPr>
      <w:r w:rsidRPr="00303546">
        <w:rPr>
          <w:rFonts w:cs="Arial"/>
        </w:rPr>
        <w:t xml:space="preserve">In 2022-23, 100% of the NHCDC admitted mental health episode records were linked to activity and in scope for NHCDC reporting. </w:t>
      </w:r>
      <w:r w:rsidR="006970E8">
        <w:rPr>
          <w:rFonts w:cs="Arial"/>
        </w:rPr>
        <w:fldChar w:fldCharType="begin"/>
      </w:r>
      <w:r w:rsidR="006970E8">
        <w:rPr>
          <w:rFonts w:cs="Arial"/>
        </w:rPr>
        <w:instrText xml:space="preserve"> REF _Ref185848986 \h </w:instrText>
      </w:r>
      <w:r w:rsidR="00464BC5">
        <w:rPr>
          <w:rFonts w:cs="Arial"/>
        </w:rPr>
        <w:instrText xml:space="preserve"> \* MERGEFORMAT </w:instrText>
      </w:r>
      <w:r w:rsidR="006970E8">
        <w:rPr>
          <w:rFonts w:cs="Arial"/>
        </w:rPr>
      </w:r>
      <w:r w:rsidR="006970E8">
        <w:rPr>
          <w:rFonts w:cs="Arial"/>
        </w:rPr>
        <w:fldChar w:fldCharType="separate"/>
      </w:r>
      <w:r w:rsidR="006970E8" w:rsidRPr="00303546">
        <w:rPr>
          <w:rStyle w:val="Cross-referenceChar"/>
        </w:rPr>
        <w:t>Table</w:t>
      </w:r>
      <w:r w:rsidR="006970E8" w:rsidRPr="0093558C">
        <w:rPr>
          <w:rFonts w:cstheme="majorBidi"/>
          <w:color w:val="104F99" w:themeColor="accent2"/>
          <w:lang w:val="en-PH"/>
        </w:rPr>
        <w:t xml:space="preserve"> </w:t>
      </w:r>
      <w:r w:rsidR="006970E8">
        <w:rPr>
          <w:rFonts w:cstheme="majorBidi"/>
          <w:noProof/>
          <w:lang w:val="en-PH"/>
        </w:rPr>
        <w:t>28</w:t>
      </w:r>
      <w:r w:rsidR="006970E8">
        <w:rPr>
          <w:rFonts w:cs="Arial"/>
        </w:rPr>
        <w:fldChar w:fldCharType="end"/>
      </w:r>
      <w:r w:rsidRPr="00303546">
        <w:rPr>
          <w:rFonts w:cs="Arial"/>
        </w:rPr>
        <w:t xml:space="preserve"> shows the number of in-scope</w:t>
      </w:r>
      <w:r w:rsidR="003A549C">
        <w:rPr>
          <w:rFonts w:cs="Arial"/>
        </w:rPr>
        <w:t xml:space="preserve"> NHCDC</w:t>
      </w:r>
      <w:r w:rsidRPr="00303546">
        <w:rPr>
          <w:rFonts w:cs="Arial"/>
        </w:rPr>
        <w:t xml:space="preserve"> records</w:t>
      </w:r>
      <w:r w:rsidR="00D7559F">
        <w:rPr>
          <w:rFonts w:cs="Arial"/>
        </w:rPr>
        <w:t xml:space="preserve"> and </w:t>
      </w:r>
      <w:r w:rsidR="003A549C">
        <w:rPr>
          <w:rFonts w:cs="Arial"/>
        </w:rPr>
        <w:t xml:space="preserve">ABF </w:t>
      </w:r>
      <w:r w:rsidRPr="00303546">
        <w:rPr>
          <w:rFonts w:cs="Arial"/>
        </w:rPr>
        <w:t xml:space="preserve">activity, and proportion of costed activity by jurisdiction, from 2021-22 to 2022-23. In 2022-23, nationally </w:t>
      </w:r>
      <w:r w:rsidR="009542F8" w:rsidRPr="00303546">
        <w:rPr>
          <w:rFonts w:cs="Arial"/>
        </w:rPr>
        <w:t>21</w:t>
      </w:r>
      <w:r w:rsidRPr="00303546">
        <w:rPr>
          <w:rFonts w:cs="Arial"/>
        </w:rPr>
        <w:t>% of in-scope activity was linked to cost (</w:t>
      </w:r>
      <w:r w:rsidR="000C1CC4">
        <w:rPr>
          <w:rFonts w:cs="Arial"/>
        </w:rPr>
        <w:t>c</w:t>
      </w:r>
      <w:r w:rsidRPr="00303546">
        <w:rPr>
          <w:rFonts w:cs="Arial"/>
        </w:rPr>
        <w:t xml:space="preserve">osted </w:t>
      </w:r>
      <w:r w:rsidR="00183417" w:rsidRPr="00303546">
        <w:rPr>
          <w:rFonts w:cs="Arial"/>
        </w:rPr>
        <w:t>a</w:t>
      </w:r>
      <w:r w:rsidRPr="00303546">
        <w:rPr>
          <w:rFonts w:cs="Arial"/>
        </w:rPr>
        <w:t>ctivity %), a</w:t>
      </w:r>
      <w:r w:rsidR="009542F8" w:rsidRPr="00303546">
        <w:rPr>
          <w:rFonts w:cs="Arial"/>
        </w:rPr>
        <w:t xml:space="preserve">n increase </w:t>
      </w:r>
      <w:r w:rsidRPr="00303546">
        <w:rPr>
          <w:rFonts w:cs="Arial"/>
        </w:rPr>
        <w:t xml:space="preserve">from </w:t>
      </w:r>
      <w:r w:rsidR="009542F8" w:rsidRPr="00303546">
        <w:rPr>
          <w:rFonts w:cs="Arial"/>
        </w:rPr>
        <w:t>20</w:t>
      </w:r>
      <w:r w:rsidRPr="00303546">
        <w:rPr>
          <w:rFonts w:cs="Arial"/>
        </w:rPr>
        <w:t>% in 2021-22.</w:t>
      </w:r>
    </w:p>
    <w:p w14:paraId="4FE82159" w14:textId="78A7FCBE" w:rsidR="00C170C2" w:rsidRDefault="00B42434" w:rsidP="00303546">
      <w:pPr>
        <w:pStyle w:val="TableFigureheading"/>
        <w:rPr>
          <w:lang w:val="en-PH"/>
        </w:rPr>
      </w:pPr>
      <w:bookmarkStart w:id="372" w:name="_Ref185848986"/>
      <w:bookmarkStart w:id="373" w:name="_Toc177467525"/>
      <w:bookmarkStart w:id="374" w:name="_Toc185852235"/>
      <w:bookmarkStart w:id="375" w:name="_Toc187312154"/>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6970E8">
        <w:rPr>
          <w:noProof/>
          <w:lang w:val="en-PH"/>
        </w:rPr>
        <w:t>28</w:t>
      </w:r>
      <w:r w:rsidRPr="0093558C">
        <w:rPr>
          <w:lang w:val="en-PH"/>
        </w:rPr>
        <w:fldChar w:fldCharType="end"/>
      </w:r>
      <w:bookmarkEnd w:id="372"/>
      <w:r w:rsidRPr="0093558C">
        <w:rPr>
          <w:lang w:val="en-PH"/>
        </w:rPr>
        <w:t xml:space="preserve">: </w:t>
      </w:r>
      <w:r w:rsidR="007050C3">
        <w:rPr>
          <w:lang w:val="en-PH"/>
        </w:rPr>
        <w:t>Admitted mental health episode sample summary</w:t>
      </w:r>
      <w:r w:rsidR="00C170C2" w:rsidRPr="0093558C">
        <w:rPr>
          <w:lang w:val="en-PH"/>
        </w:rPr>
        <w:t xml:space="preserve">, </w:t>
      </w:r>
      <w:r w:rsidR="008578F3" w:rsidRPr="00D73FCC">
        <w:rPr>
          <w:lang w:val="en-PH"/>
        </w:rPr>
        <w:t>2020-21</w:t>
      </w:r>
      <w:r w:rsidR="00C170C2" w:rsidRPr="0093558C">
        <w:rPr>
          <w:lang w:val="en-PH"/>
        </w:rPr>
        <w:t xml:space="preserve"> to </w:t>
      </w:r>
      <w:r w:rsidR="00B82AA0" w:rsidRPr="008B2CD8">
        <w:rPr>
          <w:lang w:val="en-PH"/>
        </w:rPr>
        <w:t>202</w:t>
      </w:r>
      <w:r w:rsidR="00B82AA0">
        <w:rPr>
          <w:lang w:val="en-PH"/>
        </w:rPr>
        <w:t>2</w:t>
      </w:r>
      <w:r w:rsidR="00B82AA0" w:rsidRPr="008B2CD8">
        <w:rPr>
          <w:lang w:val="en-PH"/>
        </w:rPr>
        <w:t>-2</w:t>
      </w:r>
      <w:r w:rsidR="00B82AA0">
        <w:rPr>
          <w:lang w:val="en-PH"/>
        </w:rPr>
        <w:t>3</w:t>
      </w:r>
      <w:bookmarkEnd w:id="373"/>
      <w:bookmarkEnd w:id="374"/>
      <w:bookmarkEnd w:id="375"/>
    </w:p>
    <w:tbl>
      <w:tblPr>
        <w:tblW w:w="9498" w:type="dxa"/>
        <w:tblLook w:val="04A0" w:firstRow="1" w:lastRow="0" w:firstColumn="1" w:lastColumn="0" w:noHBand="0" w:noVBand="1"/>
      </w:tblPr>
      <w:tblGrid>
        <w:gridCol w:w="1124"/>
        <w:gridCol w:w="1003"/>
        <w:gridCol w:w="850"/>
        <w:gridCol w:w="992"/>
        <w:gridCol w:w="993"/>
        <w:gridCol w:w="992"/>
        <w:gridCol w:w="850"/>
        <w:gridCol w:w="993"/>
        <w:gridCol w:w="850"/>
        <w:gridCol w:w="851"/>
      </w:tblGrid>
      <w:tr w:rsidR="003A549C" w:rsidRPr="00DC7A99" w14:paraId="6712D885" w14:textId="77777777" w:rsidTr="00223677">
        <w:trPr>
          <w:trHeight w:val="300"/>
        </w:trPr>
        <w:tc>
          <w:tcPr>
            <w:tcW w:w="1124" w:type="dxa"/>
            <w:vMerge w:val="restart"/>
            <w:tcBorders>
              <w:top w:val="nil"/>
              <w:left w:val="nil"/>
              <w:bottom w:val="single" w:sz="8" w:space="0" w:color="D9D9D9"/>
              <w:right w:val="single" w:sz="8" w:space="0" w:color="FFFFFF"/>
            </w:tcBorders>
            <w:shd w:val="clear" w:color="000000" w:fill="15272F"/>
            <w:vAlign w:val="center"/>
            <w:hideMark/>
          </w:tcPr>
          <w:p w14:paraId="24EE62D6" w14:textId="77777777" w:rsidR="003A549C" w:rsidRPr="00DC7A99" w:rsidRDefault="003A549C" w:rsidP="003A549C">
            <w:pPr>
              <w:spacing w:before="40" w:after="40" w:line="240" w:lineRule="auto"/>
              <w:jc w:val="center"/>
              <w:rPr>
                <w:rFonts w:eastAsia="Times New Roman" w:cs="Arial"/>
                <w:b/>
                <w:bCs/>
                <w:color w:val="FFFFFF"/>
                <w:sz w:val="16"/>
                <w:szCs w:val="16"/>
                <w:lang w:eastAsia="en-AU"/>
              </w:rPr>
            </w:pPr>
            <w:r w:rsidRPr="00DC7A99">
              <w:rPr>
                <w:rFonts w:eastAsia="Times New Roman" w:cs="Arial"/>
                <w:b/>
                <w:bCs/>
                <w:color w:val="FFFFFF" w:themeColor="background2"/>
                <w:sz w:val="16"/>
                <w:szCs w:val="16"/>
                <w:lang w:eastAsia="en-AU"/>
              </w:rPr>
              <w:t>Jurisdiction</w:t>
            </w:r>
          </w:p>
        </w:tc>
        <w:tc>
          <w:tcPr>
            <w:tcW w:w="2845" w:type="dxa"/>
            <w:gridSpan w:val="3"/>
            <w:tcBorders>
              <w:top w:val="single" w:sz="8" w:space="0" w:color="auto"/>
              <w:left w:val="nil"/>
              <w:bottom w:val="single" w:sz="8" w:space="0" w:color="FFFFFF"/>
              <w:right w:val="single" w:sz="8" w:space="0" w:color="FFFFFF"/>
            </w:tcBorders>
            <w:shd w:val="clear" w:color="000000" w:fill="15272F"/>
            <w:vAlign w:val="center"/>
            <w:hideMark/>
          </w:tcPr>
          <w:p w14:paraId="6852656F" w14:textId="02BE77D0" w:rsidR="003A549C" w:rsidRPr="00DC7A99"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In-scope</w:t>
            </w:r>
            <w:r>
              <w:rPr>
                <w:rFonts w:eastAsia="Times New Roman" w:cs="Arial"/>
                <w:b/>
                <w:bCs/>
                <w:color w:val="FFFFFF" w:themeColor="background2"/>
                <w:sz w:val="16"/>
                <w:szCs w:val="16"/>
                <w:lang w:eastAsia="en-AU"/>
              </w:rPr>
              <w:t xml:space="preserve"> NHCDC</w:t>
            </w:r>
            <w:r w:rsidRPr="00F61D59">
              <w:rPr>
                <w:rFonts w:eastAsia="Times New Roman" w:cs="Arial"/>
                <w:b/>
                <w:bCs/>
                <w:color w:val="FFFFFF" w:themeColor="background2"/>
                <w:sz w:val="16"/>
                <w:szCs w:val="16"/>
                <w:lang w:eastAsia="en-AU"/>
              </w:rPr>
              <w:t xml:space="preserve"> </w:t>
            </w:r>
            <w:r>
              <w:rPr>
                <w:rFonts w:eastAsia="Times New Roman" w:cs="Arial"/>
                <w:b/>
                <w:bCs/>
                <w:color w:val="FFFFFF" w:themeColor="background2"/>
                <w:sz w:val="16"/>
                <w:szCs w:val="16"/>
                <w:lang w:eastAsia="en-AU"/>
              </w:rPr>
              <w:t>r</w:t>
            </w:r>
            <w:r w:rsidRPr="00F61D59">
              <w:rPr>
                <w:rFonts w:eastAsia="Times New Roman" w:cs="Arial"/>
                <w:b/>
                <w:bCs/>
                <w:color w:val="FFFFFF" w:themeColor="background2"/>
                <w:sz w:val="16"/>
                <w:szCs w:val="16"/>
                <w:lang w:eastAsia="en-AU"/>
              </w:rPr>
              <w:t>ecords</w:t>
            </w:r>
          </w:p>
        </w:tc>
        <w:tc>
          <w:tcPr>
            <w:tcW w:w="2835" w:type="dxa"/>
            <w:gridSpan w:val="3"/>
            <w:tcBorders>
              <w:top w:val="single" w:sz="8" w:space="0" w:color="auto"/>
              <w:left w:val="nil"/>
              <w:bottom w:val="single" w:sz="8" w:space="0" w:color="FFFFFF"/>
              <w:right w:val="single" w:sz="4" w:space="0" w:color="FFFFFF" w:themeColor="background2"/>
            </w:tcBorders>
            <w:shd w:val="clear" w:color="000000" w:fill="15272F"/>
            <w:vAlign w:val="center"/>
            <w:hideMark/>
          </w:tcPr>
          <w:p w14:paraId="3C0A4E48" w14:textId="09065FC3" w:rsidR="003A549C" w:rsidRPr="00DC7A99"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 xml:space="preserve">In-scope </w:t>
            </w:r>
            <w:r>
              <w:rPr>
                <w:rFonts w:eastAsia="Times New Roman" w:cs="Arial"/>
                <w:b/>
                <w:bCs/>
                <w:color w:val="FFFFFF" w:themeColor="background2"/>
                <w:sz w:val="16"/>
                <w:szCs w:val="16"/>
                <w:lang w:eastAsia="en-AU"/>
              </w:rPr>
              <w:t>ABF activity</w:t>
            </w:r>
          </w:p>
        </w:tc>
        <w:tc>
          <w:tcPr>
            <w:tcW w:w="2694" w:type="dxa"/>
            <w:gridSpan w:val="3"/>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7269FCC4" w14:textId="7FAD0938" w:rsidR="003A549C" w:rsidRPr="00DC7A99" w:rsidRDefault="003A549C" w:rsidP="003A549C">
            <w:pPr>
              <w:spacing w:before="40" w:after="40" w:line="240" w:lineRule="auto"/>
              <w:jc w:val="center"/>
              <w:rPr>
                <w:rFonts w:eastAsia="Times New Roman" w:cs="Arial"/>
                <w:b/>
                <w:bCs/>
                <w:color w:val="FFFFFF"/>
                <w:sz w:val="16"/>
                <w:szCs w:val="16"/>
                <w:lang w:eastAsia="en-AU"/>
              </w:rPr>
            </w:pPr>
            <w:r w:rsidRPr="00657489">
              <w:rPr>
                <w:rFonts w:eastAsia="Times New Roman" w:cs="Arial"/>
                <w:b/>
                <w:bCs/>
                <w:color w:val="FFFFFF" w:themeColor="background2"/>
                <w:sz w:val="16"/>
                <w:szCs w:val="16"/>
                <w:lang w:eastAsia="en-AU"/>
              </w:rPr>
              <w:t xml:space="preserve">Costed </w:t>
            </w:r>
            <w:r>
              <w:rPr>
                <w:rFonts w:eastAsia="Times New Roman" w:cs="Arial"/>
                <w:b/>
                <w:bCs/>
                <w:color w:val="FFFFFF" w:themeColor="background2"/>
                <w:sz w:val="16"/>
                <w:szCs w:val="16"/>
                <w:lang w:eastAsia="en-AU"/>
              </w:rPr>
              <w:t>a</w:t>
            </w:r>
            <w:r w:rsidRPr="00657489">
              <w:rPr>
                <w:rFonts w:eastAsia="Times New Roman" w:cs="Arial"/>
                <w:b/>
                <w:bCs/>
                <w:color w:val="FFFFFF" w:themeColor="background2"/>
                <w:sz w:val="16"/>
                <w:szCs w:val="16"/>
                <w:lang w:eastAsia="en-AU"/>
              </w:rPr>
              <w:t>ctivity (%)</w:t>
            </w:r>
          </w:p>
        </w:tc>
      </w:tr>
      <w:tr w:rsidR="00DC7A99" w:rsidRPr="00DC7A99" w14:paraId="79643E4E" w14:textId="77777777" w:rsidTr="00223677">
        <w:trPr>
          <w:trHeight w:val="300"/>
        </w:trPr>
        <w:tc>
          <w:tcPr>
            <w:tcW w:w="1124" w:type="dxa"/>
            <w:vMerge/>
            <w:tcBorders>
              <w:top w:val="nil"/>
              <w:left w:val="nil"/>
              <w:bottom w:val="single" w:sz="8" w:space="0" w:color="D9D9D9"/>
              <w:right w:val="single" w:sz="8" w:space="0" w:color="FFFFFF"/>
            </w:tcBorders>
            <w:vAlign w:val="center"/>
            <w:hideMark/>
          </w:tcPr>
          <w:p w14:paraId="5909671E" w14:textId="77777777" w:rsidR="00DC7A99" w:rsidRPr="00DC7A99" w:rsidRDefault="00DC7A99" w:rsidP="000E5BF8">
            <w:pPr>
              <w:spacing w:before="40" w:after="40" w:line="240" w:lineRule="auto"/>
              <w:rPr>
                <w:rFonts w:eastAsia="Times New Roman" w:cs="Arial"/>
                <w:b/>
                <w:bCs/>
                <w:color w:val="FFFFFF"/>
                <w:sz w:val="16"/>
                <w:szCs w:val="16"/>
                <w:lang w:eastAsia="en-AU"/>
              </w:rPr>
            </w:pPr>
          </w:p>
        </w:tc>
        <w:tc>
          <w:tcPr>
            <w:tcW w:w="1003" w:type="dxa"/>
            <w:tcBorders>
              <w:top w:val="nil"/>
              <w:left w:val="nil"/>
              <w:bottom w:val="single" w:sz="8" w:space="0" w:color="D9D9D9"/>
              <w:right w:val="single" w:sz="8" w:space="0" w:color="FFFFFF"/>
            </w:tcBorders>
            <w:shd w:val="clear" w:color="000000" w:fill="15272F"/>
            <w:vAlign w:val="center"/>
            <w:hideMark/>
          </w:tcPr>
          <w:p w14:paraId="58C5CCF4" w14:textId="77777777" w:rsidR="00DC7A99" w:rsidRPr="00DC7A99" w:rsidRDefault="00DC7A99" w:rsidP="000E5BF8">
            <w:pPr>
              <w:spacing w:before="40" w:after="40" w:line="240" w:lineRule="auto"/>
              <w:jc w:val="center"/>
              <w:rPr>
                <w:rFonts w:eastAsia="Times New Roman" w:cs="Arial"/>
                <w:b/>
                <w:bCs/>
                <w:color w:val="FFFFFF"/>
                <w:sz w:val="16"/>
                <w:szCs w:val="16"/>
                <w:lang w:eastAsia="en-AU"/>
              </w:rPr>
            </w:pPr>
            <w:r w:rsidRPr="00DC7A99">
              <w:rPr>
                <w:rFonts w:eastAsia="Times New Roman" w:cs="Arial"/>
                <w:b/>
                <w:bCs/>
                <w:color w:val="FFFFFF" w:themeColor="background2"/>
                <w:sz w:val="16"/>
                <w:szCs w:val="16"/>
                <w:lang w:eastAsia="en-AU"/>
              </w:rPr>
              <w:t>2020-21</w:t>
            </w:r>
          </w:p>
        </w:tc>
        <w:tc>
          <w:tcPr>
            <w:tcW w:w="850" w:type="dxa"/>
            <w:tcBorders>
              <w:top w:val="nil"/>
              <w:left w:val="nil"/>
              <w:bottom w:val="single" w:sz="8" w:space="0" w:color="D9D9D9"/>
              <w:right w:val="single" w:sz="8" w:space="0" w:color="FFFFFF"/>
            </w:tcBorders>
            <w:shd w:val="clear" w:color="000000" w:fill="15272F"/>
            <w:vAlign w:val="center"/>
            <w:hideMark/>
          </w:tcPr>
          <w:p w14:paraId="37548B6D" w14:textId="77777777" w:rsidR="00DC7A99" w:rsidRPr="00DC7A99" w:rsidRDefault="00DC7A99" w:rsidP="000E5BF8">
            <w:pPr>
              <w:spacing w:before="40" w:after="40" w:line="240" w:lineRule="auto"/>
              <w:jc w:val="center"/>
              <w:rPr>
                <w:rFonts w:eastAsia="Times New Roman" w:cs="Arial"/>
                <w:b/>
                <w:bCs/>
                <w:color w:val="FFFFFF"/>
                <w:sz w:val="16"/>
                <w:szCs w:val="16"/>
                <w:lang w:eastAsia="en-AU"/>
              </w:rPr>
            </w:pPr>
            <w:r w:rsidRPr="00DC7A99">
              <w:rPr>
                <w:rFonts w:eastAsia="Times New Roman" w:cs="Arial"/>
                <w:b/>
                <w:bCs/>
                <w:color w:val="FFFFFF" w:themeColor="background2"/>
                <w:sz w:val="16"/>
                <w:szCs w:val="16"/>
                <w:lang w:eastAsia="en-AU"/>
              </w:rPr>
              <w:t>2021-22</w:t>
            </w:r>
          </w:p>
        </w:tc>
        <w:tc>
          <w:tcPr>
            <w:tcW w:w="992" w:type="dxa"/>
            <w:tcBorders>
              <w:top w:val="nil"/>
              <w:left w:val="nil"/>
              <w:bottom w:val="single" w:sz="8" w:space="0" w:color="D9D9D9"/>
              <w:right w:val="single" w:sz="8" w:space="0" w:color="FFFFFF"/>
            </w:tcBorders>
            <w:shd w:val="clear" w:color="000000" w:fill="15272F"/>
            <w:vAlign w:val="center"/>
            <w:hideMark/>
          </w:tcPr>
          <w:p w14:paraId="4175A5D2" w14:textId="77777777" w:rsidR="00DC7A99" w:rsidRPr="00DC7A99" w:rsidRDefault="00DC7A99" w:rsidP="000E5BF8">
            <w:pPr>
              <w:spacing w:before="40" w:after="40" w:line="240" w:lineRule="auto"/>
              <w:jc w:val="center"/>
              <w:rPr>
                <w:rFonts w:eastAsia="Times New Roman" w:cs="Arial"/>
                <w:b/>
                <w:bCs/>
                <w:color w:val="FFFFFF"/>
                <w:sz w:val="16"/>
                <w:szCs w:val="16"/>
                <w:lang w:eastAsia="en-AU"/>
              </w:rPr>
            </w:pPr>
            <w:r w:rsidRPr="00DC7A99">
              <w:rPr>
                <w:rFonts w:eastAsia="Times New Roman" w:cs="Arial"/>
                <w:b/>
                <w:bCs/>
                <w:color w:val="FFFFFF" w:themeColor="background2"/>
                <w:sz w:val="16"/>
                <w:szCs w:val="16"/>
                <w:lang w:eastAsia="en-AU"/>
              </w:rPr>
              <w:t>2022-23</w:t>
            </w:r>
          </w:p>
        </w:tc>
        <w:tc>
          <w:tcPr>
            <w:tcW w:w="993" w:type="dxa"/>
            <w:tcBorders>
              <w:top w:val="nil"/>
              <w:left w:val="nil"/>
              <w:bottom w:val="single" w:sz="8" w:space="0" w:color="D9D9D9"/>
              <w:right w:val="single" w:sz="8" w:space="0" w:color="FFFFFF"/>
            </w:tcBorders>
            <w:shd w:val="clear" w:color="000000" w:fill="15272F"/>
            <w:vAlign w:val="center"/>
            <w:hideMark/>
          </w:tcPr>
          <w:p w14:paraId="59673F3B" w14:textId="77777777" w:rsidR="00DC7A99" w:rsidRPr="00DC7A99" w:rsidRDefault="00DC7A99" w:rsidP="000E5BF8">
            <w:pPr>
              <w:spacing w:before="40" w:after="40" w:line="240" w:lineRule="auto"/>
              <w:jc w:val="center"/>
              <w:rPr>
                <w:rFonts w:eastAsia="Times New Roman" w:cs="Arial"/>
                <w:b/>
                <w:bCs/>
                <w:color w:val="FFFFFF"/>
                <w:sz w:val="16"/>
                <w:szCs w:val="16"/>
                <w:lang w:eastAsia="en-AU"/>
              </w:rPr>
            </w:pPr>
            <w:r w:rsidRPr="00DC7A99">
              <w:rPr>
                <w:rFonts w:eastAsia="Times New Roman" w:cs="Arial"/>
                <w:b/>
                <w:bCs/>
                <w:color w:val="FFFFFF" w:themeColor="background2"/>
                <w:sz w:val="16"/>
                <w:szCs w:val="16"/>
                <w:lang w:eastAsia="en-AU"/>
              </w:rPr>
              <w:t>2020-21</w:t>
            </w:r>
          </w:p>
        </w:tc>
        <w:tc>
          <w:tcPr>
            <w:tcW w:w="992" w:type="dxa"/>
            <w:tcBorders>
              <w:top w:val="nil"/>
              <w:left w:val="nil"/>
              <w:bottom w:val="single" w:sz="8" w:space="0" w:color="D9D9D9"/>
              <w:right w:val="single" w:sz="8" w:space="0" w:color="FFFFFF"/>
            </w:tcBorders>
            <w:shd w:val="clear" w:color="000000" w:fill="15272F"/>
            <w:vAlign w:val="center"/>
            <w:hideMark/>
          </w:tcPr>
          <w:p w14:paraId="68F1A162" w14:textId="77777777" w:rsidR="00DC7A99" w:rsidRPr="00DC7A99" w:rsidRDefault="00DC7A99" w:rsidP="000E5BF8">
            <w:pPr>
              <w:spacing w:before="40" w:after="40" w:line="240" w:lineRule="auto"/>
              <w:jc w:val="center"/>
              <w:rPr>
                <w:rFonts w:eastAsia="Times New Roman" w:cs="Arial"/>
                <w:b/>
                <w:bCs/>
                <w:color w:val="FFFFFF"/>
                <w:sz w:val="16"/>
                <w:szCs w:val="16"/>
                <w:lang w:eastAsia="en-AU"/>
              </w:rPr>
            </w:pPr>
            <w:r w:rsidRPr="00DC7A99">
              <w:rPr>
                <w:rFonts w:eastAsia="Times New Roman" w:cs="Arial"/>
                <w:b/>
                <w:bCs/>
                <w:color w:val="FFFFFF" w:themeColor="background2"/>
                <w:sz w:val="16"/>
                <w:szCs w:val="16"/>
                <w:lang w:eastAsia="en-AU"/>
              </w:rPr>
              <w:t>2021-22</w:t>
            </w:r>
          </w:p>
        </w:tc>
        <w:tc>
          <w:tcPr>
            <w:tcW w:w="850" w:type="dxa"/>
            <w:tcBorders>
              <w:top w:val="nil"/>
              <w:left w:val="nil"/>
              <w:bottom w:val="single" w:sz="8" w:space="0" w:color="D9D9D9"/>
              <w:right w:val="single" w:sz="8" w:space="0" w:color="FFFFFF"/>
            </w:tcBorders>
            <w:shd w:val="clear" w:color="000000" w:fill="15272F"/>
            <w:vAlign w:val="center"/>
            <w:hideMark/>
          </w:tcPr>
          <w:p w14:paraId="18C91C79" w14:textId="77777777" w:rsidR="00DC7A99" w:rsidRPr="00DC7A99" w:rsidRDefault="00DC7A99" w:rsidP="000E5BF8">
            <w:pPr>
              <w:spacing w:before="40" w:after="40" w:line="240" w:lineRule="auto"/>
              <w:jc w:val="center"/>
              <w:rPr>
                <w:rFonts w:eastAsia="Times New Roman" w:cs="Arial"/>
                <w:b/>
                <w:bCs/>
                <w:color w:val="FFFFFF"/>
                <w:sz w:val="16"/>
                <w:szCs w:val="16"/>
                <w:lang w:eastAsia="en-AU"/>
              </w:rPr>
            </w:pPr>
            <w:r w:rsidRPr="00DC7A99">
              <w:rPr>
                <w:rFonts w:eastAsia="Times New Roman" w:cs="Arial"/>
                <w:b/>
                <w:bCs/>
                <w:color w:val="FFFFFF" w:themeColor="background2"/>
                <w:sz w:val="16"/>
                <w:szCs w:val="16"/>
                <w:lang w:eastAsia="en-AU"/>
              </w:rPr>
              <w:t>2022-23</w:t>
            </w:r>
          </w:p>
        </w:tc>
        <w:tc>
          <w:tcPr>
            <w:tcW w:w="993" w:type="dxa"/>
            <w:tcBorders>
              <w:top w:val="single" w:sz="8" w:space="0" w:color="D9D9D9"/>
              <w:left w:val="nil"/>
              <w:bottom w:val="single" w:sz="8" w:space="0" w:color="D9D9D9"/>
              <w:right w:val="single" w:sz="8" w:space="0" w:color="FFFFFF"/>
            </w:tcBorders>
            <w:shd w:val="clear" w:color="000000" w:fill="15272F"/>
            <w:vAlign w:val="center"/>
            <w:hideMark/>
          </w:tcPr>
          <w:p w14:paraId="765608B3" w14:textId="77777777" w:rsidR="00DC7A99" w:rsidRPr="00DC7A99" w:rsidRDefault="00DC7A99" w:rsidP="000E5BF8">
            <w:pPr>
              <w:spacing w:before="40" w:after="40" w:line="240" w:lineRule="auto"/>
              <w:jc w:val="center"/>
              <w:rPr>
                <w:rFonts w:eastAsia="Times New Roman" w:cs="Arial"/>
                <w:b/>
                <w:bCs/>
                <w:color w:val="FFFFFF"/>
                <w:sz w:val="16"/>
                <w:szCs w:val="16"/>
                <w:lang w:eastAsia="en-AU"/>
              </w:rPr>
            </w:pPr>
            <w:r w:rsidRPr="00DC7A99">
              <w:rPr>
                <w:rFonts w:eastAsia="Times New Roman" w:cs="Arial"/>
                <w:b/>
                <w:bCs/>
                <w:color w:val="FFFFFF" w:themeColor="background2"/>
                <w:sz w:val="16"/>
                <w:szCs w:val="16"/>
                <w:lang w:eastAsia="en-AU"/>
              </w:rPr>
              <w:t>2020-21</w:t>
            </w:r>
          </w:p>
        </w:tc>
        <w:tc>
          <w:tcPr>
            <w:tcW w:w="850" w:type="dxa"/>
            <w:tcBorders>
              <w:top w:val="nil"/>
              <w:left w:val="nil"/>
              <w:bottom w:val="single" w:sz="8" w:space="0" w:color="D9D9D9"/>
              <w:right w:val="single" w:sz="4" w:space="0" w:color="FFFFFF" w:themeColor="background2"/>
            </w:tcBorders>
            <w:shd w:val="clear" w:color="000000" w:fill="15272F"/>
            <w:vAlign w:val="center"/>
            <w:hideMark/>
          </w:tcPr>
          <w:p w14:paraId="5D98A473" w14:textId="77777777" w:rsidR="00DC7A99" w:rsidRPr="00DC7A99" w:rsidRDefault="00DC7A99" w:rsidP="000E5BF8">
            <w:pPr>
              <w:spacing w:before="40" w:after="40" w:line="240" w:lineRule="auto"/>
              <w:jc w:val="center"/>
              <w:rPr>
                <w:rFonts w:eastAsia="Times New Roman" w:cs="Arial"/>
                <w:b/>
                <w:bCs/>
                <w:color w:val="FFFFFF"/>
                <w:sz w:val="16"/>
                <w:szCs w:val="16"/>
                <w:lang w:eastAsia="en-AU"/>
              </w:rPr>
            </w:pPr>
            <w:r w:rsidRPr="00DC7A99">
              <w:rPr>
                <w:rFonts w:eastAsia="Times New Roman" w:cs="Arial"/>
                <w:b/>
                <w:bCs/>
                <w:color w:val="FFFFFF" w:themeColor="background2"/>
                <w:sz w:val="16"/>
                <w:szCs w:val="16"/>
                <w:lang w:eastAsia="en-AU"/>
              </w:rPr>
              <w:t>2021-22</w:t>
            </w:r>
          </w:p>
        </w:tc>
        <w:tc>
          <w:tcPr>
            <w:tcW w:w="851"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43E9BF7F" w14:textId="77777777" w:rsidR="00DC7A99" w:rsidRPr="00DC7A99" w:rsidRDefault="00DC7A99" w:rsidP="000E5BF8">
            <w:pPr>
              <w:spacing w:before="40" w:after="40" w:line="240" w:lineRule="auto"/>
              <w:jc w:val="center"/>
              <w:rPr>
                <w:rFonts w:eastAsia="Times New Roman" w:cs="Arial"/>
                <w:b/>
                <w:bCs/>
                <w:color w:val="FFFFFF"/>
                <w:sz w:val="16"/>
                <w:szCs w:val="16"/>
                <w:lang w:eastAsia="en-AU"/>
              </w:rPr>
            </w:pPr>
            <w:r w:rsidRPr="00DC7A99">
              <w:rPr>
                <w:rFonts w:eastAsia="Times New Roman" w:cs="Arial"/>
                <w:b/>
                <w:bCs/>
                <w:color w:val="FFFFFF" w:themeColor="background2"/>
                <w:sz w:val="16"/>
                <w:szCs w:val="16"/>
                <w:lang w:eastAsia="en-AU"/>
              </w:rPr>
              <w:t>2022-23</w:t>
            </w:r>
          </w:p>
        </w:tc>
      </w:tr>
      <w:tr w:rsidR="00C3787D" w:rsidRPr="00DC7A99" w14:paraId="1F84C0E1" w14:textId="77777777" w:rsidTr="00091DB9">
        <w:trPr>
          <w:trHeight w:val="300"/>
        </w:trPr>
        <w:tc>
          <w:tcPr>
            <w:tcW w:w="1124" w:type="dxa"/>
            <w:tcBorders>
              <w:top w:val="nil"/>
              <w:left w:val="nil"/>
              <w:bottom w:val="single" w:sz="8" w:space="0" w:color="D9D9D9"/>
              <w:right w:val="single" w:sz="8" w:space="0" w:color="FFFFFF"/>
            </w:tcBorders>
            <w:shd w:val="clear" w:color="auto" w:fill="auto"/>
            <w:vAlign w:val="center"/>
            <w:hideMark/>
          </w:tcPr>
          <w:p w14:paraId="15B72801" w14:textId="77777777" w:rsidR="00C3787D" w:rsidRPr="00DC7A99" w:rsidRDefault="00C3787D" w:rsidP="00C3787D">
            <w:pPr>
              <w:spacing w:before="40" w:after="40" w:line="240" w:lineRule="auto"/>
              <w:rPr>
                <w:rFonts w:eastAsia="Times New Roman" w:cs="Arial"/>
                <w:color w:val="1C1C1C"/>
                <w:sz w:val="16"/>
                <w:szCs w:val="16"/>
                <w:lang w:eastAsia="en-AU"/>
              </w:rPr>
            </w:pPr>
            <w:r w:rsidRPr="00DC7A99">
              <w:rPr>
                <w:rFonts w:eastAsia="Times New Roman" w:cs="Arial"/>
                <w:color w:val="1C1C1C"/>
                <w:sz w:val="16"/>
                <w:szCs w:val="16"/>
                <w:lang w:eastAsia="en-AU"/>
              </w:rPr>
              <w:t>NSW</w:t>
            </w:r>
          </w:p>
        </w:tc>
        <w:tc>
          <w:tcPr>
            <w:tcW w:w="1003" w:type="dxa"/>
            <w:tcBorders>
              <w:top w:val="nil"/>
              <w:left w:val="nil"/>
              <w:bottom w:val="single" w:sz="8" w:space="0" w:color="D9D9D9"/>
              <w:right w:val="single" w:sz="8" w:space="0" w:color="FFFFFF"/>
            </w:tcBorders>
            <w:shd w:val="clear" w:color="000000" w:fill="F2F2F2"/>
            <w:vAlign w:val="center"/>
            <w:hideMark/>
          </w:tcPr>
          <w:p w14:paraId="2E8676F8" w14:textId="2C47B191" w:rsidR="00C3787D" w:rsidRPr="00C3787D" w:rsidRDefault="00C3787D" w:rsidP="00C3787D">
            <w:pPr>
              <w:spacing w:before="40" w:after="40" w:line="240" w:lineRule="auto"/>
              <w:jc w:val="right"/>
              <w:rPr>
                <w:rFonts w:eastAsia="Times New Roman" w:cs="Arial"/>
                <w:b/>
                <w:bCs/>
                <w:color w:val="000000"/>
                <w:sz w:val="16"/>
                <w:szCs w:val="16"/>
                <w:u w:val="single"/>
                <w:lang w:eastAsia="en-AU"/>
              </w:rPr>
            </w:pPr>
            <w:r w:rsidRPr="00091DB9">
              <w:rPr>
                <w:rFonts w:cs="Arial"/>
                <w:color w:val="15272F"/>
                <w:sz w:val="16"/>
                <w:szCs w:val="16"/>
              </w:rPr>
              <w:t xml:space="preserve">527 </w:t>
            </w:r>
          </w:p>
        </w:tc>
        <w:tc>
          <w:tcPr>
            <w:tcW w:w="850" w:type="dxa"/>
            <w:tcBorders>
              <w:top w:val="nil"/>
              <w:left w:val="nil"/>
              <w:bottom w:val="nil"/>
              <w:right w:val="single" w:sz="8" w:space="0" w:color="FFFFFF"/>
            </w:tcBorders>
            <w:shd w:val="clear" w:color="000000" w:fill="F2F2F2"/>
            <w:vAlign w:val="center"/>
            <w:hideMark/>
          </w:tcPr>
          <w:p w14:paraId="778EE24E" w14:textId="5573C3D8" w:rsidR="00C3787D" w:rsidRPr="00C3787D" w:rsidRDefault="00C3787D" w:rsidP="00C3787D">
            <w:pPr>
              <w:spacing w:before="40" w:after="40" w:line="240" w:lineRule="auto"/>
              <w:jc w:val="right"/>
              <w:rPr>
                <w:rFonts w:eastAsia="Times New Roman" w:cs="Arial"/>
                <w:b/>
                <w:bCs/>
                <w:color w:val="000000"/>
                <w:sz w:val="16"/>
                <w:szCs w:val="16"/>
                <w:u w:val="single"/>
                <w:lang w:eastAsia="en-AU"/>
              </w:rPr>
            </w:pPr>
            <w:r w:rsidRPr="00091DB9">
              <w:rPr>
                <w:rFonts w:cs="Arial"/>
                <w:color w:val="15272F"/>
                <w:sz w:val="16"/>
                <w:szCs w:val="16"/>
              </w:rPr>
              <w:t xml:space="preserve">94 </w:t>
            </w:r>
          </w:p>
        </w:tc>
        <w:tc>
          <w:tcPr>
            <w:tcW w:w="992" w:type="dxa"/>
            <w:tcBorders>
              <w:top w:val="nil"/>
              <w:left w:val="nil"/>
              <w:bottom w:val="single" w:sz="8" w:space="0" w:color="D9D9D9"/>
              <w:right w:val="single" w:sz="8" w:space="0" w:color="FFFFFF"/>
            </w:tcBorders>
            <w:shd w:val="clear" w:color="000000" w:fill="F2F2F2"/>
            <w:vAlign w:val="center"/>
            <w:hideMark/>
          </w:tcPr>
          <w:p w14:paraId="3F8CBEDA" w14:textId="552D09D6" w:rsidR="00C3787D" w:rsidRPr="00C3787D" w:rsidRDefault="00C3787D" w:rsidP="00C3787D">
            <w:pPr>
              <w:spacing w:before="40" w:after="40" w:line="240" w:lineRule="auto"/>
              <w:jc w:val="right"/>
              <w:rPr>
                <w:rFonts w:eastAsia="Times New Roman" w:cs="Arial"/>
                <w:b/>
                <w:bCs/>
                <w:color w:val="000000"/>
                <w:sz w:val="16"/>
                <w:szCs w:val="16"/>
                <w:u w:val="single"/>
                <w:lang w:eastAsia="en-AU"/>
              </w:rPr>
            </w:pPr>
            <w:r w:rsidRPr="00091DB9">
              <w:rPr>
                <w:rFonts w:cs="Arial"/>
                <w:color w:val="15272F"/>
                <w:sz w:val="16"/>
                <w:szCs w:val="16"/>
              </w:rPr>
              <w:t xml:space="preserve">5 </w:t>
            </w:r>
          </w:p>
        </w:tc>
        <w:tc>
          <w:tcPr>
            <w:tcW w:w="993" w:type="dxa"/>
            <w:tcBorders>
              <w:top w:val="nil"/>
              <w:left w:val="nil"/>
              <w:bottom w:val="single" w:sz="8" w:space="0" w:color="D9D9D9"/>
              <w:right w:val="single" w:sz="8" w:space="0" w:color="FFFFFF"/>
            </w:tcBorders>
            <w:shd w:val="clear" w:color="000000" w:fill="F2F2F2"/>
            <w:vAlign w:val="center"/>
            <w:hideMark/>
          </w:tcPr>
          <w:p w14:paraId="1582760F" w14:textId="3BDF44D0"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42,398 </w:t>
            </w:r>
          </w:p>
        </w:tc>
        <w:tc>
          <w:tcPr>
            <w:tcW w:w="992" w:type="dxa"/>
            <w:tcBorders>
              <w:top w:val="nil"/>
              <w:left w:val="nil"/>
              <w:bottom w:val="nil"/>
              <w:right w:val="single" w:sz="8" w:space="0" w:color="FFFFFF"/>
            </w:tcBorders>
            <w:shd w:val="clear" w:color="000000" w:fill="F2F2F2"/>
            <w:vAlign w:val="center"/>
            <w:hideMark/>
          </w:tcPr>
          <w:p w14:paraId="48F7CE27" w14:textId="7F5FB2E1"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38,950 </w:t>
            </w:r>
          </w:p>
        </w:tc>
        <w:tc>
          <w:tcPr>
            <w:tcW w:w="850" w:type="dxa"/>
            <w:tcBorders>
              <w:top w:val="nil"/>
              <w:left w:val="nil"/>
              <w:bottom w:val="single" w:sz="8" w:space="0" w:color="D9D9D9"/>
              <w:right w:val="single" w:sz="8" w:space="0" w:color="FFFFFF"/>
            </w:tcBorders>
            <w:shd w:val="clear" w:color="000000" w:fill="F2F2F2"/>
            <w:vAlign w:val="center"/>
            <w:hideMark/>
          </w:tcPr>
          <w:p w14:paraId="65AC8A8D" w14:textId="155E6158" w:rsidR="00C3787D" w:rsidRPr="00C3787D" w:rsidRDefault="00C3787D" w:rsidP="00C3787D">
            <w:pPr>
              <w:spacing w:before="40" w:after="40" w:line="240" w:lineRule="auto"/>
              <w:jc w:val="right"/>
              <w:rPr>
                <w:rFonts w:eastAsia="Times New Roman" w:cs="Arial"/>
                <w:b/>
                <w:bCs/>
                <w:color w:val="000000"/>
                <w:sz w:val="16"/>
                <w:szCs w:val="16"/>
                <w:u w:val="single"/>
                <w:lang w:eastAsia="en-AU"/>
              </w:rPr>
            </w:pPr>
            <w:r w:rsidRPr="00091DB9">
              <w:rPr>
                <w:rFonts w:cs="Arial"/>
                <w:color w:val="15272F"/>
                <w:sz w:val="16"/>
                <w:szCs w:val="16"/>
              </w:rPr>
              <w:t xml:space="preserve">41,067 </w:t>
            </w:r>
          </w:p>
        </w:tc>
        <w:tc>
          <w:tcPr>
            <w:tcW w:w="993" w:type="dxa"/>
            <w:tcBorders>
              <w:top w:val="nil"/>
              <w:left w:val="nil"/>
              <w:bottom w:val="nil"/>
              <w:right w:val="single" w:sz="8" w:space="0" w:color="FFFFFF"/>
            </w:tcBorders>
            <w:shd w:val="clear" w:color="000000" w:fill="F2F2F2"/>
            <w:vAlign w:val="center"/>
            <w:hideMark/>
          </w:tcPr>
          <w:p w14:paraId="274C4201" w14:textId="60C92D55"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 </w:t>
            </w:r>
          </w:p>
        </w:tc>
        <w:tc>
          <w:tcPr>
            <w:tcW w:w="850" w:type="dxa"/>
            <w:tcBorders>
              <w:top w:val="nil"/>
              <w:left w:val="nil"/>
              <w:bottom w:val="single" w:sz="8" w:space="0" w:color="D9D9D9"/>
              <w:right w:val="single" w:sz="8" w:space="0" w:color="FFFFFF"/>
            </w:tcBorders>
            <w:shd w:val="clear" w:color="000000" w:fill="F2F2F2"/>
            <w:vAlign w:val="center"/>
            <w:hideMark/>
          </w:tcPr>
          <w:p w14:paraId="338CE0BA" w14:textId="20DCF0D8"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0 </w:t>
            </w:r>
          </w:p>
        </w:tc>
        <w:tc>
          <w:tcPr>
            <w:tcW w:w="851" w:type="dxa"/>
            <w:tcBorders>
              <w:top w:val="single" w:sz="4" w:space="0" w:color="FFFFFF" w:themeColor="background2"/>
              <w:left w:val="nil"/>
              <w:bottom w:val="single" w:sz="8" w:space="0" w:color="D9D9D9"/>
              <w:right w:val="single" w:sz="8" w:space="0" w:color="FFFFFF"/>
            </w:tcBorders>
            <w:shd w:val="clear" w:color="000000" w:fill="F2F2F2"/>
            <w:vAlign w:val="center"/>
            <w:hideMark/>
          </w:tcPr>
          <w:p w14:paraId="3E961A89" w14:textId="57105593"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0 </w:t>
            </w:r>
          </w:p>
        </w:tc>
      </w:tr>
      <w:tr w:rsidR="00C3787D" w:rsidRPr="00DC7A99" w14:paraId="364053A8" w14:textId="77777777" w:rsidTr="00091DB9">
        <w:trPr>
          <w:trHeight w:val="300"/>
        </w:trPr>
        <w:tc>
          <w:tcPr>
            <w:tcW w:w="1124" w:type="dxa"/>
            <w:tcBorders>
              <w:top w:val="nil"/>
              <w:left w:val="nil"/>
              <w:bottom w:val="single" w:sz="8" w:space="0" w:color="D9D9D9"/>
              <w:right w:val="single" w:sz="8" w:space="0" w:color="FFFFFF"/>
            </w:tcBorders>
            <w:shd w:val="clear" w:color="auto" w:fill="auto"/>
            <w:vAlign w:val="center"/>
            <w:hideMark/>
          </w:tcPr>
          <w:p w14:paraId="42E839AD" w14:textId="77777777" w:rsidR="00C3787D" w:rsidRPr="00DC7A99" w:rsidRDefault="00C3787D" w:rsidP="00C3787D">
            <w:pPr>
              <w:spacing w:before="40" w:after="40" w:line="240" w:lineRule="auto"/>
              <w:rPr>
                <w:rFonts w:eastAsia="Times New Roman" w:cs="Arial"/>
                <w:color w:val="1C1C1C"/>
                <w:sz w:val="16"/>
                <w:szCs w:val="16"/>
                <w:lang w:eastAsia="en-AU"/>
              </w:rPr>
            </w:pPr>
            <w:r w:rsidRPr="00DC7A99">
              <w:rPr>
                <w:rFonts w:eastAsia="Times New Roman" w:cs="Arial"/>
                <w:color w:val="1C1C1C"/>
                <w:sz w:val="16"/>
                <w:szCs w:val="16"/>
                <w:lang w:eastAsia="en-AU"/>
              </w:rPr>
              <w:t>Vic</w:t>
            </w:r>
          </w:p>
        </w:tc>
        <w:tc>
          <w:tcPr>
            <w:tcW w:w="1003" w:type="dxa"/>
            <w:tcBorders>
              <w:top w:val="nil"/>
              <w:left w:val="nil"/>
              <w:bottom w:val="nil"/>
              <w:right w:val="single" w:sz="8" w:space="0" w:color="FFFFFF"/>
            </w:tcBorders>
            <w:shd w:val="clear" w:color="000000" w:fill="F2F2F2"/>
            <w:vAlign w:val="center"/>
            <w:hideMark/>
          </w:tcPr>
          <w:p w14:paraId="61F975B1" w14:textId="28AFD0B4"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423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3A24EAF5" w14:textId="7BE65D3B"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448 </w:t>
            </w:r>
          </w:p>
        </w:tc>
        <w:tc>
          <w:tcPr>
            <w:tcW w:w="992" w:type="dxa"/>
            <w:tcBorders>
              <w:top w:val="nil"/>
              <w:left w:val="nil"/>
              <w:bottom w:val="nil"/>
              <w:right w:val="single" w:sz="8" w:space="0" w:color="FFFFFF"/>
            </w:tcBorders>
            <w:shd w:val="clear" w:color="000000" w:fill="F2F2F2"/>
            <w:vAlign w:val="center"/>
            <w:hideMark/>
          </w:tcPr>
          <w:p w14:paraId="355682CF" w14:textId="4F93AA73"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631 </w:t>
            </w:r>
          </w:p>
        </w:tc>
        <w:tc>
          <w:tcPr>
            <w:tcW w:w="993" w:type="dxa"/>
            <w:tcBorders>
              <w:top w:val="nil"/>
              <w:left w:val="nil"/>
              <w:bottom w:val="nil"/>
              <w:right w:val="single" w:sz="8" w:space="0" w:color="FFFFFF"/>
            </w:tcBorders>
            <w:shd w:val="clear" w:color="000000" w:fill="F2F2F2"/>
            <w:vAlign w:val="center"/>
            <w:hideMark/>
          </w:tcPr>
          <w:p w14:paraId="52E515D1" w14:textId="6EFEEE18"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34,902 </w:t>
            </w:r>
          </w:p>
        </w:tc>
        <w:tc>
          <w:tcPr>
            <w:tcW w:w="992" w:type="dxa"/>
            <w:tcBorders>
              <w:top w:val="single" w:sz="8" w:space="0" w:color="D9D9D9"/>
              <w:left w:val="nil"/>
              <w:bottom w:val="single" w:sz="8" w:space="0" w:color="D9D9D9"/>
              <w:right w:val="single" w:sz="8" w:space="0" w:color="FFFFFF"/>
            </w:tcBorders>
            <w:shd w:val="clear" w:color="000000" w:fill="F2F2F2"/>
            <w:vAlign w:val="center"/>
            <w:hideMark/>
          </w:tcPr>
          <w:p w14:paraId="3982CBDE" w14:textId="4500F346"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33,855 </w:t>
            </w:r>
          </w:p>
        </w:tc>
        <w:tc>
          <w:tcPr>
            <w:tcW w:w="850" w:type="dxa"/>
            <w:tcBorders>
              <w:top w:val="nil"/>
              <w:left w:val="nil"/>
              <w:bottom w:val="nil"/>
              <w:right w:val="single" w:sz="8" w:space="0" w:color="FFFFFF"/>
            </w:tcBorders>
            <w:shd w:val="clear" w:color="000000" w:fill="F2F2F2"/>
            <w:vAlign w:val="center"/>
            <w:hideMark/>
          </w:tcPr>
          <w:p w14:paraId="69D3CE6D" w14:textId="50819547"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31,640 </w:t>
            </w:r>
          </w:p>
        </w:tc>
        <w:tc>
          <w:tcPr>
            <w:tcW w:w="993" w:type="dxa"/>
            <w:tcBorders>
              <w:top w:val="single" w:sz="8" w:space="0" w:color="D9D9D9"/>
              <w:left w:val="nil"/>
              <w:bottom w:val="single" w:sz="8" w:space="0" w:color="D9D9D9"/>
              <w:right w:val="single" w:sz="8" w:space="0" w:color="FFFFFF"/>
            </w:tcBorders>
            <w:shd w:val="clear" w:color="000000" w:fill="F2F2F2"/>
            <w:vAlign w:val="center"/>
            <w:hideMark/>
          </w:tcPr>
          <w:p w14:paraId="7DA31013" w14:textId="16489E43"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 </w:t>
            </w:r>
          </w:p>
        </w:tc>
        <w:tc>
          <w:tcPr>
            <w:tcW w:w="850" w:type="dxa"/>
            <w:tcBorders>
              <w:top w:val="nil"/>
              <w:left w:val="nil"/>
              <w:bottom w:val="nil"/>
              <w:right w:val="single" w:sz="8" w:space="0" w:color="FFFFFF"/>
            </w:tcBorders>
            <w:shd w:val="clear" w:color="000000" w:fill="F2F2F2"/>
            <w:vAlign w:val="center"/>
            <w:hideMark/>
          </w:tcPr>
          <w:p w14:paraId="73AC98FE" w14:textId="7AEC1F2B"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 </w:t>
            </w:r>
          </w:p>
        </w:tc>
        <w:tc>
          <w:tcPr>
            <w:tcW w:w="851" w:type="dxa"/>
            <w:tcBorders>
              <w:top w:val="nil"/>
              <w:left w:val="nil"/>
              <w:bottom w:val="nil"/>
              <w:right w:val="single" w:sz="8" w:space="0" w:color="FFFFFF"/>
            </w:tcBorders>
            <w:shd w:val="clear" w:color="000000" w:fill="F2F2F2"/>
            <w:vAlign w:val="center"/>
            <w:hideMark/>
          </w:tcPr>
          <w:p w14:paraId="3F763E49" w14:textId="4F74A29D"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 </w:t>
            </w:r>
          </w:p>
        </w:tc>
      </w:tr>
      <w:tr w:rsidR="00C3787D" w:rsidRPr="00DC7A99" w14:paraId="040AE881" w14:textId="77777777" w:rsidTr="00091DB9">
        <w:trPr>
          <w:trHeight w:val="300"/>
        </w:trPr>
        <w:tc>
          <w:tcPr>
            <w:tcW w:w="1124" w:type="dxa"/>
            <w:tcBorders>
              <w:top w:val="nil"/>
              <w:left w:val="nil"/>
              <w:bottom w:val="single" w:sz="8" w:space="0" w:color="D9D9D9"/>
              <w:right w:val="single" w:sz="8" w:space="0" w:color="FFFFFF"/>
            </w:tcBorders>
            <w:shd w:val="clear" w:color="auto" w:fill="auto"/>
            <w:vAlign w:val="center"/>
            <w:hideMark/>
          </w:tcPr>
          <w:p w14:paraId="5CD62567" w14:textId="77777777" w:rsidR="00C3787D" w:rsidRPr="00DC7A99" w:rsidRDefault="00C3787D" w:rsidP="00C3787D">
            <w:pPr>
              <w:spacing w:before="40" w:after="40" w:line="240" w:lineRule="auto"/>
              <w:rPr>
                <w:rFonts w:eastAsia="Times New Roman" w:cs="Arial"/>
                <w:color w:val="1C1C1C"/>
                <w:sz w:val="16"/>
                <w:szCs w:val="16"/>
                <w:lang w:eastAsia="en-AU"/>
              </w:rPr>
            </w:pPr>
            <w:r w:rsidRPr="00DC7A99">
              <w:rPr>
                <w:rFonts w:eastAsia="Times New Roman" w:cs="Arial"/>
                <w:color w:val="1C1C1C"/>
                <w:sz w:val="16"/>
                <w:szCs w:val="16"/>
                <w:lang w:eastAsia="en-AU"/>
              </w:rPr>
              <w:t>Qld</w:t>
            </w:r>
          </w:p>
        </w:tc>
        <w:tc>
          <w:tcPr>
            <w:tcW w:w="1003" w:type="dxa"/>
            <w:tcBorders>
              <w:top w:val="single" w:sz="8" w:space="0" w:color="D9D9D9"/>
              <w:left w:val="nil"/>
              <w:bottom w:val="single" w:sz="8" w:space="0" w:color="D9D9D9"/>
              <w:right w:val="single" w:sz="8" w:space="0" w:color="FFFFFF"/>
            </w:tcBorders>
            <w:shd w:val="clear" w:color="000000" w:fill="F2F2F2"/>
            <w:vAlign w:val="center"/>
            <w:hideMark/>
          </w:tcPr>
          <w:p w14:paraId="1E65C44D" w14:textId="488F53C0"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17,667 </w:t>
            </w:r>
          </w:p>
        </w:tc>
        <w:tc>
          <w:tcPr>
            <w:tcW w:w="850" w:type="dxa"/>
            <w:tcBorders>
              <w:top w:val="nil"/>
              <w:left w:val="nil"/>
              <w:bottom w:val="single" w:sz="8" w:space="0" w:color="D9D9D9"/>
              <w:right w:val="single" w:sz="8" w:space="0" w:color="FFFFFF"/>
            </w:tcBorders>
            <w:shd w:val="clear" w:color="000000" w:fill="F2F2F2"/>
            <w:vAlign w:val="center"/>
            <w:hideMark/>
          </w:tcPr>
          <w:p w14:paraId="41287652" w14:textId="3D8CCA1C"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7,991 </w:t>
            </w:r>
          </w:p>
        </w:tc>
        <w:tc>
          <w:tcPr>
            <w:tcW w:w="992" w:type="dxa"/>
            <w:tcBorders>
              <w:top w:val="single" w:sz="8" w:space="0" w:color="D9D9D9"/>
              <w:left w:val="nil"/>
              <w:bottom w:val="single" w:sz="8" w:space="0" w:color="D9D9D9"/>
              <w:right w:val="single" w:sz="8" w:space="0" w:color="FFFFFF"/>
            </w:tcBorders>
            <w:shd w:val="clear" w:color="000000" w:fill="F2F2F2"/>
            <w:vAlign w:val="center"/>
            <w:hideMark/>
          </w:tcPr>
          <w:p w14:paraId="484FF20B" w14:textId="5D327A73"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6,172 </w:t>
            </w:r>
          </w:p>
        </w:tc>
        <w:tc>
          <w:tcPr>
            <w:tcW w:w="993" w:type="dxa"/>
            <w:tcBorders>
              <w:top w:val="single" w:sz="8" w:space="0" w:color="D9D9D9"/>
              <w:left w:val="nil"/>
              <w:bottom w:val="single" w:sz="8" w:space="0" w:color="D9D9D9"/>
              <w:right w:val="single" w:sz="8" w:space="0" w:color="FFFFFF"/>
            </w:tcBorders>
            <w:shd w:val="clear" w:color="000000" w:fill="F2F2F2"/>
            <w:vAlign w:val="center"/>
            <w:hideMark/>
          </w:tcPr>
          <w:p w14:paraId="3E056A0F" w14:textId="7490654A"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32,492 </w:t>
            </w:r>
          </w:p>
        </w:tc>
        <w:tc>
          <w:tcPr>
            <w:tcW w:w="992" w:type="dxa"/>
            <w:tcBorders>
              <w:top w:val="nil"/>
              <w:left w:val="nil"/>
              <w:bottom w:val="single" w:sz="8" w:space="0" w:color="D9D9D9"/>
              <w:right w:val="single" w:sz="8" w:space="0" w:color="FFFFFF"/>
            </w:tcBorders>
            <w:shd w:val="clear" w:color="000000" w:fill="F2F2F2"/>
            <w:vAlign w:val="center"/>
            <w:hideMark/>
          </w:tcPr>
          <w:p w14:paraId="70C2A806" w14:textId="628ACE14"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30,785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76B4E191" w14:textId="0210BB66"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30,430 </w:t>
            </w:r>
          </w:p>
        </w:tc>
        <w:tc>
          <w:tcPr>
            <w:tcW w:w="993" w:type="dxa"/>
            <w:tcBorders>
              <w:top w:val="nil"/>
              <w:left w:val="nil"/>
              <w:bottom w:val="single" w:sz="8" w:space="0" w:color="D9D9D9"/>
              <w:right w:val="single" w:sz="8" w:space="0" w:color="FFFFFF"/>
            </w:tcBorders>
            <w:shd w:val="clear" w:color="000000" w:fill="F2F2F2"/>
            <w:vAlign w:val="center"/>
            <w:hideMark/>
          </w:tcPr>
          <w:p w14:paraId="143E6D64" w14:textId="56F1DB45"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54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39F75697" w14:textId="1775CE26"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26 </w:t>
            </w:r>
          </w:p>
        </w:tc>
        <w:tc>
          <w:tcPr>
            <w:tcW w:w="851" w:type="dxa"/>
            <w:tcBorders>
              <w:top w:val="single" w:sz="8" w:space="0" w:color="D9D9D9"/>
              <w:left w:val="nil"/>
              <w:bottom w:val="single" w:sz="8" w:space="0" w:color="D9D9D9"/>
              <w:right w:val="single" w:sz="8" w:space="0" w:color="FFFFFF"/>
            </w:tcBorders>
            <w:shd w:val="clear" w:color="000000" w:fill="F2F2F2"/>
            <w:vAlign w:val="center"/>
            <w:hideMark/>
          </w:tcPr>
          <w:p w14:paraId="60C1C0B6" w14:textId="1D723763"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20 </w:t>
            </w:r>
          </w:p>
        </w:tc>
      </w:tr>
      <w:tr w:rsidR="00C3787D" w:rsidRPr="00DC7A99" w14:paraId="61C68715" w14:textId="77777777" w:rsidTr="00091DB9">
        <w:trPr>
          <w:trHeight w:val="300"/>
        </w:trPr>
        <w:tc>
          <w:tcPr>
            <w:tcW w:w="1124" w:type="dxa"/>
            <w:tcBorders>
              <w:top w:val="nil"/>
              <w:left w:val="nil"/>
              <w:bottom w:val="single" w:sz="8" w:space="0" w:color="D9D9D9"/>
              <w:right w:val="single" w:sz="8" w:space="0" w:color="FFFFFF"/>
            </w:tcBorders>
            <w:shd w:val="clear" w:color="auto" w:fill="auto"/>
            <w:vAlign w:val="center"/>
            <w:hideMark/>
          </w:tcPr>
          <w:p w14:paraId="31863CEF" w14:textId="77777777" w:rsidR="00C3787D" w:rsidRPr="00DC7A99" w:rsidRDefault="00C3787D" w:rsidP="00C3787D">
            <w:pPr>
              <w:spacing w:before="40" w:after="40" w:line="240" w:lineRule="auto"/>
              <w:rPr>
                <w:rFonts w:eastAsia="Times New Roman" w:cs="Arial"/>
                <w:color w:val="1C1C1C"/>
                <w:sz w:val="16"/>
                <w:szCs w:val="16"/>
                <w:lang w:eastAsia="en-AU"/>
              </w:rPr>
            </w:pPr>
            <w:r w:rsidRPr="00DC7A99">
              <w:rPr>
                <w:rFonts w:eastAsia="Times New Roman" w:cs="Arial"/>
                <w:color w:val="1C1C1C"/>
                <w:sz w:val="16"/>
                <w:szCs w:val="16"/>
                <w:lang w:eastAsia="en-AU"/>
              </w:rPr>
              <w:t>SA</w:t>
            </w:r>
          </w:p>
        </w:tc>
        <w:tc>
          <w:tcPr>
            <w:tcW w:w="1003" w:type="dxa"/>
            <w:tcBorders>
              <w:top w:val="nil"/>
              <w:left w:val="nil"/>
              <w:bottom w:val="single" w:sz="8" w:space="0" w:color="D9D9D9"/>
              <w:right w:val="single" w:sz="8" w:space="0" w:color="FFFFFF"/>
            </w:tcBorders>
            <w:shd w:val="clear" w:color="000000" w:fill="F2F2F2"/>
            <w:vAlign w:val="center"/>
            <w:hideMark/>
          </w:tcPr>
          <w:p w14:paraId="05DC6CC7" w14:textId="41C3918E"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6,344 </w:t>
            </w:r>
          </w:p>
        </w:tc>
        <w:tc>
          <w:tcPr>
            <w:tcW w:w="850" w:type="dxa"/>
            <w:tcBorders>
              <w:top w:val="nil"/>
              <w:left w:val="nil"/>
              <w:bottom w:val="nil"/>
              <w:right w:val="single" w:sz="8" w:space="0" w:color="FFFFFF"/>
            </w:tcBorders>
            <w:shd w:val="clear" w:color="000000" w:fill="F2F2F2"/>
            <w:vAlign w:val="center"/>
            <w:hideMark/>
          </w:tcPr>
          <w:p w14:paraId="7445BA7F" w14:textId="06B3BE18"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5 </w:t>
            </w:r>
          </w:p>
        </w:tc>
        <w:tc>
          <w:tcPr>
            <w:tcW w:w="992" w:type="dxa"/>
            <w:tcBorders>
              <w:top w:val="nil"/>
              <w:left w:val="nil"/>
              <w:bottom w:val="single" w:sz="8" w:space="0" w:color="D9D9D9"/>
              <w:right w:val="single" w:sz="8" w:space="0" w:color="FFFFFF"/>
            </w:tcBorders>
            <w:shd w:val="clear" w:color="000000" w:fill="F2F2F2"/>
            <w:vAlign w:val="center"/>
            <w:hideMark/>
          </w:tcPr>
          <w:p w14:paraId="3210A0C9" w14:textId="38905977"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5,423 </w:t>
            </w:r>
          </w:p>
        </w:tc>
        <w:tc>
          <w:tcPr>
            <w:tcW w:w="993" w:type="dxa"/>
            <w:tcBorders>
              <w:top w:val="nil"/>
              <w:left w:val="nil"/>
              <w:bottom w:val="single" w:sz="8" w:space="0" w:color="D9D9D9"/>
              <w:right w:val="single" w:sz="8" w:space="0" w:color="FFFFFF"/>
            </w:tcBorders>
            <w:shd w:val="clear" w:color="000000" w:fill="F2F2F2"/>
            <w:vAlign w:val="center"/>
            <w:hideMark/>
          </w:tcPr>
          <w:p w14:paraId="42F5023B" w14:textId="14C4ED4B"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16,080 </w:t>
            </w:r>
          </w:p>
        </w:tc>
        <w:tc>
          <w:tcPr>
            <w:tcW w:w="992" w:type="dxa"/>
            <w:tcBorders>
              <w:top w:val="nil"/>
              <w:left w:val="nil"/>
              <w:bottom w:val="nil"/>
              <w:right w:val="single" w:sz="8" w:space="0" w:color="FFFFFF"/>
            </w:tcBorders>
            <w:shd w:val="clear" w:color="000000" w:fill="F2F2F2"/>
            <w:vAlign w:val="center"/>
            <w:hideMark/>
          </w:tcPr>
          <w:p w14:paraId="4C6368A6" w14:textId="61D01F86"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14,200 </w:t>
            </w:r>
          </w:p>
        </w:tc>
        <w:tc>
          <w:tcPr>
            <w:tcW w:w="850" w:type="dxa"/>
            <w:tcBorders>
              <w:top w:val="nil"/>
              <w:left w:val="nil"/>
              <w:bottom w:val="single" w:sz="8" w:space="0" w:color="D9D9D9"/>
              <w:right w:val="single" w:sz="8" w:space="0" w:color="FFFFFF"/>
            </w:tcBorders>
            <w:shd w:val="clear" w:color="000000" w:fill="F2F2F2"/>
            <w:vAlign w:val="center"/>
            <w:hideMark/>
          </w:tcPr>
          <w:p w14:paraId="1CB292A1" w14:textId="08564A40"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15,726 </w:t>
            </w:r>
          </w:p>
        </w:tc>
        <w:tc>
          <w:tcPr>
            <w:tcW w:w="993" w:type="dxa"/>
            <w:tcBorders>
              <w:top w:val="nil"/>
              <w:left w:val="nil"/>
              <w:bottom w:val="nil"/>
              <w:right w:val="single" w:sz="8" w:space="0" w:color="FFFFFF"/>
            </w:tcBorders>
            <w:shd w:val="clear" w:color="000000" w:fill="F2F2F2"/>
            <w:vAlign w:val="center"/>
            <w:hideMark/>
          </w:tcPr>
          <w:p w14:paraId="09AFFAAA" w14:textId="716B224F"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39 </w:t>
            </w:r>
          </w:p>
        </w:tc>
        <w:tc>
          <w:tcPr>
            <w:tcW w:w="850" w:type="dxa"/>
            <w:tcBorders>
              <w:top w:val="nil"/>
              <w:left w:val="nil"/>
              <w:bottom w:val="single" w:sz="8" w:space="0" w:color="D9D9D9"/>
              <w:right w:val="single" w:sz="8" w:space="0" w:color="FFFFFF"/>
            </w:tcBorders>
            <w:shd w:val="clear" w:color="000000" w:fill="F2F2F2"/>
            <w:vAlign w:val="center"/>
            <w:hideMark/>
          </w:tcPr>
          <w:p w14:paraId="3F300CDF" w14:textId="36101F38"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0 </w:t>
            </w:r>
          </w:p>
        </w:tc>
        <w:tc>
          <w:tcPr>
            <w:tcW w:w="851" w:type="dxa"/>
            <w:tcBorders>
              <w:top w:val="nil"/>
              <w:left w:val="nil"/>
              <w:bottom w:val="single" w:sz="8" w:space="0" w:color="D9D9D9"/>
              <w:right w:val="single" w:sz="8" w:space="0" w:color="FFFFFF"/>
            </w:tcBorders>
            <w:shd w:val="clear" w:color="000000" w:fill="F2F2F2"/>
            <w:vAlign w:val="center"/>
            <w:hideMark/>
          </w:tcPr>
          <w:p w14:paraId="316A9AEF" w14:textId="238A7E30"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34 </w:t>
            </w:r>
          </w:p>
        </w:tc>
      </w:tr>
      <w:tr w:rsidR="00C3787D" w:rsidRPr="00DC7A99" w14:paraId="15562936" w14:textId="77777777" w:rsidTr="00091DB9">
        <w:trPr>
          <w:trHeight w:val="300"/>
        </w:trPr>
        <w:tc>
          <w:tcPr>
            <w:tcW w:w="1124" w:type="dxa"/>
            <w:tcBorders>
              <w:top w:val="nil"/>
              <w:left w:val="nil"/>
              <w:bottom w:val="nil"/>
              <w:right w:val="single" w:sz="8" w:space="0" w:color="FFFFFF"/>
            </w:tcBorders>
            <w:shd w:val="clear" w:color="auto" w:fill="auto"/>
            <w:vAlign w:val="center"/>
            <w:hideMark/>
          </w:tcPr>
          <w:p w14:paraId="18391CAE" w14:textId="77777777" w:rsidR="00C3787D" w:rsidRPr="00DC7A99" w:rsidRDefault="00C3787D" w:rsidP="00C3787D">
            <w:pPr>
              <w:spacing w:before="40" w:after="40" w:line="240" w:lineRule="auto"/>
              <w:rPr>
                <w:rFonts w:eastAsia="Times New Roman" w:cs="Arial"/>
                <w:color w:val="1C1C1C"/>
                <w:sz w:val="16"/>
                <w:szCs w:val="16"/>
                <w:lang w:eastAsia="en-AU"/>
              </w:rPr>
            </w:pPr>
            <w:r w:rsidRPr="00DC7A99">
              <w:rPr>
                <w:rFonts w:eastAsia="Times New Roman" w:cs="Arial"/>
                <w:color w:val="1C1C1C"/>
                <w:sz w:val="16"/>
                <w:szCs w:val="16"/>
                <w:lang w:eastAsia="en-AU"/>
              </w:rPr>
              <w:t>WA</w:t>
            </w:r>
          </w:p>
        </w:tc>
        <w:tc>
          <w:tcPr>
            <w:tcW w:w="1003" w:type="dxa"/>
            <w:tcBorders>
              <w:top w:val="nil"/>
              <w:left w:val="nil"/>
              <w:bottom w:val="nil"/>
              <w:right w:val="single" w:sz="8" w:space="0" w:color="FFFFFF"/>
            </w:tcBorders>
            <w:shd w:val="clear" w:color="000000" w:fill="F2F2F2"/>
            <w:vAlign w:val="center"/>
            <w:hideMark/>
          </w:tcPr>
          <w:p w14:paraId="620DEFD6" w14:textId="1317BEEC"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12,839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4BB6E086" w14:textId="11042227"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12,458 </w:t>
            </w:r>
          </w:p>
        </w:tc>
        <w:tc>
          <w:tcPr>
            <w:tcW w:w="992" w:type="dxa"/>
            <w:tcBorders>
              <w:top w:val="nil"/>
              <w:left w:val="nil"/>
              <w:bottom w:val="nil"/>
              <w:right w:val="single" w:sz="8" w:space="0" w:color="FFFFFF"/>
            </w:tcBorders>
            <w:shd w:val="clear" w:color="000000" w:fill="F2F2F2"/>
            <w:vAlign w:val="center"/>
            <w:hideMark/>
          </w:tcPr>
          <w:p w14:paraId="41D05137" w14:textId="669EF168"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12,436 </w:t>
            </w:r>
          </w:p>
        </w:tc>
        <w:tc>
          <w:tcPr>
            <w:tcW w:w="993" w:type="dxa"/>
            <w:tcBorders>
              <w:top w:val="nil"/>
              <w:left w:val="nil"/>
              <w:bottom w:val="nil"/>
              <w:right w:val="single" w:sz="8" w:space="0" w:color="FFFFFF"/>
            </w:tcBorders>
            <w:shd w:val="clear" w:color="000000" w:fill="F2F2F2"/>
            <w:vAlign w:val="center"/>
            <w:hideMark/>
          </w:tcPr>
          <w:p w14:paraId="6FC89154" w14:textId="7AA0084E"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12,856 </w:t>
            </w:r>
          </w:p>
        </w:tc>
        <w:tc>
          <w:tcPr>
            <w:tcW w:w="992" w:type="dxa"/>
            <w:tcBorders>
              <w:top w:val="single" w:sz="8" w:space="0" w:color="D9D9D9"/>
              <w:left w:val="nil"/>
              <w:bottom w:val="single" w:sz="8" w:space="0" w:color="D9D9D9"/>
              <w:right w:val="single" w:sz="8" w:space="0" w:color="FFFFFF"/>
            </w:tcBorders>
            <w:shd w:val="clear" w:color="000000" w:fill="F2F2F2"/>
            <w:vAlign w:val="center"/>
            <w:hideMark/>
          </w:tcPr>
          <w:p w14:paraId="7C7C485C" w14:textId="686B9D42"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12,458 </w:t>
            </w:r>
          </w:p>
        </w:tc>
        <w:tc>
          <w:tcPr>
            <w:tcW w:w="850" w:type="dxa"/>
            <w:tcBorders>
              <w:top w:val="nil"/>
              <w:left w:val="nil"/>
              <w:bottom w:val="nil"/>
              <w:right w:val="single" w:sz="8" w:space="0" w:color="FFFFFF"/>
            </w:tcBorders>
            <w:shd w:val="clear" w:color="000000" w:fill="F2F2F2"/>
            <w:vAlign w:val="center"/>
            <w:hideMark/>
          </w:tcPr>
          <w:p w14:paraId="46F0F392" w14:textId="037CCFD0"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12,474 </w:t>
            </w:r>
          </w:p>
        </w:tc>
        <w:tc>
          <w:tcPr>
            <w:tcW w:w="993" w:type="dxa"/>
            <w:tcBorders>
              <w:top w:val="single" w:sz="8" w:space="0" w:color="D9D9D9"/>
              <w:left w:val="nil"/>
              <w:bottom w:val="single" w:sz="8" w:space="0" w:color="D9D9D9"/>
              <w:right w:val="single" w:sz="8" w:space="0" w:color="FFFFFF"/>
            </w:tcBorders>
            <w:shd w:val="clear" w:color="000000" w:fill="F2F2F2"/>
            <w:vAlign w:val="center"/>
            <w:hideMark/>
          </w:tcPr>
          <w:p w14:paraId="24BD1583" w14:textId="663D0214"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100 </w:t>
            </w:r>
          </w:p>
        </w:tc>
        <w:tc>
          <w:tcPr>
            <w:tcW w:w="850" w:type="dxa"/>
            <w:tcBorders>
              <w:top w:val="nil"/>
              <w:left w:val="nil"/>
              <w:bottom w:val="nil"/>
              <w:right w:val="single" w:sz="8" w:space="0" w:color="FFFFFF"/>
            </w:tcBorders>
            <w:shd w:val="clear" w:color="000000" w:fill="F2F2F2"/>
            <w:vAlign w:val="center"/>
            <w:hideMark/>
          </w:tcPr>
          <w:p w14:paraId="04EF0488" w14:textId="4D8596DA"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100 </w:t>
            </w:r>
          </w:p>
        </w:tc>
        <w:tc>
          <w:tcPr>
            <w:tcW w:w="851" w:type="dxa"/>
            <w:tcBorders>
              <w:top w:val="nil"/>
              <w:left w:val="nil"/>
              <w:bottom w:val="nil"/>
              <w:right w:val="single" w:sz="8" w:space="0" w:color="FFFFFF"/>
            </w:tcBorders>
            <w:shd w:val="clear" w:color="000000" w:fill="F2F2F2"/>
            <w:vAlign w:val="center"/>
            <w:hideMark/>
          </w:tcPr>
          <w:p w14:paraId="608D82E3" w14:textId="18F8FE04"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100 </w:t>
            </w:r>
          </w:p>
        </w:tc>
      </w:tr>
      <w:tr w:rsidR="00C3787D" w:rsidRPr="00DC7A99" w14:paraId="5C9F9FD5" w14:textId="77777777" w:rsidTr="00091DB9">
        <w:trPr>
          <w:trHeight w:val="300"/>
        </w:trPr>
        <w:tc>
          <w:tcPr>
            <w:tcW w:w="1124" w:type="dxa"/>
            <w:tcBorders>
              <w:top w:val="single" w:sz="8" w:space="0" w:color="D9D9D9"/>
              <w:left w:val="nil"/>
              <w:bottom w:val="single" w:sz="8" w:space="0" w:color="D9D9D9"/>
              <w:right w:val="single" w:sz="8" w:space="0" w:color="FFFFFF"/>
            </w:tcBorders>
            <w:shd w:val="clear" w:color="auto" w:fill="auto"/>
            <w:vAlign w:val="center"/>
            <w:hideMark/>
          </w:tcPr>
          <w:p w14:paraId="37A0C911" w14:textId="77777777" w:rsidR="00C3787D" w:rsidRPr="00DC7A99" w:rsidRDefault="00C3787D" w:rsidP="00C3787D">
            <w:pPr>
              <w:spacing w:before="40" w:after="40" w:line="240" w:lineRule="auto"/>
              <w:rPr>
                <w:rFonts w:eastAsia="Times New Roman" w:cs="Arial"/>
                <w:color w:val="1C1C1C"/>
                <w:sz w:val="16"/>
                <w:szCs w:val="16"/>
                <w:lang w:eastAsia="en-AU"/>
              </w:rPr>
            </w:pPr>
            <w:r w:rsidRPr="00DC7A99">
              <w:rPr>
                <w:rFonts w:eastAsia="Times New Roman" w:cs="Arial"/>
                <w:color w:val="1C1C1C"/>
                <w:sz w:val="16"/>
                <w:szCs w:val="16"/>
                <w:lang w:eastAsia="en-AU"/>
              </w:rPr>
              <w:t>Tas</w:t>
            </w:r>
          </w:p>
        </w:tc>
        <w:tc>
          <w:tcPr>
            <w:tcW w:w="1003" w:type="dxa"/>
            <w:tcBorders>
              <w:top w:val="single" w:sz="8" w:space="0" w:color="D9D9D9"/>
              <w:left w:val="nil"/>
              <w:bottom w:val="single" w:sz="8" w:space="0" w:color="D9D9D9"/>
              <w:right w:val="single" w:sz="8" w:space="0" w:color="FFFFFF"/>
            </w:tcBorders>
            <w:shd w:val="clear" w:color="000000" w:fill="F2F2F2"/>
            <w:vAlign w:val="center"/>
            <w:hideMark/>
          </w:tcPr>
          <w:p w14:paraId="2E4E67CB" w14:textId="2335AA9C"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3,297 </w:t>
            </w:r>
          </w:p>
        </w:tc>
        <w:tc>
          <w:tcPr>
            <w:tcW w:w="850" w:type="dxa"/>
            <w:tcBorders>
              <w:top w:val="nil"/>
              <w:left w:val="nil"/>
              <w:bottom w:val="single" w:sz="8" w:space="0" w:color="D9D9D9"/>
              <w:right w:val="single" w:sz="8" w:space="0" w:color="FFFFFF"/>
            </w:tcBorders>
            <w:shd w:val="clear" w:color="000000" w:fill="F2F2F2"/>
            <w:vAlign w:val="center"/>
            <w:hideMark/>
          </w:tcPr>
          <w:p w14:paraId="10F0AFB0" w14:textId="5CDEDD44"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3,133 </w:t>
            </w:r>
          </w:p>
        </w:tc>
        <w:tc>
          <w:tcPr>
            <w:tcW w:w="992" w:type="dxa"/>
            <w:tcBorders>
              <w:top w:val="single" w:sz="8" w:space="0" w:color="D9D9D9"/>
              <w:left w:val="nil"/>
              <w:bottom w:val="single" w:sz="8" w:space="0" w:color="D9D9D9"/>
              <w:right w:val="single" w:sz="8" w:space="0" w:color="FFFFFF"/>
            </w:tcBorders>
            <w:shd w:val="clear" w:color="000000" w:fill="F2F2F2"/>
            <w:vAlign w:val="center"/>
            <w:hideMark/>
          </w:tcPr>
          <w:p w14:paraId="7C90BDB6" w14:textId="6CDB5530"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3,632 </w:t>
            </w:r>
          </w:p>
        </w:tc>
        <w:tc>
          <w:tcPr>
            <w:tcW w:w="993" w:type="dxa"/>
            <w:tcBorders>
              <w:top w:val="single" w:sz="8" w:space="0" w:color="D9D9D9"/>
              <w:left w:val="nil"/>
              <w:bottom w:val="single" w:sz="8" w:space="0" w:color="D9D9D9"/>
              <w:right w:val="single" w:sz="8" w:space="0" w:color="FFFFFF"/>
            </w:tcBorders>
            <w:shd w:val="clear" w:color="000000" w:fill="F2F2F2"/>
            <w:vAlign w:val="center"/>
            <w:hideMark/>
          </w:tcPr>
          <w:p w14:paraId="57CAF9F5" w14:textId="35600A53"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3,914 </w:t>
            </w:r>
          </w:p>
        </w:tc>
        <w:tc>
          <w:tcPr>
            <w:tcW w:w="992" w:type="dxa"/>
            <w:tcBorders>
              <w:top w:val="nil"/>
              <w:left w:val="nil"/>
              <w:bottom w:val="single" w:sz="8" w:space="0" w:color="D9D9D9"/>
              <w:right w:val="single" w:sz="8" w:space="0" w:color="FFFFFF"/>
            </w:tcBorders>
            <w:shd w:val="clear" w:color="000000" w:fill="F2F2F2"/>
            <w:vAlign w:val="center"/>
            <w:hideMark/>
          </w:tcPr>
          <w:p w14:paraId="20E41C2C" w14:textId="4078DD9B"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3,692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6A199A99" w14:textId="77DA59C6"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3,784 </w:t>
            </w:r>
          </w:p>
        </w:tc>
        <w:tc>
          <w:tcPr>
            <w:tcW w:w="993" w:type="dxa"/>
            <w:tcBorders>
              <w:top w:val="nil"/>
              <w:left w:val="nil"/>
              <w:bottom w:val="single" w:sz="8" w:space="0" w:color="D9D9D9"/>
              <w:right w:val="single" w:sz="8" w:space="0" w:color="FFFFFF"/>
            </w:tcBorders>
            <w:shd w:val="clear" w:color="000000" w:fill="F2F2F2"/>
            <w:vAlign w:val="center"/>
            <w:hideMark/>
          </w:tcPr>
          <w:p w14:paraId="734CDEE2" w14:textId="0EB2F24D"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84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670F753E" w14:textId="020620B5"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85 </w:t>
            </w:r>
          </w:p>
        </w:tc>
        <w:tc>
          <w:tcPr>
            <w:tcW w:w="851" w:type="dxa"/>
            <w:tcBorders>
              <w:top w:val="single" w:sz="8" w:space="0" w:color="D9D9D9"/>
              <w:left w:val="nil"/>
              <w:bottom w:val="single" w:sz="8" w:space="0" w:color="D9D9D9"/>
              <w:right w:val="single" w:sz="8" w:space="0" w:color="FFFFFF"/>
            </w:tcBorders>
            <w:shd w:val="clear" w:color="000000" w:fill="F2F2F2"/>
            <w:vAlign w:val="center"/>
            <w:hideMark/>
          </w:tcPr>
          <w:p w14:paraId="5711B027" w14:textId="40218417"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96 </w:t>
            </w:r>
          </w:p>
        </w:tc>
      </w:tr>
      <w:tr w:rsidR="00C3787D" w:rsidRPr="00DC7A99" w14:paraId="2DBDCD71" w14:textId="77777777" w:rsidTr="00091DB9">
        <w:trPr>
          <w:trHeight w:val="300"/>
        </w:trPr>
        <w:tc>
          <w:tcPr>
            <w:tcW w:w="1124" w:type="dxa"/>
            <w:tcBorders>
              <w:top w:val="nil"/>
              <w:left w:val="nil"/>
              <w:bottom w:val="nil"/>
              <w:right w:val="single" w:sz="8" w:space="0" w:color="FFFFFF"/>
            </w:tcBorders>
            <w:shd w:val="clear" w:color="auto" w:fill="auto"/>
            <w:vAlign w:val="center"/>
            <w:hideMark/>
          </w:tcPr>
          <w:p w14:paraId="72C39C25" w14:textId="77777777" w:rsidR="00C3787D" w:rsidRPr="00DC7A99" w:rsidRDefault="00C3787D" w:rsidP="00C3787D">
            <w:pPr>
              <w:spacing w:before="40" w:after="40" w:line="240" w:lineRule="auto"/>
              <w:rPr>
                <w:rFonts w:eastAsia="Times New Roman" w:cs="Arial"/>
                <w:color w:val="1C1C1C"/>
                <w:sz w:val="16"/>
                <w:szCs w:val="16"/>
                <w:lang w:eastAsia="en-AU"/>
              </w:rPr>
            </w:pPr>
            <w:r w:rsidRPr="00DC7A99">
              <w:rPr>
                <w:rFonts w:eastAsia="Times New Roman" w:cs="Arial"/>
                <w:color w:val="1C1C1C"/>
                <w:sz w:val="16"/>
                <w:szCs w:val="16"/>
                <w:lang w:eastAsia="en-AU"/>
              </w:rPr>
              <w:t>NT</w:t>
            </w:r>
          </w:p>
        </w:tc>
        <w:tc>
          <w:tcPr>
            <w:tcW w:w="1003" w:type="dxa"/>
            <w:tcBorders>
              <w:top w:val="nil"/>
              <w:left w:val="nil"/>
              <w:bottom w:val="single" w:sz="8" w:space="0" w:color="D9D9D9"/>
              <w:right w:val="single" w:sz="8" w:space="0" w:color="FFFFFF"/>
            </w:tcBorders>
            <w:shd w:val="clear" w:color="000000" w:fill="F2F2F2"/>
            <w:vAlign w:val="center"/>
            <w:hideMark/>
          </w:tcPr>
          <w:p w14:paraId="554A3B9D" w14:textId="60D53302"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1,377 </w:t>
            </w:r>
          </w:p>
        </w:tc>
        <w:tc>
          <w:tcPr>
            <w:tcW w:w="850" w:type="dxa"/>
            <w:tcBorders>
              <w:top w:val="nil"/>
              <w:left w:val="nil"/>
              <w:bottom w:val="nil"/>
              <w:right w:val="single" w:sz="8" w:space="0" w:color="FFFFFF"/>
            </w:tcBorders>
            <w:shd w:val="clear" w:color="000000" w:fill="F2F2F2"/>
            <w:vAlign w:val="center"/>
            <w:hideMark/>
          </w:tcPr>
          <w:p w14:paraId="1BDDDFC3" w14:textId="6E12BD99"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1,332 </w:t>
            </w:r>
          </w:p>
        </w:tc>
        <w:tc>
          <w:tcPr>
            <w:tcW w:w="992" w:type="dxa"/>
            <w:tcBorders>
              <w:top w:val="nil"/>
              <w:left w:val="nil"/>
              <w:bottom w:val="single" w:sz="8" w:space="0" w:color="D9D9D9"/>
              <w:right w:val="single" w:sz="8" w:space="0" w:color="FFFFFF"/>
            </w:tcBorders>
            <w:shd w:val="clear" w:color="000000" w:fill="F2F2F2"/>
            <w:vAlign w:val="center"/>
            <w:hideMark/>
          </w:tcPr>
          <w:p w14:paraId="29DDFAA2" w14:textId="600089AC"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1,513 </w:t>
            </w:r>
          </w:p>
        </w:tc>
        <w:tc>
          <w:tcPr>
            <w:tcW w:w="993" w:type="dxa"/>
            <w:tcBorders>
              <w:top w:val="nil"/>
              <w:left w:val="nil"/>
              <w:bottom w:val="single" w:sz="8" w:space="0" w:color="D9D9D9"/>
              <w:right w:val="single" w:sz="8" w:space="0" w:color="FFFFFF"/>
            </w:tcBorders>
            <w:shd w:val="clear" w:color="000000" w:fill="F2F2F2"/>
            <w:vAlign w:val="center"/>
            <w:hideMark/>
          </w:tcPr>
          <w:p w14:paraId="43E4D492" w14:textId="0FAE6554"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1,377 </w:t>
            </w:r>
          </w:p>
        </w:tc>
        <w:tc>
          <w:tcPr>
            <w:tcW w:w="992" w:type="dxa"/>
            <w:tcBorders>
              <w:top w:val="nil"/>
              <w:left w:val="nil"/>
              <w:bottom w:val="nil"/>
              <w:right w:val="single" w:sz="8" w:space="0" w:color="FFFFFF"/>
            </w:tcBorders>
            <w:shd w:val="clear" w:color="000000" w:fill="F2F2F2"/>
            <w:vAlign w:val="center"/>
            <w:hideMark/>
          </w:tcPr>
          <w:p w14:paraId="3CBBB5F6" w14:textId="3071F2D3"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1,332 </w:t>
            </w:r>
          </w:p>
        </w:tc>
        <w:tc>
          <w:tcPr>
            <w:tcW w:w="850" w:type="dxa"/>
            <w:tcBorders>
              <w:top w:val="nil"/>
              <w:left w:val="nil"/>
              <w:bottom w:val="single" w:sz="8" w:space="0" w:color="D9D9D9"/>
              <w:right w:val="single" w:sz="8" w:space="0" w:color="FFFFFF"/>
            </w:tcBorders>
            <w:shd w:val="clear" w:color="000000" w:fill="F2F2F2"/>
            <w:vAlign w:val="center"/>
            <w:hideMark/>
          </w:tcPr>
          <w:p w14:paraId="08407ECE" w14:textId="1E7D620B"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1,513 </w:t>
            </w:r>
          </w:p>
        </w:tc>
        <w:tc>
          <w:tcPr>
            <w:tcW w:w="993" w:type="dxa"/>
            <w:tcBorders>
              <w:top w:val="nil"/>
              <w:left w:val="nil"/>
              <w:bottom w:val="nil"/>
              <w:right w:val="single" w:sz="8" w:space="0" w:color="FFFFFF"/>
            </w:tcBorders>
            <w:shd w:val="clear" w:color="000000" w:fill="F2F2F2"/>
            <w:vAlign w:val="center"/>
            <w:hideMark/>
          </w:tcPr>
          <w:p w14:paraId="2D4D4F8C" w14:textId="4B270E39"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100 </w:t>
            </w:r>
          </w:p>
        </w:tc>
        <w:tc>
          <w:tcPr>
            <w:tcW w:w="850" w:type="dxa"/>
            <w:tcBorders>
              <w:top w:val="nil"/>
              <w:left w:val="nil"/>
              <w:bottom w:val="single" w:sz="8" w:space="0" w:color="D9D9D9"/>
              <w:right w:val="single" w:sz="8" w:space="0" w:color="FFFFFF"/>
            </w:tcBorders>
            <w:shd w:val="clear" w:color="000000" w:fill="F2F2F2"/>
            <w:vAlign w:val="center"/>
            <w:hideMark/>
          </w:tcPr>
          <w:p w14:paraId="09F175DE" w14:textId="34596C76"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100 </w:t>
            </w:r>
          </w:p>
        </w:tc>
        <w:tc>
          <w:tcPr>
            <w:tcW w:w="851" w:type="dxa"/>
            <w:tcBorders>
              <w:top w:val="nil"/>
              <w:left w:val="nil"/>
              <w:bottom w:val="single" w:sz="8" w:space="0" w:color="D9D9D9"/>
              <w:right w:val="single" w:sz="8" w:space="0" w:color="FFFFFF"/>
            </w:tcBorders>
            <w:shd w:val="clear" w:color="000000" w:fill="F2F2F2"/>
            <w:vAlign w:val="center"/>
            <w:hideMark/>
          </w:tcPr>
          <w:p w14:paraId="0F438E7B" w14:textId="65A2B6D8"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100 </w:t>
            </w:r>
          </w:p>
        </w:tc>
      </w:tr>
      <w:tr w:rsidR="00C3787D" w:rsidRPr="00DC7A99" w14:paraId="43FEF9C0" w14:textId="77777777" w:rsidTr="00091DB9">
        <w:trPr>
          <w:trHeight w:val="300"/>
        </w:trPr>
        <w:tc>
          <w:tcPr>
            <w:tcW w:w="1124" w:type="dxa"/>
            <w:tcBorders>
              <w:top w:val="single" w:sz="8" w:space="0" w:color="D9D9D9"/>
              <w:left w:val="nil"/>
              <w:bottom w:val="single" w:sz="8" w:space="0" w:color="D9D9D9"/>
              <w:right w:val="single" w:sz="8" w:space="0" w:color="FFFFFF"/>
            </w:tcBorders>
            <w:shd w:val="clear" w:color="auto" w:fill="auto"/>
            <w:vAlign w:val="center"/>
            <w:hideMark/>
          </w:tcPr>
          <w:p w14:paraId="657F29D6" w14:textId="77777777" w:rsidR="00C3787D" w:rsidRPr="00DC7A99" w:rsidRDefault="00C3787D" w:rsidP="00C3787D">
            <w:pPr>
              <w:spacing w:before="40" w:after="40" w:line="240" w:lineRule="auto"/>
              <w:rPr>
                <w:rFonts w:eastAsia="Times New Roman" w:cs="Arial"/>
                <w:color w:val="1C1C1C"/>
                <w:sz w:val="16"/>
                <w:szCs w:val="16"/>
                <w:lang w:eastAsia="en-AU"/>
              </w:rPr>
            </w:pPr>
            <w:r w:rsidRPr="00DC7A99">
              <w:rPr>
                <w:rFonts w:eastAsia="Times New Roman" w:cs="Arial"/>
                <w:color w:val="1C1C1C"/>
                <w:sz w:val="16"/>
                <w:szCs w:val="16"/>
                <w:lang w:eastAsia="en-AU"/>
              </w:rPr>
              <w:t>ACT</w:t>
            </w:r>
          </w:p>
        </w:tc>
        <w:tc>
          <w:tcPr>
            <w:tcW w:w="1003" w:type="dxa"/>
            <w:tcBorders>
              <w:top w:val="nil"/>
              <w:left w:val="nil"/>
              <w:bottom w:val="nil"/>
              <w:right w:val="single" w:sz="8" w:space="0" w:color="FFFFFF"/>
            </w:tcBorders>
            <w:shd w:val="clear" w:color="000000" w:fill="F2F2F2"/>
            <w:vAlign w:val="center"/>
            <w:hideMark/>
          </w:tcPr>
          <w:p w14:paraId="5A74E303" w14:textId="2E4D5D5A"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2,622 </w:t>
            </w:r>
          </w:p>
        </w:tc>
        <w:tc>
          <w:tcPr>
            <w:tcW w:w="850" w:type="dxa"/>
            <w:tcBorders>
              <w:top w:val="single" w:sz="8" w:space="0" w:color="D9D9D9"/>
              <w:left w:val="nil"/>
              <w:bottom w:val="single" w:sz="8" w:space="0" w:color="D9D9D9"/>
              <w:right w:val="single" w:sz="8" w:space="0" w:color="FFFFFF"/>
            </w:tcBorders>
            <w:shd w:val="clear" w:color="000000" w:fill="F2F2F2"/>
            <w:vAlign w:val="center"/>
            <w:hideMark/>
          </w:tcPr>
          <w:p w14:paraId="5135D5FC" w14:textId="69031A36"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2,457 </w:t>
            </w:r>
          </w:p>
        </w:tc>
        <w:tc>
          <w:tcPr>
            <w:tcW w:w="992" w:type="dxa"/>
            <w:tcBorders>
              <w:top w:val="nil"/>
              <w:left w:val="nil"/>
              <w:bottom w:val="nil"/>
              <w:right w:val="single" w:sz="8" w:space="0" w:color="FFFFFF"/>
            </w:tcBorders>
            <w:shd w:val="clear" w:color="000000" w:fill="F2F2F2"/>
            <w:vAlign w:val="center"/>
            <w:hideMark/>
          </w:tcPr>
          <w:p w14:paraId="195F13F8" w14:textId="371185A0"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93" w:type="dxa"/>
            <w:tcBorders>
              <w:top w:val="nil"/>
              <w:left w:val="nil"/>
              <w:bottom w:val="nil"/>
              <w:right w:val="single" w:sz="8" w:space="0" w:color="FFFFFF"/>
            </w:tcBorders>
            <w:shd w:val="clear" w:color="000000" w:fill="F2F2F2"/>
            <w:vAlign w:val="center"/>
            <w:hideMark/>
          </w:tcPr>
          <w:p w14:paraId="6F8DC863" w14:textId="36401634"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2,623 </w:t>
            </w:r>
          </w:p>
        </w:tc>
        <w:tc>
          <w:tcPr>
            <w:tcW w:w="992" w:type="dxa"/>
            <w:tcBorders>
              <w:top w:val="single" w:sz="8" w:space="0" w:color="D9D9D9"/>
              <w:left w:val="nil"/>
              <w:bottom w:val="single" w:sz="8" w:space="0" w:color="D9D9D9"/>
              <w:right w:val="single" w:sz="8" w:space="0" w:color="FFFFFF"/>
            </w:tcBorders>
            <w:shd w:val="clear" w:color="000000" w:fill="F2F2F2"/>
            <w:vAlign w:val="center"/>
            <w:hideMark/>
          </w:tcPr>
          <w:p w14:paraId="2D4D801E" w14:textId="53A0A2E1"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2,457 </w:t>
            </w:r>
          </w:p>
        </w:tc>
        <w:tc>
          <w:tcPr>
            <w:tcW w:w="850" w:type="dxa"/>
            <w:tcBorders>
              <w:top w:val="nil"/>
              <w:left w:val="nil"/>
              <w:bottom w:val="nil"/>
              <w:right w:val="single" w:sz="8" w:space="0" w:color="FFFFFF"/>
            </w:tcBorders>
            <w:shd w:val="clear" w:color="000000" w:fill="F2F2F2"/>
            <w:vAlign w:val="center"/>
            <w:hideMark/>
          </w:tcPr>
          <w:p w14:paraId="1138C602" w14:textId="54957159"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2,773 </w:t>
            </w:r>
          </w:p>
        </w:tc>
        <w:tc>
          <w:tcPr>
            <w:tcW w:w="993" w:type="dxa"/>
            <w:tcBorders>
              <w:top w:val="single" w:sz="8" w:space="0" w:color="D9D9D9"/>
              <w:left w:val="nil"/>
              <w:bottom w:val="single" w:sz="8" w:space="0" w:color="D9D9D9"/>
              <w:right w:val="single" w:sz="8" w:space="0" w:color="FFFFFF"/>
            </w:tcBorders>
            <w:shd w:val="clear" w:color="000000" w:fill="F2F2F2"/>
            <w:vAlign w:val="center"/>
            <w:hideMark/>
          </w:tcPr>
          <w:p w14:paraId="4A10FCAA" w14:textId="042A347C"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100 </w:t>
            </w:r>
          </w:p>
        </w:tc>
        <w:tc>
          <w:tcPr>
            <w:tcW w:w="850" w:type="dxa"/>
            <w:tcBorders>
              <w:top w:val="nil"/>
              <w:left w:val="nil"/>
              <w:bottom w:val="nil"/>
              <w:right w:val="single" w:sz="8" w:space="0" w:color="FFFFFF"/>
            </w:tcBorders>
            <w:shd w:val="clear" w:color="000000" w:fill="F2F2F2"/>
            <w:vAlign w:val="center"/>
            <w:hideMark/>
          </w:tcPr>
          <w:p w14:paraId="08B9D99B" w14:textId="622C21A8" w:rsidR="00C3787D" w:rsidRPr="00C3787D" w:rsidRDefault="00C3787D" w:rsidP="00C3787D">
            <w:pPr>
              <w:spacing w:before="40" w:after="40" w:line="240" w:lineRule="auto"/>
              <w:jc w:val="right"/>
              <w:rPr>
                <w:rFonts w:eastAsia="Times New Roman" w:cs="Arial"/>
                <w:b/>
                <w:bCs/>
                <w:color w:val="000000"/>
                <w:sz w:val="16"/>
                <w:szCs w:val="16"/>
                <w:u w:val="single"/>
                <w:lang w:eastAsia="en-AU"/>
              </w:rPr>
            </w:pPr>
            <w:r w:rsidRPr="00091DB9">
              <w:rPr>
                <w:rFonts w:cs="Arial"/>
                <w:color w:val="15272F"/>
                <w:sz w:val="16"/>
                <w:szCs w:val="16"/>
              </w:rPr>
              <w:t xml:space="preserve">100 </w:t>
            </w:r>
          </w:p>
        </w:tc>
        <w:tc>
          <w:tcPr>
            <w:tcW w:w="851" w:type="dxa"/>
            <w:tcBorders>
              <w:top w:val="nil"/>
              <w:left w:val="nil"/>
              <w:bottom w:val="nil"/>
              <w:right w:val="single" w:sz="8" w:space="0" w:color="FFFFFF"/>
            </w:tcBorders>
            <w:shd w:val="clear" w:color="000000" w:fill="F2F2F2"/>
            <w:vAlign w:val="center"/>
            <w:hideMark/>
          </w:tcPr>
          <w:p w14:paraId="5CDDCC99" w14:textId="5214151A" w:rsidR="00C3787D" w:rsidRPr="00C3787D" w:rsidRDefault="00C3787D" w:rsidP="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r>
      <w:tr w:rsidR="00C3787D" w:rsidRPr="00DC7A99" w14:paraId="01458867" w14:textId="77777777" w:rsidTr="00091DB9">
        <w:trPr>
          <w:trHeight w:val="285"/>
        </w:trPr>
        <w:tc>
          <w:tcPr>
            <w:tcW w:w="1124" w:type="dxa"/>
            <w:tcBorders>
              <w:top w:val="nil"/>
              <w:left w:val="nil"/>
              <w:bottom w:val="nil"/>
              <w:right w:val="single" w:sz="8" w:space="0" w:color="FFFFFF"/>
            </w:tcBorders>
            <w:shd w:val="clear" w:color="000000" w:fill="DFEBF1"/>
            <w:vAlign w:val="center"/>
            <w:hideMark/>
          </w:tcPr>
          <w:p w14:paraId="27C0115E" w14:textId="77777777" w:rsidR="00C3787D" w:rsidRPr="00DC7A99" w:rsidRDefault="00C3787D" w:rsidP="00C3787D">
            <w:pPr>
              <w:spacing w:before="40" w:after="40" w:line="240" w:lineRule="auto"/>
              <w:rPr>
                <w:rFonts w:eastAsia="Times New Roman" w:cs="Arial"/>
                <w:b/>
                <w:bCs/>
                <w:color w:val="1C1C1C"/>
                <w:sz w:val="16"/>
                <w:szCs w:val="16"/>
                <w:lang w:eastAsia="en-AU"/>
              </w:rPr>
            </w:pPr>
            <w:r w:rsidRPr="00DC7A99">
              <w:rPr>
                <w:rFonts w:eastAsia="Times New Roman" w:cs="Arial"/>
                <w:b/>
                <w:bCs/>
                <w:color w:val="1C1C1C"/>
                <w:sz w:val="16"/>
                <w:szCs w:val="16"/>
                <w:lang w:eastAsia="en-AU"/>
              </w:rPr>
              <w:t>National</w:t>
            </w:r>
          </w:p>
        </w:tc>
        <w:tc>
          <w:tcPr>
            <w:tcW w:w="1003" w:type="dxa"/>
            <w:tcBorders>
              <w:top w:val="nil"/>
              <w:left w:val="nil"/>
              <w:bottom w:val="nil"/>
              <w:right w:val="single" w:sz="8" w:space="0" w:color="FFFFFF"/>
            </w:tcBorders>
            <w:shd w:val="clear" w:color="000000" w:fill="DFEBF1"/>
            <w:vAlign w:val="center"/>
            <w:hideMark/>
          </w:tcPr>
          <w:p w14:paraId="0E671C17" w14:textId="677A75F0" w:rsidR="00C3787D" w:rsidRPr="00C3787D" w:rsidRDefault="00C3787D" w:rsidP="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45,096 </w:t>
            </w:r>
          </w:p>
        </w:tc>
        <w:tc>
          <w:tcPr>
            <w:tcW w:w="850" w:type="dxa"/>
            <w:tcBorders>
              <w:top w:val="nil"/>
              <w:left w:val="nil"/>
              <w:bottom w:val="nil"/>
              <w:right w:val="single" w:sz="8" w:space="0" w:color="FFFFFF"/>
            </w:tcBorders>
            <w:shd w:val="clear" w:color="000000" w:fill="DFEBF1"/>
            <w:vAlign w:val="center"/>
            <w:hideMark/>
          </w:tcPr>
          <w:p w14:paraId="24AD6923" w14:textId="600B5CD1" w:rsidR="00C3787D" w:rsidRPr="00C3787D" w:rsidRDefault="00C3787D" w:rsidP="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27,918 </w:t>
            </w:r>
          </w:p>
        </w:tc>
        <w:tc>
          <w:tcPr>
            <w:tcW w:w="992" w:type="dxa"/>
            <w:tcBorders>
              <w:top w:val="nil"/>
              <w:left w:val="nil"/>
              <w:bottom w:val="nil"/>
              <w:right w:val="single" w:sz="8" w:space="0" w:color="FFFFFF"/>
            </w:tcBorders>
            <w:shd w:val="clear" w:color="000000" w:fill="DFEBF1"/>
            <w:vAlign w:val="center"/>
            <w:hideMark/>
          </w:tcPr>
          <w:p w14:paraId="2BA721D5" w14:textId="2EF49598" w:rsidR="00C3787D" w:rsidRPr="00C3787D" w:rsidRDefault="00C3787D" w:rsidP="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29,812 </w:t>
            </w:r>
          </w:p>
        </w:tc>
        <w:tc>
          <w:tcPr>
            <w:tcW w:w="993" w:type="dxa"/>
            <w:tcBorders>
              <w:top w:val="nil"/>
              <w:left w:val="nil"/>
              <w:bottom w:val="nil"/>
              <w:right w:val="single" w:sz="8" w:space="0" w:color="FFFFFF"/>
            </w:tcBorders>
            <w:shd w:val="clear" w:color="000000" w:fill="DFEBF1"/>
            <w:vAlign w:val="center"/>
            <w:hideMark/>
          </w:tcPr>
          <w:p w14:paraId="45C9B21C" w14:textId="781BAF9F" w:rsidR="00C3787D" w:rsidRPr="00C3787D" w:rsidRDefault="00C3787D" w:rsidP="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146,642 </w:t>
            </w:r>
          </w:p>
        </w:tc>
        <w:tc>
          <w:tcPr>
            <w:tcW w:w="992" w:type="dxa"/>
            <w:tcBorders>
              <w:top w:val="nil"/>
              <w:left w:val="nil"/>
              <w:bottom w:val="nil"/>
              <w:right w:val="single" w:sz="8" w:space="0" w:color="FFFFFF"/>
            </w:tcBorders>
            <w:shd w:val="clear" w:color="000000" w:fill="DFEBF1"/>
            <w:vAlign w:val="center"/>
            <w:hideMark/>
          </w:tcPr>
          <w:p w14:paraId="65C2ABD2" w14:textId="592D6AEF" w:rsidR="00C3787D" w:rsidRPr="00C3787D" w:rsidRDefault="00C3787D" w:rsidP="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137,729 </w:t>
            </w:r>
          </w:p>
        </w:tc>
        <w:tc>
          <w:tcPr>
            <w:tcW w:w="850" w:type="dxa"/>
            <w:tcBorders>
              <w:top w:val="nil"/>
              <w:left w:val="nil"/>
              <w:bottom w:val="nil"/>
              <w:right w:val="single" w:sz="8" w:space="0" w:color="FFFFFF"/>
            </w:tcBorders>
            <w:shd w:val="clear" w:color="000000" w:fill="DFEBF1"/>
            <w:vAlign w:val="center"/>
            <w:hideMark/>
          </w:tcPr>
          <w:p w14:paraId="78467459" w14:textId="3E6C3C8C" w:rsidR="00C3787D" w:rsidRPr="00C3787D" w:rsidRDefault="00C3787D" w:rsidP="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139,407 </w:t>
            </w:r>
          </w:p>
        </w:tc>
        <w:tc>
          <w:tcPr>
            <w:tcW w:w="993" w:type="dxa"/>
            <w:tcBorders>
              <w:top w:val="nil"/>
              <w:left w:val="nil"/>
              <w:bottom w:val="nil"/>
              <w:right w:val="single" w:sz="8" w:space="0" w:color="FFFFFF"/>
            </w:tcBorders>
            <w:shd w:val="clear" w:color="000000" w:fill="DFEBF1"/>
            <w:vAlign w:val="center"/>
            <w:hideMark/>
          </w:tcPr>
          <w:p w14:paraId="41EA6B19" w14:textId="595BAC03" w:rsidR="00C3787D" w:rsidRPr="00C3787D" w:rsidRDefault="00C3787D" w:rsidP="00C3787D">
            <w:pPr>
              <w:spacing w:before="40" w:after="40" w:line="240" w:lineRule="auto"/>
              <w:jc w:val="right"/>
              <w:rPr>
                <w:rFonts w:eastAsia="Times New Roman" w:cs="Arial"/>
                <w:b/>
                <w:bCs/>
                <w:color w:val="000000"/>
                <w:sz w:val="16"/>
                <w:szCs w:val="16"/>
                <w:lang w:eastAsia="en-AU"/>
              </w:rPr>
            </w:pPr>
            <w:r w:rsidRPr="00091DB9">
              <w:rPr>
                <w:rFonts w:cs="Arial"/>
                <w:b/>
                <w:bCs/>
                <w:color w:val="15272F"/>
                <w:sz w:val="16"/>
                <w:szCs w:val="16"/>
              </w:rPr>
              <w:t xml:space="preserve">31 </w:t>
            </w:r>
          </w:p>
        </w:tc>
        <w:tc>
          <w:tcPr>
            <w:tcW w:w="850" w:type="dxa"/>
            <w:tcBorders>
              <w:top w:val="nil"/>
              <w:left w:val="nil"/>
              <w:bottom w:val="nil"/>
              <w:right w:val="single" w:sz="8" w:space="0" w:color="FFFFFF"/>
            </w:tcBorders>
            <w:shd w:val="clear" w:color="000000" w:fill="DFEBF1"/>
            <w:vAlign w:val="center"/>
            <w:hideMark/>
          </w:tcPr>
          <w:p w14:paraId="591B8628" w14:textId="2CE2D12C" w:rsidR="00C3787D" w:rsidRPr="00C3787D" w:rsidRDefault="00C3787D" w:rsidP="00C3787D">
            <w:pPr>
              <w:spacing w:before="40" w:after="40" w:line="240" w:lineRule="auto"/>
              <w:jc w:val="right"/>
              <w:rPr>
                <w:rFonts w:eastAsia="Times New Roman" w:cs="Arial"/>
                <w:b/>
                <w:bCs/>
                <w:color w:val="000000"/>
                <w:sz w:val="16"/>
                <w:szCs w:val="16"/>
                <w:lang w:eastAsia="en-AU"/>
              </w:rPr>
            </w:pPr>
            <w:r w:rsidRPr="00091DB9">
              <w:rPr>
                <w:rFonts w:cs="Arial"/>
                <w:b/>
                <w:bCs/>
                <w:color w:val="15272F"/>
                <w:sz w:val="16"/>
                <w:szCs w:val="16"/>
              </w:rPr>
              <w:t xml:space="preserve">20 </w:t>
            </w:r>
          </w:p>
        </w:tc>
        <w:tc>
          <w:tcPr>
            <w:tcW w:w="851" w:type="dxa"/>
            <w:tcBorders>
              <w:top w:val="nil"/>
              <w:left w:val="nil"/>
              <w:bottom w:val="nil"/>
              <w:right w:val="single" w:sz="8" w:space="0" w:color="FFFFFF"/>
            </w:tcBorders>
            <w:shd w:val="clear" w:color="000000" w:fill="DFEBF1"/>
            <w:vAlign w:val="center"/>
            <w:hideMark/>
          </w:tcPr>
          <w:p w14:paraId="0FF691D6" w14:textId="147F55E9" w:rsidR="00C3787D" w:rsidRPr="00C3787D" w:rsidRDefault="00C3787D" w:rsidP="00C3787D">
            <w:pPr>
              <w:spacing w:before="40" w:after="40" w:line="240" w:lineRule="auto"/>
              <w:jc w:val="right"/>
              <w:rPr>
                <w:rFonts w:eastAsia="Times New Roman" w:cs="Arial"/>
                <w:b/>
                <w:bCs/>
                <w:color w:val="000000"/>
                <w:sz w:val="16"/>
                <w:szCs w:val="16"/>
                <w:lang w:eastAsia="en-AU"/>
              </w:rPr>
            </w:pPr>
            <w:r w:rsidRPr="00091DB9">
              <w:rPr>
                <w:rFonts w:cs="Arial"/>
                <w:b/>
                <w:bCs/>
                <w:color w:val="15272F"/>
                <w:sz w:val="16"/>
                <w:szCs w:val="16"/>
              </w:rPr>
              <w:t xml:space="preserve">21 </w:t>
            </w:r>
          </w:p>
        </w:tc>
      </w:tr>
    </w:tbl>
    <w:p w14:paraId="78FC0D05" w14:textId="77777777" w:rsidR="008C7500" w:rsidRDefault="008C7500">
      <w:pPr>
        <w:spacing w:line="259" w:lineRule="auto"/>
        <w:rPr>
          <w:rFonts w:eastAsiaTheme="majorEastAsia" w:cs="Arial"/>
          <w:b/>
          <w:color w:val="104F99" w:themeColor="accent2"/>
          <w:sz w:val="36"/>
          <w:szCs w:val="26"/>
        </w:rPr>
      </w:pPr>
      <w:bookmarkStart w:id="376" w:name="_Toc151129724"/>
      <w:bookmarkStart w:id="377" w:name="_Toc158882575"/>
      <w:bookmarkStart w:id="378" w:name="_Toc158882636"/>
      <w:bookmarkEnd w:id="366"/>
      <w:bookmarkEnd w:id="367"/>
      <w:r>
        <w:br w:type="page"/>
      </w:r>
    </w:p>
    <w:p w14:paraId="02080F85" w14:textId="395B2736" w:rsidR="00935107" w:rsidRPr="00CE058E" w:rsidRDefault="00935107" w:rsidP="007B41F8">
      <w:pPr>
        <w:pStyle w:val="Heading2"/>
      </w:pPr>
      <w:r w:rsidRPr="00CE058E">
        <w:lastRenderedPageBreak/>
        <w:t xml:space="preserve">Admitted mental health </w:t>
      </w:r>
      <w:r w:rsidR="00F80BDE" w:rsidRPr="00CE058E">
        <w:t>phases and episodes</w:t>
      </w:r>
      <w:bookmarkEnd w:id="376"/>
      <w:bookmarkEnd w:id="377"/>
      <w:bookmarkEnd w:id="378"/>
    </w:p>
    <w:p w14:paraId="182AEDD8" w14:textId="2E9573B7" w:rsidR="00621475" w:rsidRPr="00303546" w:rsidRDefault="00FB62B5" w:rsidP="00A47745">
      <w:pPr>
        <w:spacing w:line="276" w:lineRule="auto"/>
        <w:rPr>
          <w:rFonts w:cs="Arial"/>
        </w:rPr>
      </w:pPr>
      <w:r>
        <w:rPr>
          <w:rFonts w:cs="Arial"/>
        </w:rPr>
        <w:fldChar w:fldCharType="begin"/>
      </w:r>
      <w:r>
        <w:rPr>
          <w:rFonts w:cs="Arial"/>
        </w:rPr>
        <w:instrText xml:space="preserve"> REF _Ref185849323 \h  \* MERGEFORMAT </w:instrText>
      </w:r>
      <w:r>
        <w:rPr>
          <w:rFonts w:cs="Arial"/>
        </w:rPr>
      </w:r>
      <w:r>
        <w:rPr>
          <w:rFonts w:cs="Arial"/>
        </w:rPr>
        <w:fldChar w:fldCharType="separate"/>
      </w:r>
      <w:r w:rsidR="00A9792C" w:rsidRPr="00303546">
        <w:rPr>
          <w:rStyle w:val="Cross-referenceChar"/>
        </w:rPr>
        <w:t>Figure</w:t>
      </w:r>
      <w:r w:rsidR="00A9792C" w:rsidRPr="00303546">
        <w:rPr>
          <w:rFonts w:cstheme="majorBidi"/>
          <w:color w:val="104F99" w:themeColor="accent2"/>
          <w:lang w:val="en-PH"/>
        </w:rPr>
        <w:t xml:space="preserve"> </w:t>
      </w:r>
      <w:r w:rsidR="00A9792C" w:rsidRPr="00A9792C">
        <w:rPr>
          <w:rFonts w:cstheme="majorBidi"/>
          <w:noProof/>
          <w:lang w:val="en-PH"/>
        </w:rPr>
        <w:t>23</w:t>
      </w:r>
      <w:r>
        <w:rPr>
          <w:rFonts w:cs="Arial"/>
        </w:rPr>
        <w:fldChar w:fldCharType="end"/>
      </w:r>
      <w:r w:rsidR="00B321D5" w:rsidRPr="00303546">
        <w:rPr>
          <w:rFonts w:cs="Arial"/>
        </w:rPr>
        <w:t xml:space="preserve"> </w:t>
      </w:r>
      <w:r w:rsidR="00621475" w:rsidRPr="00303546">
        <w:rPr>
          <w:rFonts w:cs="Arial"/>
        </w:rPr>
        <w:t>shows the number of admitted mental health phases reported in the cost data</w:t>
      </w:r>
      <w:r w:rsidR="00A00956" w:rsidRPr="00303546">
        <w:rPr>
          <w:rFonts w:cs="Arial"/>
        </w:rPr>
        <w:t xml:space="preserve"> against </w:t>
      </w:r>
      <w:proofErr w:type="gramStart"/>
      <w:r w:rsidR="00A00956" w:rsidRPr="00303546">
        <w:rPr>
          <w:rFonts w:cs="Arial"/>
        </w:rPr>
        <w:t>activity based</w:t>
      </w:r>
      <w:proofErr w:type="gramEnd"/>
      <w:r w:rsidR="00A00956" w:rsidRPr="00303546">
        <w:rPr>
          <w:rFonts w:cs="Arial"/>
        </w:rPr>
        <w:t xml:space="preserve"> funding (ABF) data </w:t>
      </w:r>
      <w:r w:rsidR="00621475" w:rsidRPr="00303546">
        <w:rPr>
          <w:rFonts w:cs="Arial"/>
        </w:rPr>
        <w:t xml:space="preserve">from </w:t>
      </w:r>
      <w:r w:rsidR="008578F3" w:rsidRPr="00303546">
        <w:rPr>
          <w:rFonts w:cs="Arial"/>
        </w:rPr>
        <w:t>2020-21</w:t>
      </w:r>
      <w:r w:rsidR="00621475" w:rsidRPr="00303546">
        <w:rPr>
          <w:rFonts w:cs="Arial"/>
        </w:rPr>
        <w:t xml:space="preserve"> to </w:t>
      </w:r>
      <w:r w:rsidR="00B82AA0" w:rsidRPr="00303546">
        <w:rPr>
          <w:rFonts w:cstheme="majorBidi"/>
          <w:lang w:val="en-PH"/>
        </w:rPr>
        <w:t>2022-23</w:t>
      </w:r>
      <w:r w:rsidR="00621475" w:rsidRPr="00303546">
        <w:rPr>
          <w:rFonts w:cs="Arial"/>
        </w:rPr>
        <w:t xml:space="preserve">. </w:t>
      </w:r>
      <w:r w:rsidR="005F45F5" w:rsidRPr="00303546">
        <w:rPr>
          <w:rFonts w:cs="Arial"/>
        </w:rPr>
        <w:t xml:space="preserve">In </w:t>
      </w:r>
      <w:r w:rsidR="00B82AA0" w:rsidRPr="00303546">
        <w:rPr>
          <w:rFonts w:cstheme="majorBidi"/>
          <w:lang w:val="en-PH"/>
        </w:rPr>
        <w:t>2022-23</w:t>
      </w:r>
      <w:r w:rsidR="005F45F5" w:rsidRPr="00303546">
        <w:rPr>
          <w:rFonts w:cs="Arial"/>
        </w:rPr>
        <w:t xml:space="preserve">, there were </w:t>
      </w:r>
      <w:r w:rsidR="003D11EB" w:rsidRPr="00303546">
        <w:rPr>
          <w:rFonts w:cs="Arial"/>
        </w:rPr>
        <w:t>92,</w:t>
      </w:r>
      <w:r w:rsidR="00335438">
        <w:rPr>
          <w:rFonts w:cs="Arial"/>
        </w:rPr>
        <w:t>898</w:t>
      </w:r>
      <w:r w:rsidR="00335438" w:rsidRPr="00303546">
        <w:rPr>
          <w:rFonts w:cs="Arial"/>
        </w:rPr>
        <w:t xml:space="preserve"> </w:t>
      </w:r>
      <w:r w:rsidR="005F45F5" w:rsidRPr="00303546">
        <w:rPr>
          <w:rFonts w:cs="Arial"/>
        </w:rPr>
        <w:t xml:space="preserve">admitted mental health phases reported nationally, a </w:t>
      </w:r>
      <w:r w:rsidR="003D11EB" w:rsidRPr="00303546">
        <w:rPr>
          <w:rFonts w:cs="Arial"/>
        </w:rPr>
        <w:t>16</w:t>
      </w:r>
      <w:r w:rsidR="00897090" w:rsidRPr="00303546">
        <w:rPr>
          <w:rFonts w:cs="Arial"/>
        </w:rPr>
        <w:t>%</w:t>
      </w:r>
      <w:r w:rsidR="005F45F5" w:rsidRPr="00303546">
        <w:rPr>
          <w:rFonts w:cs="Arial"/>
        </w:rPr>
        <w:t xml:space="preserve"> </w:t>
      </w:r>
      <w:r w:rsidR="003D11EB" w:rsidRPr="00303546">
        <w:rPr>
          <w:rFonts w:cs="Arial"/>
        </w:rPr>
        <w:t>in</w:t>
      </w:r>
      <w:r w:rsidR="005F45F5" w:rsidRPr="00303546">
        <w:rPr>
          <w:rFonts w:cs="Arial"/>
        </w:rPr>
        <w:t xml:space="preserve">crease to the </w:t>
      </w:r>
      <w:r w:rsidR="006C13D7" w:rsidRPr="00303546">
        <w:rPr>
          <w:rFonts w:cs="Arial"/>
        </w:rPr>
        <w:t>2021-22</w:t>
      </w:r>
      <w:r w:rsidR="005F45F5" w:rsidRPr="00303546">
        <w:rPr>
          <w:rFonts w:cs="Arial"/>
        </w:rPr>
        <w:t xml:space="preserve"> figure of </w:t>
      </w:r>
      <w:r w:rsidR="00545C3A" w:rsidRPr="00303546">
        <w:rPr>
          <w:rFonts w:cs="Arial"/>
        </w:rPr>
        <w:t>79,935</w:t>
      </w:r>
      <w:r w:rsidR="005F45F5" w:rsidRPr="00303546">
        <w:rPr>
          <w:rFonts w:cs="Arial"/>
        </w:rPr>
        <w:t>.</w:t>
      </w:r>
      <w:r w:rsidR="00621475" w:rsidRPr="00303546">
        <w:rPr>
          <w:rFonts w:cs="Arial"/>
        </w:rPr>
        <w:t xml:space="preserve"> The national </w:t>
      </w:r>
      <w:r w:rsidR="005F45F5" w:rsidRPr="00303546">
        <w:rPr>
          <w:rFonts w:cs="Arial"/>
        </w:rPr>
        <w:t>increase</w:t>
      </w:r>
      <w:r w:rsidR="00621475" w:rsidRPr="00303546">
        <w:rPr>
          <w:rFonts w:cs="Arial"/>
        </w:rPr>
        <w:t xml:space="preserve"> in admitted </w:t>
      </w:r>
      <w:r w:rsidR="005F45F5" w:rsidRPr="00303546">
        <w:rPr>
          <w:rFonts w:cs="Arial"/>
        </w:rPr>
        <w:t>mental health phases</w:t>
      </w:r>
      <w:r w:rsidR="00621475" w:rsidRPr="00303546">
        <w:rPr>
          <w:rFonts w:cs="Arial"/>
        </w:rPr>
        <w:t xml:space="preserve"> was driven by </w:t>
      </w:r>
      <w:r w:rsidR="003D11EB" w:rsidRPr="00303546">
        <w:rPr>
          <w:rFonts w:cs="Arial"/>
        </w:rPr>
        <w:t>Queensland</w:t>
      </w:r>
      <w:r w:rsidR="00621475" w:rsidRPr="00303546">
        <w:rPr>
          <w:rFonts w:cs="Arial"/>
        </w:rPr>
        <w:t xml:space="preserve">, </w:t>
      </w:r>
      <w:r w:rsidR="003D11EB" w:rsidRPr="00303546">
        <w:rPr>
          <w:rFonts w:cs="Arial"/>
        </w:rPr>
        <w:t xml:space="preserve">increasing </w:t>
      </w:r>
      <w:r w:rsidR="008C0465" w:rsidRPr="00303546">
        <w:rPr>
          <w:rFonts w:cs="Arial"/>
        </w:rPr>
        <w:t xml:space="preserve">by </w:t>
      </w:r>
      <w:r w:rsidR="003D11EB" w:rsidRPr="00303546">
        <w:rPr>
          <w:rFonts w:cs="Arial"/>
        </w:rPr>
        <w:t>8,273</w:t>
      </w:r>
      <w:r w:rsidR="00545C3A" w:rsidRPr="00303546">
        <w:rPr>
          <w:rFonts w:cs="Arial"/>
        </w:rPr>
        <w:t xml:space="preserve"> </w:t>
      </w:r>
      <w:r w:rsidR="00621475" w:rsidRPr="00303546">
        <w:rPr>
          <w:rFonts w:cs="Arial"/>
        </w:rPr>
        <w:t xml:space="preserve">records (or </w:t>
      </w:r>
      <w:r w:rsidR="001D068B" w:rsidRPr="00303546">
        <w:rPr>
          <w:rFonts w:cs="Arial"/>
        </w:rPr>
        <w:t>52</w:t>
      </w:r>
      <w:r w:rsidR="00897090" w:rsidRPr="00303546">
        <w:rPr>
          <w:rFonts w:cs="Arial"/>
        </w:rPr>
        <w:t>%</w:t>
      </w:r>
      <w:r w:rsidR="00621475" w:rsidRPr="00303546">
        <w:rPr>
          <w:rFonts w:cs="Arial"/>
        </w:rPr>
        <w:t xml:space="preserve">) from </w:t>
      </w:r>
      <w:r w:rsidR="006C13D7" w:rsidRPr="00303546">
        <w:rPr>
          <w:rFonts w:cs="Arial"/>
        </w:rPr>
        <w:t>2021-22</w:t>
      </w:r>
      <w:r w:rsidR="00621475" w:rsidRPr="00303546">
        <w:rPr>
          <w:rFonts w:cs="Arial"/>
        </w:rPr>
        <w:t xml:space="preserve"> to </w:t>
      </w:r>
      <w:r w:rsidR="00B82AA0" w:rsidRPr="00303546">
        <w:rPr>
          <w:rFonts w:cstheme="majorBidi"/>
          <w:lang w:val="en-PH"/>
        </w:rPr>
        <w:t>2022-23</w:t>
      </w:r>
      <w:r w:rsidR="00621475" w:rsidRPr="00303546">
        <w:rPr>
          <w:rFonts w:cs="Arial"/>
        </w:rPr>
        <w:t xml:space="preserve">. In </w:t>
      </w:r>
      <w:r w:rsidR="00B82AA0" w:rsidRPr="00303546">
        <w:rPr>
          <w:rFonts w:cstheme="majorBidi"/>
          <w:lang w:val="en-PH"/>
        </w:rPr>
        <w:t>2022-23</w:t>
      </w:r>
      <w:r w:rsidR="00621475" w:rsidRPr="00303546">
        <w:rPr>
          <w:rFonts w:cs="Arial"/>
        </w:rPr>
        <w:t xml:space="preserve">, </w:t>
      </w:r>
      <w:r w:rsidR="005F45F5" w:rsidRPr="00303546">
        <w:rPr>
          <w:rFonts w:cs="Arial"/>
        </w:rPr>
        <w:t xml:space="preserve">the number of phases at the jurisdictional level ranged from </w:t>
      </w:r>
      <w:r w:rsidR="00545C3A" w:rsidRPr="00303546">
        <w:rPr>
          <w:rFonts w:cs="Arial"/>
        </w:rPr>
        <w:t>9,135</w:t>
      </w:r>
      <w:r w:rsidR="005F45F5" w:rsidRPr="00303546">
        <w:rPr>
          <w:rFonts w:cs="Arial"/>
        </w:rPr>
        <w:t xml:space="preserve"> (South Australia</w:t>
      </w:r>
      <w:r w:rsidR="00AA75FC">
        <w:rPr>
          <w:rFonts w:cs="Arial"/>
        </w:rPr>
        <w:t xml:space="preserve"> (SA)</w:t>
      </w:r>
      <w:r w:rsidR="005F45F5" w:rsidRPr="00303546">
        <w:rPr>
          <w:rFonts w:cs="Arial"/>
        </w:rPr>
        <w:t xml:space="preserve">) to </w:t>
      </w:r>
      <w:r w:rsidR="003D11EB" w:rsidRPr="00303546">
        <w:rPr>
          <w:rFonts w:cs="Arial"/>
        </w:rPr>
        <w:t>35,432</w:t>
      </w:r>
      <w:r w:rsidR="005F45F5" w:rsidRPr="00303546">
        <w:rPr>
          <w:rFonts w:cs="Arial"/>
        </w:rPr>
        <w:t xml:space="preserve"> (</w:t>
      </w:r>
      <w:r w:rsidR="003D11EB" w:rsidRPr="00303546">
        <w:rPr>
          <w:rFonts w:cs="Arial"/>
        </w:rPr>
        <w:t>New South Wales</w:t>
      </w:r>
      <w:r w:rsidR="00AA75FC">
        <w:rPr>
          <w:rFonts w:cs="Arial"/>
        </w:rPr>
        <w:t xml:space="preserve"> (NSW)</w:t>
      </w:r>
      <w:r w:rsidR="005F45F5" w:rsidRPr="00303546">
        <w:rPr>
          <w:rFonts w:cs="Arial"/>
        </w:rPr>
        <w:t xml:space="preserve">). </w:t>
      </w:r>
      <w:r w:rsidR="009D2E00" w:rsidRPr="00303546">
        <w:rPr>
          <w:rFonts w:cs="Arial"/>
        </w:rPr>
        <w:t xml:space="preserve">It should be noted that </w:t>
      </w:r>
      <w:r w:rsidR="00621475" w:rsidRPr="00303546">
        <w:rPr>
          <w:rFonts w:cs="Arial"/>
        </w:rPr>
        <w:t>Western Australia</w:t>
      </w:r>
      <w:r w:rsidR="0059473A" w:rsidRPr="00303546">
        <w:rPr>
          <w:rFonts w:cs="Arial"/>
        </w:rPr>
        <w:t xml:space="preserve"> (WA)</w:t>
      </w:r>
      <w:r w:rsidR="00621475" w:rsidRPr="00303546">
        <w:rPr>
          <w:rFonts w:cs="Arial"/>
        </w:rPr>
        <w:t xml:space="preserve">, Tasmania, </w:t>
      </w:r>
      <w:r w:rsidR="00545C3A" w:rsidRPr="00303546">
        <w:rPr>
          <w:rFonts w:cs="Arial"/>
        </w:rPr>
        <w:t xml:space="preserve">and </w:t>
      </w:r>
      <w:r w:rsidR="00621475" w:rsidRPr="00303546">
        <w:rPr>
          <w:rFonts w:cs="Arial"/>
        </w:rPr>
        <w:t>Northern Territory</w:t>
      </w:r>
      <w:r w:rsidR="0059473A" w:rsidRPr="00303546">
        <w:rPr>
          <w:rFonts w:cs="Arial"/>
        </w:rPr>
        <w:t xml:space="preserve"> (NT)</w:t>
      </w:r>
      <w:r w:rsidR="00BD7E72">
        <w:rPr>
          <w:rFonts w:cs="Arial"/>
        </w:rPr>
        <w:t xml:space="preserve"> </w:t>
      </w:r>
      <w:r w:rsidR="00CB391B" w:rsidRPr="00303546">
        <w:rPr>
          <w:rFonts w:cs="Arial"/>
        </w:rPr>
        <w:t xml:space="preserve">and the </w:t>
      </w:r>
      <w:r w:rsidR="00BD7E72">
        <w:rPr>
          <w:rFonts w:cs="Arial"/>
        </w:rPr>
        <w:t>Australian Capital Territory (</w:t>
      </w:r>
      <w:r w:rsidR="00CB391B" w:rsidRPr="00303546">
        <w:rPr>
          <w:rFonts w:cs="Arial"/>
        </w:rPr>
        <w:t>ACT</w:t>
      </w:r>
      <w:r w:rsidR="00BD7E72">
        <w:rPr>
          <w:rFonts w:cs="Arial"/>
        </w:rPr>
        <w:t>)</w:t>
      </w:r>
      <w:r w:rsidR="00CB391B" w:rsidRPr="00303546">
        <w:rPr>
          <w:rFonts w:cs="Arial"/>
        </w:rPr>
        <w:t xml:space="preserve"> </w:t>
      </w:r>
      <w:r w:rsidR="00CB391B" w:rsidRPr="00E538CF">
        <w:t>have not reported phase level cost data for the last 3 years.</w:t>
      </w:r>
    </w:p>
    <w:p w14:paraId="03D5A48F" w14:textId="065282E4" w:rsidR="00870F84" w:rsidRDefault="00DD29C5" w:rsidP="005B2492">
      <w:pPr>
        <w:pStyle w:val="TableFigureheading"/>
        <w:rPr>
          <w:noProof/>
        </w:rPr>
      </w:pPr>
      <w:bookmarkStart w:id="379" w:name="_Ref185849323"/>
      <w:bookmarkStart w:id="380" w:name="_Toc187312119"/>
      <w:r w:rsidRPr="0093558C">
        <w:rPr>
          <w:lang w:val="en-PH"/>
        </w:rPr>
        <w:t xml:space="preserve">Figure </w:t>
      </w:r>
      <w:r w:rsidRPr="0093558C">
        <w:rPr>
          <w:iCs w:val="0"/>
          <w:lang w:val="en-PH"/>
        </w:rPr>
        <w:fldChar w:fldCharType="begin"/>
      </w:r>
      <w:r w:rsidRPr="0093558C">
        <w:rPr>
          <w:lang w:val="en-PH"/>
        </w:rPr>
        <w:instrText xml:space="preserve"> SEQ Figure \* ARABIC </w:instrText>
      </w:r>
      <w:r w:rsidRPr="0093558C">
        <w:rPr>
          <w:iCs w:val="0"/>
          <w:lang w:val="en-PH"/>
        </w:rPr>
        <w:fldChar w:fldCharType="separate"/>
      </w:r>
      <w:r w:rsidR="00A9792C">
        <w:rPr>
          <w:noProof/>
          <w:lang w:val="en-PH"/>
        </w:rPr>
        <w:t>23</w:t>
      </w:r>
      <w:r w:rsidRPr="0093558C">
        <w:rPr>
          <w:iCs w:val="0"/>
          <w:lang w:val="en-PH"/>
        </w:rPr>
        <w:fldChar w:fldCharType="end"/>
      </w:r>
      <w:bookmarkEnd w:id="379"/>
      <w:r w:rsidRPr="0093558C">
        <w:rPr>
          <w:lang w:val="en-PH"/>
        </w:rPr>
        <w:t>:</w:t>
      </w:r>
      <w:bookmarkStart w:id="381" w:name="_Toc151116358"/>
      <w:r w:rsidR="003F7C8C" w:rsidRPr="0093558C">
        <w:rPr>
          <w:lang w:val="en-PH"/>
        </w:rPr>
        <w:t xml:space="preserve"> </w:t>
      </w:r>
      <w:r w:rsidR="00CE5E1A">
        <w:rPr>
          <w:lang w:val="en-PH"/>
        </w:rPr>
        <w:t>A</w:t>
      </w:r>
      <w:r w:rsidR="0062422E">
        <w:rPr>
          <w:lang w:val="en-PH"/>
        </w:rPr>
        <w:t xml:space="preserve">dmitted mental health phases in </w:t>
      </w:r>
      <w:r w:rsidR="00AC2824">
        <w:rPr>
          <w:lang w:val="en-PH"/>
        </w:rPr>
        <w:t>ABF and NHCDC</w:t>
      </w:r>
      <w:r w:rsidR="00AC2824" w:rsidRPr="0093558C">
        <w:rPr>
          <w:lang w:val="en-PH"/>
        </w:rPr>
        <w:t xml:space="preserve">, </w:t>
      </w:r>
      <w:r w:rsidR="00AC2824" w:rsidRPr="00D73FCC">
        <w:rPr>
          <w:lang w:val="en-PH"/>
        </w:rPr>
        <w:t>2020-21</w:t>
      </w:r>
      <w:r w:rsidR="00AC2824" w:rsidRPr="0093558C">
        <w:rPr>
          <w:lang w:val="en-PH"/>
        </w:rPr>
        <w:t xml:space="preserve"> to </w:t>
      </w:r>
      <w:r w:rsidR="00AC2824" w:rsidRPr="008B2CD8">
        <w:rPr>
          <w:lang w:val="en-PH"/>
        </w:rPr>
        <w:t>202</w:t>
      </w:r>
      <w:r w:rsidR="00AC2824">
        <w:rPr>
          <w:lang w:val="en-PH"/>
        </w:rPr>
        <w:t>2</w:t>
      </w:r>
      <w:r w:rsidR="00AC2824" w:rsidRPr="008B2CD8">
        <w:rPr>
          <w:lang w:val="en-PH"/>
        </w:rPr>
        <w:t>-2</w:t>
      </w:r>
      <w:r w:rsidR="00AC2824">
        <w:rPr>
          <w:lang w:val="en-PH"/>
        </w:rPr>
        <w:t>3</w:t>
      </w:r>
      <w:bookmarkEnd w:id="380"/>
      <w:bookmarkEnd w:id="381"/>
    </w:p>
    <w:p w14:paraId="73C6401D" w14:textId="5EE1CAD5" w:rsidR="00E7621E" w:rsidRDefault="00E7621E" w:rsidP="00895491">
      <w:pPr>
        <w:rPr>
          <w:noProof/>
        </w:rPr>
      </w:pPr>
      <w:r>
        <w:rPr>
          <w:noProof/>
        </w:rPr>
        <w:drawing>
          <wp:inline distT="0" distB="0" distL="0" distR="0" wp14:anchorId="172F23C6" wp14:editId="5C5397AB">
            <wp:extent cx="6188400" cy="2700000"/>
            <wp:effectExtent l="0" t="0" r="3175" b="5715"/>
            <wp:docPr id="1738498716" name="Chart 1">
              <a:extLst xmlns:a="http://schemas.openxmlformats.org/drawingml/2006/main">
                <a:ext uri="{FF2B5EF4-FFF2-40B4-BE49-F238E27FC236}">
                  <a16:creationId xmlns:a16="http://schemas.microsoft.com/office/drawing/2014/main" id="{00000000-0008-0000-09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F44F5E5" w14:textId="1516C5B3" w:rsidR="00F80BDE" w:rsidRPr="00303546" w:rsidRDefault="00F80BDE" w:rsidP="00F80BDE">
      <w:pPr>
        <w:spacing w:line="276" w:lineRule="auto"/>
        <w:rPr>
          <w:rFonts w:cs="Arial"/>
        </w:rPr>
      </w:pPr>
      <w:r w:rsidRPr="00303546">
        <w:rPr>
          <w:rFonts w:cs="Arial"/>
        </w:rPr>
        <w:t xml:space="preserve">In </w:t>
      </w:r>
      <w:r w:rsidR="00B82AA0" w:rsidRPr="00303546">
        <w:rPr>
          <w:rFonts w:cstheme="majorBidi"/>
          <w:lang w:val="en-PH"/>
        </w:rPr>
        <w:t>2022-23</w:t>
      </w:r>
      <w:r w:rsidRPr="00303546">
        <w:rPr>
          <w:rFonts w:cs="Arial"/>
        </w:rPr>
        <w:t xml:space="preserve">, there were </w:t>
      </w:r>
      <w:r w:rsidR="00545C3A" w:rsidRPr="00303546">
        <w:rPr>
          <w:rFonts w:cs="Arial"/>
        </w:rPr>
        <w:t>29,</w:t>
      </w:r>
      <w:r w:rsidR="003D11EB" w:rsidRPr="00303546">
        <w:rPr>
          <w:rFonts w:cs="Arial"/>
        </w:rPr>
        <w:t xml:space="preserve">812 </w:t>
      </w:r>
      <w:r w:rsidRPr="00303546">
        <w:rPr>
          <w:rFonts w:cs="Arial"/>
        </w:rPr>
        <w:t xml:space="preserve">admitted mental health episodes nationally, a </w:t>
      </w:r>
      <w:r w:rsidR="00545C3A" w:rsidRPr="00303546">
        <w:rPr>
          <w:rFonts w:cs="Arial"/>
        </w:rPr>
        <w:t>7</w:t>
      </w:r>
      <w:r w:rsidR="00897090" w:rsidRPr="00303546">
        <w:rPr>
          <w:rFonts w:cs="Arial"/>
        </w:rPr>
        <w:t>%</w:t>
      </w:r>
      <w:r w:rsidRPr="00303546">
        <w:rPr>
          <w:rFonts w:cs="Arial"/>
        </w:rPr>
        <w:t xml:space="preserve"> </w:t>
      </w:r>
      <w:r w:rsidR="00545C3A" w:rsidRPr="00303546">
        <w:rPr>
          <w:rFonts w:cs="Arial"/>
        </w:rPr>
        <w:t>in</w:t>
      </w:r>
      <w:r w:rsidRPr="00303546">
        <w:rPr>
          <w:rFonts w:cs="Arial"/>
        </w:rPr>
        <w:t xml:space="preserve">crease to the </w:t>
      </w:r>
      <w:r w:rsidR="006C13D7" w:rsidRPr="00303546">
        <w:rPr>
          <w:rFonts w:cs="Arial"/>
        </w:rPr>
        <w:t>2021-22</w:t>
      </w:r>
      <w:r w:rsidRPr="00303546">
        <w:rPr>
          <w:rFonts w:cs="Arial"/>
        </w:rPr>
        <w:t xml:space="preserve"> figure of </w:t>
      </w:r>
      <w:r w:rsidR="00545C3A" w:rsidRPr="00303546">
        <w:rPr>
          <w:rFonts w:cs="Arial"/>
        </w:rPr>
        <w:t>27,918</w:t>
      </w:r>
      <w:r w:rsidRPr="00303546">
        <w:rPr>
          <w:rFonts w:cs="Arial"/>
        </w:rPr>
        <w:t xml:space="preserve">. The national </w:t>
      </w:r>
      <w:r w:rsidR="00545C3A" w:rsidRPr="00303546">
        <w:rPr>
          <w:rFonts w:cs="Arial"/>
        </w:rPr>
        <w:t>in</w:t>
      </w:r>
      <w:r w:rsidRPr="00303546">
        <w:rPr>
          <w:rFonts w:cs="Arial"/>
        </w:rPr>
        <w:t xml:space="preserve">crease was driven by </w:t>
      </w:r>
      <w:r w:rsidR="0059473A" w:rsidRPr="00303546">
        <w:rPr>
          <w:rFonts w:cs="Arial"/>
        </w:rPr>
        <w:t>SA</w:t>
      </w:r>
      <w:r w:rsidRPr="00303546">
        <w:rPr>
          <w:rFonts w:cs="Arial"/>
        </w:rPr>
        <w:t xml:space="preserve">, </w:t>
      </w:r>
      <w:r w:rsidR="00545C3A" w:rsidRPr="00303546">
        <w:rPr>
          <w:rFonts w:cs="Arial"/>
        </w:rPr>
        <w:t>in</w:t>
      </w:r>
      <w:r w:rsidRPr="00303546">
        <w:rPr>
          <w:rFonts w:cs="Arial"/>
        </w:rPr>
        <w:t xml:space="preserve">creasing </w:t>
      </w:r>
      <w:r w:rsidR="0037088F" w:rsidRPr="00303546">
        <w:rPr>
          <w:rFonts w:cs="Arial"/>
        </w:rPr>
        <w:t>from 5 records in 2021</w:t>
      </w:r>
      <w:r w:rsidR="0037088F" w:rsidRPr="00303546">
        <w:rPr>
          <w:rFonts w:cs="Arial"/>
        </w:rPr>
        <w:noBreakHyphen/>
        <w:t xml:space="preserve">22 to </w:t>
      </w:r>
      <w:r w:rsidR="00545C3A" w:rsidRPr="00303546">
        <w:rPr>
          <w:rFonts w:cs="Arial"/>
        </w:rPr>
        <w:t>5,4</w:t>
      </w:r>
      <w:r w:rsidR="0037088F" w:rsidRPr="00303546">
        <w:rPr>
          <w:rFonts w:cs="Arial"/>
        </w:rPr>
        <w:t>23</w:t>
      </w:r>
      <w:r w:rsidRPr="00303546">
        <w:rPr>
          <w:rFonts w:cs="Arial"/>
        </w:rPr>
        <w:t xml:space="preserve"> records (or </w:t>
      </w:r>
      <w:r w:rsidR="00574290" w:rsidRPr="00303546">
        <w:rPr>
          <w:rFonts w:cs="Arial"/>
        </w:rPr>
        <w:t>108,360</w:t>
      </w:r>
      <w:r w:rsidR="00897090" w:rsidRPr="00303546">
        <w:rPr>
          <w:rFonts w:cs="Arial"/>
        </w:rPr>
        <w:t>%</w:t>
      </w:r>
      <w:r w:rsidRPr="00303546">
        <w:rPr>
          <w:rFonts w:cs="Arial"/>
        </w:rPr>
        <w:t xml:space="preserve">) from </w:t>
      </w:r>
      <w:r w:rsidR="006C13D7" w:rsidRPr="00303546">
        <w:rPr>
          <w:rFonts w:cs="Arial"/>
        </w:rPr>
        <w:t>2021-22</w:t>
      </w:r>
      <w:r w:rsidRPr="00303546">
        <w:rPr>
          <w:rFonts w:cs="Arial"/>
        </w:rPr>
        <w:t xml:space="preserve"> to </w:t>
      </w:r>
      <w:r w:rsidR="00B82AA0" w:rsidRPr="00303546">
        <w:rPr>
          <w:rFonts w:cstheme="majorBidi"/>
          <w:lang w:val="en-PH"/>
        </w:rPr>
        <w:t>2022-23</w:t>
      </w:r>
      <w:r w:rsidRPr="00303546">
        <w:rPr>
          <w:rFonts w:cs="Arial"/>
        </w:rPr>
        <w:t xml:space="preserve">. In </w:t>
      </w:r>
      <w:r w:rsidR="00B82AA0" w:rsidRPr="00303546">
        <w:rPr>
          <w:rFonts w:cstheme="majorBidi"/>
          <w:lang w:val="en-PH"/>
        </w:rPr>
        <w:t>2022-23</w:t>
      </w:r>
      <w:r w:rsidRPr="00303546">
        <w:rPr>
          <w:rFonts w:cs="Arial"/>
        </w:rPr>
        <w:t xml:space="preserve">, the number of episodes at the jurisdictional level ranged from </w:t>
      </w:r>
      <w:r w:rsidR="003D11EB" w:rsidRPr="00303546">
        <w:rPr>
          <w:rFonts w:cs="Arial"/>
        </w:rPr>
        <w:t xml:space="preserve">5 </w:t>
      </w:r>
      <w:r w:rsidRPr="00303546">
        <w:rPr>
          <w:rFonts w:cs="Arial"/>
        </w:rPr>
        <w:t>(</w:t>
      </w:r>
      <w:r w:rsidR="003D11EB" w:rsidRPr="00303546">
        <w:rPr>
          <w:rFonts w:cs="Arial"/>
        </w:rPr>
        <w:t>NSW</w:t>
      </w:r>
      <w:r w:rsidRPr="00303546">
        <w:rPr>
          <w:rFonts w:cs="Arial"/>
        </w:rPr>
        <w:t>) to 12,</w:t>
      </w:r>
      <w:r w:rsidR="00545C3A" w:rsidRPr="00303546">
        <w:rPr>
          <w:rFonts w:cs="Arial"/>
        </w:rPr>
        <w:t xml:space="preserve">436 </w:t>
      </w:r>
      <w:r w:rsidRPr="00303546">
        <w:rPr>
          <w:rFonts w:cs="Arial"/>
        </w:rPr>
        <w:t>(</w:t>
      </w:r>
      <w:r w:rsidR="0059473A" w:rsidRPr="00303546">
        <w:rPr>
          <w:rFonts w:cs="Arial"/>
        </w:rPr>
        <w:t>WA</w:t>
      </w:r>
      <w:r w:rsidRPr="00303546">
        <w:rPr>
          <w:rFonts w:cs="Arial"/>
        </w:rPr>
        <w:t>).</w:t>
      </w:r>
    </w:p>
    <w:p w14:paraId="77831C0C" w14:textId="25AB1ED9" w:rsidR="00935107" w:rsidRPr="00CE058E" w:rsidRDefault="00BE604B" w:rsidP="007B41F8">
      <w:pPr>
        <w:pStyle w:val="Heading2"/>
      </w:pPr>
      <w:bookmarkStart w:id="382" w:name="_Toc151129726"/>
      <w:bookmarkStart w:id="383" w:name="_Toc158882577"/>
      <w:bookmarkStart w:id="384" w:name="_Toc158882638"/>
      <w:r w:rsidRPr="00CE058E">
        <w:t>Admitted m</w:t>
      </w:r>
      <w:r w:rsidR="00935107" w:rsidRPr="00CE058E">
        <w:t xml:space="preserve">ental </w:t>
      </w:r>
      <w:r w:rsidRPr="00CE058E">
        <w:t>h</w:t>
      </w:r>
      <w:r w:rsidR="00935107" w:rsidRPr="00CE058E">
        <w:t xml:space="preserve">ealth </w:t>
      </w:r>
      <w:bookmarkEnd w:id="382"/>
      <w:bookmarkEnd w:id="383"/>
      <w:bookmarkEnd w:id="384"/>
      <w:r w:rsidR="007F7EEF">
        <w:t>expenditure</w:t>
      </w:r>
    </w:p>
    <w:p w14:paraId="0047A6BE" w14:textId="267422B9" w:rsidR="00112D9F" w:rsidRPr="00303546" w:rsidRDefault="00F83EC7" w:rsidP="00112D9F">
      <w:pPr>
        <w:spacing w:line="276" w:lineRule="auto"/>
        <w:rPr>
          <w:rFonts w:cs="Arial"/>
        </w:rPr>
      </w:pPr>
      <w:r>
        <w:rPr>
          <w:rFonts w:cs="Arial"/>
        </w:rPr>
        <w:fldChar w:fldCharType="begin"/>
      </w:r>
      <w:r>
        <w:rPr>
          <w:rFonts w:cs="Arial"/>
        </w:rPr>
        <w:instrText xml:space="preserve"> REF _Ref185849431 \h  \* MERGEFORMAT </w:instrText>
      </w:r>
      <w:r>
        <w:rPr>
          <w:rFonts w:cs="Arial"/>
        </w:rPr>
      </w:r>
      <w:r>
        <w:rPr>
          <w:rFonts w:cs="Arial"/>
        </w:rPr>
        <w:fldChar w:fldCharType="separate"/>
      </w:r>
      <w:r w:rsidR="00A9792C" w:rsidRPr="00303546">
        <w:rPr>
          <w:rStyle w:val="Cross-referenceChar"/>
        </w:rPr>
        <w:t>Figure</w:t>
      </w:r>
      <w:r w:rsidR="00A9792C" w:rsidRPr="00303546">
        <w:rPr>
          <w:rFonts w:cstheme="majorBidi"/>
          <w:color w:val="104F99" w:themeColor="accent2"/>
          <w:lang w:val="en-PH"/>
        </w:rPr>
        <w:t xml:space="preserve"> </w:t>
      </w:r>
      <w:r w:rsidR="00A9792C" w:rsidRPr="00A9792C">
        <w:rPr>
          <w:rFonts w:cstheme="majorBidi"/>
          <w:noProof/>
          <w:lang w:val="en-PH"/>
        </w:rPr>
        <w:t>24</w:t>
      </w:r>
      <w:r>
        <w:rPr>
          <w:rFonts w:cs="Arial"/>
        </w:rPr>
        <w:fldChar w:fldCharType="end"/>
      </w:r>
      <w:r w:rsidR="00F80BDE" w:rsidRPr="00303546">
        <w:rPr>
          <w:rFonts w:cs="Arial"/>
        </w:rPr>
        <w:t xml:space="preserve"> </w:t>
      </w:r>
      <w:r w:rsidR="00112D9F" w:rsidRPr="00303546">
        <w:rPr>
          <w:rFonts w:cs="Arial"/>
        </w:rPr>
        <w:t xml:space="preserve">shows the cost of admitted mental health phases by jurisdiction from </w:t>
      </w:r>
      <w:r w:rsidR="008578F3" w:rsidRPr="00303546">
        <w:rPr>
          <w:rFonts w:cs="Arial"/>
        </w:rPr>
        <w:t>2020-21</w:t>
      </w:r>
      <w:r w:rsidR="00112D9F" w:rsidRPr="00303546">
        <w:rPr>
          <w:rFonts w:cs="Arial"/>
        </w:rPr>
        <w:t xml:space="preserve"> to </w:t>
      </w:r>
      <w:r w:rsidR="00B82AA0" w:rsidRPr="00303546">
        <w:rPr>
          <w:rFonts w:cstheme="majorBidi"/>
          <w:lang w:val="en-PH"/>
        </w:rPr>
        <w:t>2022</w:t>
      </w:r>
      <w:r w:rsidR="00642924" w:rsidRPr="00303546">
        <w:rPr>
          <w:rFonts w:cstheme="majorBidi"/>
          <w:lang w:val="en-PH"/>
        </w:rPr>
        <w:noBreakHyphen/>
      </w:r>
      <w:r w:rsidR="00B82AA0" w:rsidRPr="00303546">
        <w:rPr>
          <w:rFonts w:cstheme="majorBidi"/>
          <w:lang w:val="en-PH"/>
        </w:rPr>
        <w:t>23</w:t>
      </w:r>
      <w:r w:rsidR="00112D9F" w:rsidRPr="00303546">
        <w:rPr>
          <w:rFonts w:cs="Arial"/>
        </w:rPr>
        <w:t xml:space="preserve">. </w:t>
      </w:r>
      <w:r w:rsidR="00574290" w:rsidRPr="00303546">
        <w:rPr>
          <w:rFonts w:cs="Arial"/>
        </w:rPr>
        <w:t xml:space="preserve">In </w:t>
      </w:r>
      <w:r w:rsidR="00574290" w:rsidRPr="00303546">
        <w:rPr>
          <w:rFonts w:cstheme="majorBidi"/>
          <w:lang w:val="en-PH"/>
        </w:rPr>
        <w:t>2022-23</w:t>
      </w:r>
      <w:r w:rsidR="00574290" w:rsidRPr="00303546">
        <w:rPr>
          <w:rFonts w:cs="Arial"/>
        </w:rPr>
        <w:t xml:space="preserve">, the admitted mental health phases </w:t>
      </w:r>
      <w:r w:rsidR="00FA05F7" w:rsidRPr="00303546">
        <w:rPr>
          <w:rFonts w:cs="Arial"/>
        </w:rPr>
        <w:t xml:space="preserve">cost </w:t>
      </w:r>
      <w:r w:rsidR="00574290" w:rsidRPr="00303546">
        <w:rPr>
          <w:rFonts w:cs="Arial"/>
        </w:rPr>
        <w:t>reported in the NHCDC was $</w:t>
      </w:r>
      <w:r w:rsidR="003D11EB" w:rsidRPr="00303546">
        <w:rPr>
          <w:rFonts w:cs="Arial"/>
        </w:rPr>
        <w:t>2.4</w:t>
      </w:r>
      <w:r w:rsidR="00574290" w:rsidRPr="00303546">
        <w:rPr>
          <w:rFonts w:cs="Arial"/>
        </w:rPr>
        <w:t xml:space="preserve"> billion nationally, </w:t>
      </w:r>
      <w:r w:rsidR="00112D9F" w:rsidRPr="00303546">
        <w:rPr>
          <w:rFonts w:cs="Arial"/>
        </w:rPr>
        <w:t xml:space="preserve">a </w:t>
      </w:r>
      <w:r w:rsidR="003D11EB" w:rsidRPr="00303546">
        <w:rPr>
          <w:rFonts w:cs="Arial"/>
        </w:rPr>
        <w:t>2</w:t>
      </w:r>
      <w:r w:rsidR="00335438">
        <w:rPr>
          <w:rFonts w:cs="Arial"/>
        </w:rPr>
        <w:t>5</w:t>
      </w:r>
      <w:r w:rsidR="00897090" w:rsidRPr="00303546">
        <w:rPr>
          <w:rFonts w:cs="Arial"/>
        </w:rPr>
        <w:t>%</w:t>
      </w:r>
      <w:r w:rsidR="00112D9F" w:rsidRPr="00303546">
        <w:rPr>
          <w:rFonts w:cs="Arial"/>
        </w:rPr>
        <w:t xml:space="preserve"> </w:t>
      </w:r>
      <w:r w:rsidR="003D11EB" w:rsidRPr="00303546">
        <w:rPr>
          <w:rFonts w:cs="Arial"/>
        </w:rPr>
        <w:t xml:space="preserve">increase </w:t>
      </w:r>
      <w:r w:rsidR="00112D9F" w:rsidRPr="00303546">
        <w:rPr>
          <w:rFonts w:cs="Arial"/>
        </w:rPr>
        <w:t xml:space="preserve">to the </w:t>
      </w:r>
      <w:r w:rsidR="00EE67A3" w:rsidRPr="00303546">
        <w:rPr>
          <w:rFonts w:cs="Arial"/>
        </w:rPr>
        <w:t>2021-22</w:t>
      </w:r>
      <w:r w:rsidR="00112D9F" w:rsidRPr="00303546">
        <w:rPr>
          <w:rFonts w:cs="Arial"/>
        </w:rPr>
        <w:t xml:space="preserve"> figure of $1.</w:t>
      </w:r>
      <w:r w:rsidR="00574290" w:rsidRPr="00303546">
        <w:rPr>
          <w:rFonts w:cs="Arial"/>
        </w:rPr>
        <w:t>9</w:t>
      </w:r>
      <w:r w:rsidR="00112D9F" w:rsidRPr="00303546">
        <w:rPr>
          <w:rFonts w:cs="Arial"/>
        </w:rPr>
        <w:t xml:space="preserve"> billion. In </w:t>
      </w:r>
      <w:r w:rsidR="00B82AA0" w:rsidRPr="00303546">
        <w:rPr>
          <w:rFonts w:cstheme="majorBidi"/>
          <w:lang w:val="en-PH"/>
        </w:rPr>
        <w:t>2022-23</w:t>
      </w:r>
      <w:r w:rsidR="00112D9F" w:rsidRPr="00303546">
        <w:rPr>
          <w:rFonts w:cs="Arial"/>
        </w:rPr>
        <w:t>, the cost at the jurisdictional level ranged from $</w:t>
      </w:r>
      <w:r w:rsidR="00574290" w:rsidRPr="00303546">
        <w:rPr>
          <w:rFonts w:cs="Arial"/>
        </w:rPr>
        <w:t>246.3</w:t>
      </w:r>
      <w:r w:rsidR="00112D9F" w:rsidRPr="00303546">
        <w:rPr>
          <w:rFonts w:cs="Arial"/>
        </w:rPr>
        <w:t xml:space="preserve"> million (</w:t>
      </w:r>
      <w:r w:rsidR="0059473A" w:rsidRPr="00303546">
        <w:rPr>
          <w:rFonts w:cs="Arial"/>
        </w:rPr>
        <w:t>SA</w:t>
      </w:r>
      <w:r w:rsidR="00112D9F" w:rsidRPr="00303546">
        <w:rPr>
          <w:rFonts w:cs="Arial"/>
        </w:rPr>
        <w:t xml:space="preserve">) to </w:t>
      </w:r>
      <w:r w:rsidR="00112D9F" w:rsidRPr="00303546">
        <w:rPr>
          <w:rFonts w:eastAsia="Times New Roman" w:cs="Arial"/>
          <w:lang w:eastAsia="en-AU"/>
        </w:rPr>
        <w:t>$</w:t>
      </w:r>
      <w:r w:rsidR="003D11EB" w:rsidRPr="00303546">
        <w:rPr>
          <w:rFonts w:eastAsia="Times New Roman" w:cs="Arial"/>
          <w:lang w:eastAsia="en-AU"/>
        </w:rPr>
        <w:t>840.2</w:t>
      </w:r>
      <w:r w:rsidR="00574290" w:rsidRPr="00303546">
        <w:rPr>
          <w:rFonts w:eastAsia="Times New Roman" w:cs="Arial"/>
          <w:lang w:eastAsia="en-AU"/>
        </w:rPr>
        <w:t xml:space="preserve"> </w:t>
      </w:r>
      <w:r w:rsidR="00112D9F" w:rsidRPr="00303546">
        <w:rPr>
          <w:rFonts w:eastAsia="Times New Roman" w:cs="Arial"/>
          <w:lang w:eastAsia="en-AU"/>
        </w:rPr>
        <w:t xml:space="preserve">million </w:t>
      </w:r>
      <w:r w:rsidR="00112D9F" w:rsidRPr="00303546">
        <w:rPr>
          <w:rFonts w:cs="Arial"/>
        </w:rPr>
        <w:t>(</w:t>
      </w:r>
      <w:r w:rsidR="003D11EB" w:rsidRPr="00303546">
        <w:rPr>
          <w:rFonts w:cs="Arial"/>
        </w:rPr>
        <w:t>NSW</w:t>
      </w:r>
      <w:r w:rsidR="00112D9F" w:rsidRPr="00303546">
        <w:rPr>
          <w:rFonts w:cs="Arial"/>
        </w:rPr>
        <w:t xml:space="preserve">). </w:t>
      </w:r>
      <w:r w:rsidR="009D2E00" w:rsidRPr="00303546">
        <w:rPr>
          <w:rFonts w:cs="Arial"/>
        </w:rPr>
        <w:t>It should be noted that</w:t>
      </w:r>
      <w:r w:rsidR="00CB391B" w:rsidRPr="00303546">
        <w:rPr>
          <w:rFonts w:cs="Arial"/>
        </w:rPr>
        <w:t xml:space="preserve"> WA, Tasmania, NT, and the ACT </w:t>
      </w:r>
      <w:r w:rsidR="00CB391B" w:rsidRPr="00E538CF">
        <w:t>have not reported phase level cost data for the last 3 years.</w:t>
      </w:r>
    </w:p>
    <w:p w14:paraId="35359505" w14:textId="70809F27" w:rsidR="00152AE1" w:rsidRDefault="00DD29C5" w:rsidP="00303546">
      <w:pPr>
        <w:pStyle w:val="TableFigureheading"/>
        <w:rPr>
          <w:noProof/>
        </w:rPr>
      </w:pPr>
      <w:bookmarkStart w:id="385" w:name="_Ref185849431"/>
      <w:bookmarkStart w:id="386" w:name="_Toc187312120"/>
      <w:r w:rsidRPr="0093558C">
        <w:rPr>
          <w:lang w:val="en-PH"/>
        </w:rPr>
        <w:lastRenderedPageBreak/>
        <w:t xml:space="preserve">Figure </w:t>
      </w:r>
      <w:r w:rsidRPr="0093558C">
        <w:rPr>
          <w:iCs w:val="0"/>
          <w:lang w:val="en-PH"/>
        </w:rPr>
        <w:fldChar w:fldCharType="begin"/>
      </w:r>
      <w:r w:rsidRPr="0093558C">
        <w:rPr>
          <w:lang w:val="en-PH"/>
        </w:rPr>
        <w:instrText xml:space="preserve"> SEQ Figure \* ARABIC </w:instrText>
      </w:r>
      <w:r w:rsidRPr="0093558C">
        <w:rPr>
          <w:iCs w:val="0"/>
          <w:lang w:val="en-PH"/>
        </w:rPr>
        <w:fldChar w:fldCharType="separate"/>
      </w:r>
      <w:r w:rsidR="00A9792C">
        <w:rPr>
          <w:noProof/>
          <w:lang w:val="en-PH"/>
        </w:rPr>
        <w:t>24</w:t>
      </w:r>
      <w:r w:rsidRPr="0093558C">
        <w:rPr>
          <w:iCs w:val="0"/>
          <w:lang w:val="en-PH"/>
        </w:rPr>
        <w:fldChar w:fldCharType="end"/>
      </w:r>
      <w:bookmarkEnd w:id="385"/>
      <w:r w:rsidRPr="0093558C">
        <w:rPr>
          <w:lang w:val="en-PH"/>
        </w:rPr>
        <w:t>:</w:t>
      </w:r>
      <w:bookmarkStart w:id="387" w:name="_Toc151116360"/>
      <w:r w:rsidR="00A82091" w:rsidRPr="0093558C">
        <w:rPr>
          <w:lang w:val="en-PH"/>
        </w:rPr>
        <w:t xml:space="preserve"> </w:t>
      </w:r>
      <w:r w:rsidR="0016070F">
        <w:rPr>
          <w:lang w:val="en-PH"/>
        </w:rPr>
        <w:t xml:space="preserve">Cost of </w:t>
      </w:r>
      <w:r w:rsidR="0016070F" w:rsidRPr="00303546">
        <w:t>admitted</w:t>
      </w:r>
      <w:r w:rsidR="0016070F">
        <w:rPr>
          <w:lang w:val="en-PH"/>
        </w:rPr>
        <w:t xml:space="preserve"> mental health phases by jurisdiction</w:t>
      </w:r>
      <w:r w:rsidR="00A82091" w:rsidRPr="0093558C">
        <w:rPr>
          <w:lang w:val="en-PH"/>
        </w:rPr>
        <w:t xml:space="preserve">, </w:t>
      </w:r>
      <w:r w:rsidR="008578F3" w:rsidRPr="00D73FCC">
        <w:rPr>
          <w:lang w:val="en-PH"/>
        </w:rPr>
        <w:t>2020-21</w:t>
      </w:r>
      <w:r w:rsidR="00A82091" w:rsidRPr="0093558C">
        <w:rPr>
          <w:lang w:val="en-PH"/>
        </w:rPr>
        <w:t xml:space="preserve"> to </w:t>
      </w:r>
      <w:r w:rsidR="00B82AA0" w:rsidRPr="008B2CD8">
        <w:rPr>
          <w:lang w:val="en-PH"/>
        </w:rPr>
        <w:t>202</w:t>
      </w:r>
      <w:r w:rsidR="00B82AA0">
        <w:rPr>
          <w:lang w:val="en-PH"/>
        </w:rPr>
        <w:t>2</w:t>
      </w:r>
      <w:r w:rsidR="00B82AA0" w:rsidRPr="008B2CD8">
        <w:rPr>
          <w:lang w:val="en-PH"/>
        </w:rPr>
        <w:t>-2</w:t>
      </w:r>
      <w:r w:rsidR="00B82AA0">
        <w:rPr>
          <w:lang w:val="en-PH"/>
        </w:rPr>
        <w:t>3</w:t>
      </w:r>
      <w:bookmarkEnd w:id="386"/>
      <w:bookmarkEnd w:id="387"/>
    </w:p>
    <w:p w14:paraId="5FCEA989" w14:textId="5064C808" w:rsidR="00F80DBA" w:rsidRPr="00303546" w:rsidRDefault="00F80DBA" w:rsidP="00303546">
      <w:r>
        <w:rPr>
          <w:noProof/>
        </w:rPr>
        <w:drawing>
          <wp:inline distT="0" distB="0" distL="0" distR="0" wp14:anchorId="31F900B0" wp14:editId="3449E945">
            <wp:extent cx="6188400" cy="2430000"/>
            <wp:effectExtent l="0" t="0" r="3175" b="8890"/>
            <wp:docPr id="952246595" name="Chart 1">
              <a:extLst xmlns:a="http://schemas.openxmlformats.org/drawingml/2006/main">
                <a:ext uri="{FF2B5EF4-FFF2-40B4-BE49-F238E27FC236}">
                  <a16:creationId xmlns:a16="http://schemas.microsoft.com/office/drawing/2014/main" id="{960546B4-909F-4FD9-90DF-83A9E5A91C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BD81164" w14:textId="07994AC6" w:rsidR="00F80BDE" w:rsidRPr="00E538CF" w:rsidRDefault="00574290" w:rsidP="00AF182D">
      <w:pPr>
        <w:spacing w:line="276" w:lineRule="auto"/>
        <w:rPr>
          <w:rFonts w:cs="Arial"/>
        </w:rPr>
      </w:pPr>
      <w:r w:rsidRPr="00303546">
        <w:rPr>
          <w:rFonts w:cs="Arial"/>
        </w:rPr>
        <w:t xml:space="preserve">In </w:t>
      </w:r>
      <w:r w:rsidRPr="00303546">
        <w:rPr>
          <w:rFonts w:cstheme="majorBidi"/>
          <w:lang w:val="en-PH"/>
        </w:rPr>
        <w:t>2022-23</w:t>
      </w:r>
      <w:r w:rsidRPr="00303546">
        <w:rPr>
          <w:rFonts w:cs="Arial"/>
        </w:rPr>
        <w:t xml:space="preserve">, the admitted mental health episodes cost reported in the NHCDC was approximately $625.3 million nationally, </w:t>
      </w:r>
      <w:r w:rsidR="00F80BDE" w:rsidRPr="00303546">
        <w:rPr>
          <w:rFonts w:cs="Arial"/>
        </w:rPr>
        <w:t xml:space="preserve">a </w:t>
      </w:r>
      <w:r w:rsidRPr="00303546">
        <w:rPr>
          <w:rFonts w:cs="Arial"/>
        </w:rPr>
        <w:t>6</w:t>
      </w:r>
      <w:r w:rsidR="00897090" w:rsidRPr="00303546">
        <w:rPr>
          <w:rFonts w:cs="Arial"/>
        </w:rPr>
        <w:t>%</w:t>
      </w:r>
      <w:r w:rsidR="00F80BDE" w:rsidRPr="00303546">
        <w:rPr>
          <w:rFonts w:cs="Arial"/>
        </w:rPr>
        <w:t xml:space="preserve"> decrease to the </w:t>
      </w:r>
      <w:r w:rsidR="00EE67A3" w:rsidRPr="00303546">
        <w:rPr>
          <w:rFonts w:cs="Arial"/>
        </w:rPr>
        <w:t>2021-22</w:t>
      </w:r>
      <w:r w:rsidR="00F80BDE" w:rsidRPr="00303546">
        <w:rPr>
          <w:rFonts w:cs="Arial"/>
        </w:rPr>
        <w:t xml:space="preserve"> figure of $</w:t>
      </w:r>
      <w:r w:rsidRPr="00303546">
        <w:rPr>
          <w:rFonts w:cs="Arial"/>
        </w:rPr>
        <w:t xml:space="preserve">667.5 </w:t>
      </w:r>
      <w:r w:rsidR="00F80BDE" w:rsidRPr="00303546">
        <w:rPr>
          <w:rFonts w:cs="Arial"/>
        </w:rPr>
        <w:t xml:space="preserve">million. The national decrease in the cost of admitted mental health episodes was driven by Queensland, decreasing </w:t>
      </w:r>
      <w:r w:rsidR="00430555" w:rsidRPr="00303546">
        <w:rPr>
          <w:rFonts w:cs="Arial"/>
        </w:rPr>
        <w:t xml:space="preserve">costs by </w:t>
      </w:r>
      <w:r w:rsidR="00F80BDE" w:rsidRPr="00303546">
        <w:rPr>
          <w:rFonts w:cs="Arial"/>
        </w:rPr>
        <w:t>$</w:t>
      </w:r>
      <w:r w:rsidRPr="00303546">
        <w:rPr>
          <w:rFonts w:cs="Arial"/>
        </w:rPr>
        <w:t>86.1</w:t>
      </w:r>
      <w:r w:rsidR="00F80BDE" w:rsidRPr="00303546">
        <w:rPr>
          <w:rFonts w:cs="Arial"/>
        </w:rPr>
        <w:t xml:space="preserve"> million (or </w:t>
      </w:r>
      <w:r w:rsidRPr="00303546">
        <w:rPr>
          <w:rFonts w:cs="Arial"/>
        </w:rPr>
        <w:t>75</w:t>
      </w:r>
      <w:r w:rsidR="00897090" w:rsidRPr="00303546">
        <w:rPr>
          <w:rFonts w:cs="Arial"/>
        </w:rPr>
        <w:t>%</w:t>
      </w:r>
      <w:r w:rsidR="00F80BDE" w:rsidRPr="00303546">
        <w:rPr>
          <w:rFonts w:cs="Arial"/>
        </w:rPr>
        <w:t>)</w:t>
      </w:r>
      <w:r w:rsidR="00430555" w:rsidRPr="00303546">
        <w:rPr>
          <w:rFonts w:cs="Arial"/>
        </w:rPr>
        <w:t xml:space="preserve"> from 2021-22</w:t>
      </w:r>
      <w:r w:rsidR="001E40E4" w:rsidRPr="00303546">
        <w:rPr>
          <w:rFonts w:cs="Arial"/>
        </w:rPr>
        <w:t>, due to a shift in phase level costing</w:t>
      </w:r>
      <w:r w:rsidR="00F80BDE" w:rsidRPr="00303546">
        <w:rPr>
          <w:rFonts w:cs="Arial"/>
        </w:rPr>
        <w:t xml:space="preserve">. In </w:t>
      </w:r>
      <w:r w:rsidR="00B82AA0" w:rsidRPr="00303546">
        <w:rPr>
          <w:rFonts w:cstheme="majorBidi"/>
          <w:lang w:val="en-PH"/>
        </w:rPr>
        <w:t>2022-23</w:t>
      </w:r>
      <w:r w:rsidR="00F80BDE" w:rsidRPr="00303546">
        <w:rPr>
          <w:rFonts w:cs="Arial"/>
        </w:rPr>
        <w:t>, the cost at the jurisdictional level ranged from $</w:t>
      </w:r>
      <w:r w:rsidR="007C6CE4" w:rsidRPr="00303546">
        <w:rPr>
          <w:rFonts w:cs="Arial"/>
        </w:rPr>
        <w:t>70,480</w:t>
      </w:r>
      <w:r w:rsidR="00F80BDE" w:rsidRPr="00303546">
        <w:rPr>
          <w:rFonts w:cs="Arial"/>
        </w:rPr>
        <w:t xml:space="preserve"> (</w:t>
      </w:r>
      <w:r w:rsidR="007C6CE4" w:rsidRPr="00303546">
        <w:rPr>
          <w:rFonts w:cs="Arial"/>
        </w:rPr>
        <w:t>NSW</w:t>
      </w:r>
      <w:r w:rsidR="00F80BDE" w:rsidRPr="00303546">
        <w:rPr>
          <w:rFonts w:cs="Arial"/>
        </w:rPr>
        <w:t xml:space="preserve">) to </w:t>
      </w:r>
      <w:r w:rsidR="00F80BDE" w:rsidRPr="00303546">
        <w:rPr>
          <w:rFonts w:eastAsia="Times New Roman" w:cs="Arial"/>
          <w:lang w:eastAsia="en-AU"/>
        </w:rPr>
        <w:t>$3</w:t>
      </w:r>
      <w:r w:rsidRPr="00303546">
        <w:rPr>
          <w:rFonts w:eastAsia="Times New Roman" w:cs="Arial"/>
          <w:lang w:eastAsia="en-AU"/>
        </w:rPr>
        <w:t>92.</w:t>
      </w:r>
      <w:r w:rsidR="00371E57" w:rsidRPr="00303546">
        <w:rPr>
          <w:rFonts w:eastAsia="Times New Roman" w:cs="Arial"/>
          <w:lang w:eastAsia="en-AU"/>
        </w:rPr>
        <w:t>3 </w:t>
      </w:r>
      <w:r w:rsidR="00F80BDE" w:rsidRPr="00303546">
        <w:rPr>
          <w:rFonts w:eastAsia="Times New Roman" w:cs="Arial"/>
          <w:lang w:eastAsia="en-AU"/>
        </w:rPr>
        <w:t xml:space="preserve">million </w:t>
      </w:r>
      <w:r w:rsidR="00F80BDE" w:rsidRPr="00303546">
        <w:rPr>
          <w:rFonts w:cs="Arial"/>
        </w:rPr>
        <w:t>(</w:t>
      </w:r>
      <w:r w:rsidR="0059473A" w:rsidRPr="00303546">
        <w:rPr>
          <w:rFonts w:cs="Arial"/>
        </w:rPr>
        <w:t>WA</w:t>
      </w:r>
      <w:r w:rsidR="00F80BDE" w:rsidRPr="00303546">
        <w:rPr>
          <w:rFonts w:cs="Arial"/>
        </w:rPr>
        <w:t>).</w:t>
      </w:r>
    </w:p>
    <w:p w14:paraId="239E218E" w14:textId="7F55C58B" w:rsidR="00935107" w:rsidRPr="00CE058E" w:rsidRDefault="00BF20DA" w:rsidP="007B41F8">
      <w:pPr>
        <w:pStyle w:val="Heading2"/>
      </w:pPr>
      <w:bookmarkStart w:id="388" w:name="_Toc151129728"/>
      <w:bookmarkStart w:id="389" w:name="_Toc158882579"/>
      <w:bookmarkStart w:id="390" w:name="_Toc158882640"/>
      <w:r w:rsidRPr="00CE058E">
        <w:t>Admitted m</w:t>
      </w:r>
      <w:r w:rsidR="00935107" w:rsidRPr="00CE058E">
        <w:t xml:space="preserve">ental </w:t>
      </w:r>
      <w:r w:rsidR="00301519" w:rsidRPr="00CE058E">
        <w:t xml:space="preserve">health </w:t>
      </w:r>
      <w:r w:rsidR="00935107" w:rsidRPr="00CE058E">
        <w:t>average cost</w:t>
      </w:r>
      <w:bookmarkEnd w:id="388"/>
      <w:bookmarkEnd w:id="389"/>
      <w:bookmarkEnd w:id="390"/>
    </w:p>
    <w:p w14:paraId="58A65A93" w14:textId="4428314F" w:rsidR="00440620" w:rsidRPr="00303546" w:rsidRDefault="001F079E" w:rsidP="00440620">
      <w:pPr>
        <w:spacing w:line="276" w:lineRule="auto"/>
        <w:rPr>
          <w:rFonts w:cs="Arial"/>
        </w:rPr>
      </w:pPr>
      <w:r>
        <w:rPr>
          <w:rFonts w:cs="Arial"/>
        </w:rPr>
        <w:fldChar w:fldCharType="begin"/>
      </w:r>
      <w:r>
        <w:rPr>
          <w:rFonts w:cs="Arial"/>
        </w:rPr>
        <w:instrText xml:space="preserve"> REF _Ref185849526 \h  \* MERGEFORMAT </w:instrText>
      </w:r>
      <w:r>
        <w:rPr>
          <w:rFonts w:cs="Arial"/>
        </w:rPr>
      </w:r>
      <w:r>
        <w:rPr>
          <w:rFonts w:cs="Arial"/>
        </w:rPr>
        <w:fldChar w:fldCharType="separate"/>
      </w:r>
      <w:r w:rsidR="00A9792C" w:rsidRPr="00303546">
        <w:rPr>
          <w:rStyle w:val="Cross-referenceChar"/>
        </w:rPr>
        <w:t>Figure</w:t>
      </w:r>
      <w:r w:rsidR="00A9792C" w:rsidRPr="00303546">
        <w:rPr>
          <w:rFonts w:cstheme="majorBidi"/>
          <w:color w:val="104F99" w:themeColor="accent2"/>
          <w:lang w:val="en-PH"/>
        </w:rPr>
        <w:t xml:space="preserve"> </w:t>
      </w:r>
      <w:r w:rsidR="00A9792C" w:rsidRPr="00A9792C">
        <w:rPr>
          <w:rFonts w:cstheme="majorBidi"/>
          <w:noProof/>
          <w:lang w:val="en-PH"/>
        </w:rPr>
        <w:t>25</w:t>
      </w:r>
      <w:r>
        <w:rPr>
          <w:rFonts w:cs="Arial"/>
        </w:rPr>
        <w:fldChar w:fldCharType="end"/>
      </w:r>
      <w:r w:rsidR="00F80BDE" w:rsidRPr="00303546">
        <w:rPr>
          <w:rFonts w:cs="Arial"/>
        </w:rPr>
        <w:t xml:space="preserve"> </w:t>
      </w:r>
      <w:r w:rsidR="00440620" w:rsidRPr="00303546">
        <w:rPr>
          <w:rFonts w:cs="Arial"/>
        </w:rPr>
        <w:t xml:space="preserve">shows the average cost of admitted mental health phases reported in the cost data from </w:t>
      </w:r>
      <w:r w:rsidR="008578F3" w:rsidRPr="00303546">
        <w:rPr>
          <w:rFonts w:cs="Arial"/>
        </w:rPr>
        <w:t>2020</w:t>
      </w:r>
      <w:r w:rsidR="00642924" w:rsidRPr="00303546">
        <w:rPr>
          <w:rFonts w:cs="Arial"/>
        </w:rPr>
        <w:noBreakHyphen/>
      </w:r>
      <w:r w:rsidR="008578F3" w:rsidRPr="00303546">
        <w:rPr>
          <w:rFonts w:cs="Arial"/>
        </w:rPr>
        <w:t>21</w:t>
      </w:r>
      <w:r w:rsidR="00440620" w:rsidRPr="00303546">
        <w:rPr>
          <w:rFonts w:cs="Arial"/>
        </w:rPr>
        <w:t xml:space="preserve"> to </w:t>
      </w:r>
      <w:r w:rsidR="00B82AA0" w:rsidRPr="00303546">
        <w:rPr>
          <w:rFonts w:cstheme="majorBidi"/>
          <w:lang w:val="en-PH"/>
        </w:rPr>
        <w:t>2022-23</w:t>
      </w:r>
      <w:r w:rsidR="00440620" w:rsidRPr="00303546">
        <w:rPr>
          <w:rFonts w:cs="Arial"/>
        </w:rPr>
        <w:t xml:space="preserve">. In </w:t>
      </w:r>
      <w:r w:rsidR="00B82AA0" w:rsidRPr="00303546">
        <w:rPr>
          <w:rFonts w:cstheme="majorBidi"/>
          <w:lang w:val="en-PH"/>
        </w:rPr>
        <w:t>2022-23</w:t>
      </w:r>
      <w:r w:rsidR="00440620" w:rsidRPr="00303546">
        <w:rPr>
          <w:rFonts w:cs="Arial"/>
        </w:rPr>
        <w:t xml:space="preserve">, the national average cost per admitted mental health phase was </w:t>
      </w:r>
      <w:r w:rsidR="00275494" w:rsidRPr="00303546">
        <w:rPr>
          <w:rFonts w:cs="Arial"/>
        </w:rPr>
        <w:t>$</w:t>
      </w:r>
      <w:r w:rsidR="007C6CE4" w:rsidRPr="00303546">
        <w:rPr>
          <w:rFonts w:cs="Arial"/>
        </w:rPr>
        <w:t>25,</w:t>
      </w:r>
      <w:r w:rsidR="00ED3AD1">
        <w:rPr>
          <w:rFonts w:cs="Arial"/>
        </w:rPr>
        <w:t>720</w:t>
      </w:r>
      <w:r w:rsidR="00275494" w:rsidRPr="00303546">
        <w:rPr>
          <w:rFonts w:cs="Arial"/>
        </w:rPr>
        <w:t>,</w:t>
      </w:r>
      <w:r w:rsidR="00440620" w:rsidRPr="00303546">
        <w:rPr>
          <w:rFonts w:cs="Arial"/>
        </w:rPr>
        <w:t xml:space="preserve"> a</w:t>
      </w:r>
      <w:r w:rsidR="0088130F" w:rsidRPr="00303546">
        <w:rPr>
          <w:rFonts w:cs="Arial"/>
        </w:rPr>
        <w:t>n</w:t>
      </w:r>
      <w:r w:rsidR="00440620" w:rsidRPr="00303546">
        <w:rPr>
          <w:rFonts w:cs="Arial"/>
        </w:rPr>
        <w:t xml:space="preserve"> </w:t>
      </w:r>
      <w:r w:rsidR="007C6CE4" w:rsidRPr="00303546">
        <w:rPr>
          <w:rFonts w:cs="Arial"/>
        </w:rPr>
        <w:t>8</w:t>
      </w:r>
      <w:r w:rsidR="00897090" w:rsidRPr="00303546">
        <w:rPr>
          <w:rFonts w:cs="Arial"/>
        </w:rPr>
        <w:t>%</w:t>
      </w:r>
      <w:r w:rsidR="00440620" w:rsidRPr="00303546">
        <w:rPr>
          <w:rFonts w:cs="Arial"/>
        </w:rPr>
        <w:t xml:space="preserve"> increase from the </w:t>
      </w:r>
      <w:r w:rsidR="00EE67A3" w:rsidRPr="00303546">
        <w:rPr>
          <w:rFonts w:cs="Arial"/>
        </w:rPr>
        <w:t>2021-22</w:t>
      </w:r>
      <w:r w:rsidR="00440620" w:rsidRPr="00303546">
        <w:rPr>
          <w:rFonts w:cs="Arial"/>
        </w:rPr>
        <w:t xml:space="preserve"> figure of $</w:t>
      </w:r>
      <w:r w:rsidR="00574290" w:rsidRPr="00303546">
        <w:rPr>
          <w:rFonts w:cs="Arial"/>
        </w:rPr>
        <w:t>23,888</w:t>
      </w:r>
      <w:r w:rsidR="00440620" w:rsidRPr="00303546">
        <w:rPr>
          <w:rFonts w:cs="Arial"/>
        </w:rPr>
        <w:t xml:space="preserve">. In </w:t>
      </w:r>
      <w:r w:rsidR="00B82AA0" w:rsidRPr="00303546">
        <w:rPr>
          <w:rFonts w:cstheme="majorBidi"/>
          <w:lang w:val="en-PH"/>
        </w:rPr>
        <w:t>2022-23</w:t>
      </w:r>
      <w:r w:rsidR="00440620" w:rsidRPr="00303546">
        <w:rPr>
          <w:rFonts w:cs="Arial"/>
        </w:rPr>
        <w:t xml:space="preserve">, the average cost per </w:t>
      </w:r>
      <w:r w:rsidR="00D84CAB" w:rsidRPr="00303546">
        <w:rPr>
          <w:rFonts w:cs="Arial"/>
        </w:rPr>
        <w:t>phase</w:t>
      </w:r>
      <w:r w:rsidR="00440620" w:rsidRPr="00303546">
        <w:rPr>
          <w:rFonts w:cs="Arial"/>
        </w:rPr>
        <w:t xml:space="preserve"> at the jurisdictional level ranged from </w:t>
      </w:r>
      <w:r w:rsidR="00275494" w:rsidRPr="00303546">
        <w:rPr>
          <w:rFonts w:cs="Arial"/>
        </w:rPr>
        <w:t>$</w:t>
      </w:r>
      <w:r w:rsidR="007C6CE4" w:rsidRPr="00303546">
        <w:rPr>
          <w:rFonts w:cs="Arial"/>
        </w:rPr>
        <w:t>23,713</w:t>
      </w:r>
      <w:r w:rsidR="00574290" w:rsidRPr="00303546">
        <w:rPr>
          <w:rFonts w:cs="Arial"/>
        </w:rPr>
        <w:t xml:space="preserve"> </w:t>
      </w:r>
      <w:r w:rsidR="00275494" w:rsidRPr="00303546">
        <w:rPr>
          <w:rFonts w:cs="Arial"/>
        </w:rPr>
        <w:t>(NSW) to $</w:t>
      </w:r>
      <w:r w:rsidR="00574290" w:rsidRPr="00303546">
        <w:rPr>
          <w:rFonts w:cs="Arial"/>
        </w:rPr>
        <w:t>29,</w:t>
      </w:r>
      <w:r w:rsidR="00AD0595">
        <w:rPr>
          <w:rFonts w:cs="Arial"/>
        </w:rPr>
        <w:t>346</w:t>
      </w:r>
      <w:r w:rsidR="007C6CE4" w:rsidRPr="00303546">
        <w:rPr>
          <w:rFonts w:cs="Arial"/>
        </w:rPr>
        <w:t xml:space="preserve"> </w:t>
      </w:r>
      <w:r w:rsidR="00275494" w:rsidRPr="00303546">
        <w:rPr>
          <w:rFonts w:cs="Arial"/>
        </w:rPr>
        <w:t>(</w:t>
      </w:r>
      <w:r w:rsidR="00574290" w:rsidRPr="00303546">
        <w:rPr>
          <w:rFonts w:cs="Arial"/>
        </w:rPr>
        <w:t>Victoria</w:t>
      </w:r>
      <w:r w:rsidR="00275494" w:rsidRPr="00303546">
        <w:rPr>
          <w:rFonts w:cs="Arial"/>
        </w:rPr>
        <w:t>)</w:t>
      </w:r>
      <w:r w:rsidR="00440620" w:rsidRPr="00303546">
        <w:rPr>
          <w:rFonts w:cs="Arial"/>
        </w:rPr>
        <w:t>.</w:t>
      </w:r>
      <w:r w:rsidR="00460893" w:rsidRPr="00303546">
        <w:rPr>
          <w:rFonts w:cs="Arial"/>
        </w:rPr>
        <w:t xml:space="preserve"> </w:t>
      </w:r>
      <w:r w:rsidR="009D2E00" w:rsidRPr="00303546">
        <w:rPr>
          <w:rFonts w:cs="Arial"/>
        </w:rPr>
        <w:t>It should be noted that</w:t>
      </w:r>
      <w:r w:rsidR="00CB391B" w:rsidRPr="00303546">
        <w:rPr>
          <w:rFonts w:cs="Arial"/>
        </w:rPr>
        <w:t xml:space="preserve"> WA, Tasmania, NT, and the ACT </w:t>
      </w:r>
      <w:r w:rsidR="00CB391B" w:rsidRPr="00E538CF">
        <w:t>have not reported phase level cost data for the last 3 years.</w:t>
      </w:r>
    </w:p>
    <w:p w14:paraId="24C1D953" w14:textId="4F21056A" w:rsidR="008D0CA7" w:rsidRDefault="00DD29C5" w:rsidP="00303546">
      <w:pPr>
        <w:pStyle w:val="TableFigureheading"/>
        <w:rPr>
          <w:color w:val="auto"/>
        </w:rPr>
      </w:pPr>
      <w:bookmarkStart w:id="391" w:name="_Ref185849526"/>
      <w:bookmarkStart w:id="392" w:name="_Toc187312121"/>
      <w:r w:rsidRPr="0093558C">
        <w:rPr>
          <w:lang w:val="en-PH"/>
        </w:rPr>
        <w:t xml:space="preserve">Figure </w:t>
      </w:r>
      <w:r w:rsidRPr="0093558C">
        <w:rPr>
          <w:lang w:val="en-PH"/>
        </w:rPr>
        <w:fldChar w:fldCharType="begin"/>
      </w:r>
      <w:r w:rsidRPr="0093558C">
        <w:rPr>
          <w:lang w:val="en-PH"/>
        </w:rPr>
        <w:instrText xml:space="preserve"> SEQ Figure \* ARABIC </w:instrText>
      </w:r>
      <w:r w:rsidRPr="0093558C">
        <w:rPr>
          <w:lang w:val="en-PH"/>
        </w:rPr>
        <w:fldChar w:fldCharType="separate"/>
      </w:r>
      <w:r w:rsidR="00A9792C">
        <w:rPr>
          <w:noProof/>
          <w:lang w:val="en-PH"/>
        </w:rPr>
        <w:t>25</w:t>
      </w:r>
      <w:r w:rsidRPr="0093558C">
        <w:rPr>
          <w:lang w:val="en-PH"/>
        </w:rPr>
        <w:fldChar w:fldCharType="end"/>
      </w:r>
      <w:bookmarkEnd w:id="391"/>
      <w:r w:rsidRPr="0093558C">
        <w:rPr>
          <w:lang w:val="en-PH"/>
        </w:rPr>
        <w:t xml:space="preserve">: </w:t>
      </w:r>
      <w:bookmarkStart w:id="393" w:name="_Toc151116362"/>
      <w:r w:rsidR="00154D7E">
        <w:rPr>
          <w:lang w:val="en-PH"/>
        </w:rPr>
        <w:t xml:space="preserve">Average cost per admitted mental health </w:t>
      </w:r>
      <w:r w:rsidR="009B604F" w:rsidRPr="0093558C">
        <w:rPr>
          <w:lang w:val="en-PH"/>
        </w:rPr>
        <w:t>phase</w:t>
      </w:r>
      <w:r w:rsidR="00154D7E">
        <w:rPr>
          <w:lang w:val="en-PH"/>
        </w:rPr>
        <w:t>s</w:t>
      </w:r>
      <w:r w:rsidR="009B604F" w:rsidRPr="0093558C">
        <w:rPr>
          <w:lang w:val="en-PH"/>
        </w:rPr>
        <w:t xml:space="preserve"> </w:t>
      </w:r>
      <w:r w:rsidR="00154D7E">
        <w:t>by jurisdiction</w:t>
      </w:r>
      <w:r w:rsidR="00A82091" w:rsidRPr="0093558C">
        <w:rPr>
          <w:lang w:val="en-PH"/>
        </w:rPr>
        <w:t xml:space="preserve">, </w:t>
      </w:r>
      <w:r w:rsidR="008578F3" w:rsidRPr="00D73FCC">
        <w:rPr>
          <w:lang w:val="en-PH"/>
        </w:rPr>
        <w:t>2020-21</w:t>
      </w:r>
      <w:r w:rsidR="00A82091" w:rsidRPr="0093558C">
        <w:rPr>
          <w:lang w:val="en-PH"/>
        </w:rPr>
        <w:t xml:space="preserve"> to </w:t>
      </w:r>
      <w:r w:rsidR="00B82AA0" w:rsidRPr="008B2CD8">
        <w:rPr>
          <w:lang w:val="en-PH"/>
        </w:rPr>
        <w:t>202</w:t>
      </w:r>
      <w:r w:rsidR="00B82AA0">
        <w:rPr>
          <w:lang w:val="en-PH"/>
        </w:rPr>
        <w:t>2</w:t>
      </w:r>
      <w:r w:rsidR="00B82AA0" w:rsidRPr="008B2CD8">
        <w:rPr>
          <w:lang w:val="en-PH"/>
        </w:rPr>
        <w:t>-2</w:t>
      </w:r>
      <w:r w:rsidR="00B82AA0">
        <w:rPr>
          <w:lang w:val="en-PH"/>
        </w:rPr>
        <w:t>3</w:t>
      </w:r>
      <w:bookmarkEnd w:id="392"/>
      <w:bookmarkEnd w:id="393"/>
    </w:p>
    <w:p w14:paraId="2F5CFD75" w14:textId="54F878AB" w:rsidR="00F80DBA" w:rsidRDefault="00F80DBA" w:rsidP="003D11EB">
      <w:pPr>
        <w:spacing w:line="276" w:lineRule="auto"/>
        <w:jc w:val="center"/>
        <w:rPr>
          <w:rFonts w:cs="Arial"/>
          <w:color w:val="auto"/>
        </w:rPr>
      </w:pPr>
      <w:r>
        <w:rPr>
          <w:noProof/>
        </w:rPr>
        <w:drawing>
          <wp:inline distT="0" distB="0" distL="0" distR="0" wp14:anchorId="6AD1A377" wp14:editId="50357CE5">
            <wp:extent cx="6188400" cy="2430000"/>
            <wp:effectExtent l="0" t="0" r="3175" b="8890"/>
            <wp:docPr id="1253095943" name="Chart 1">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D397E6F" w14:textId="7187BD5E" w:rsidR="00F80BDE" w:rsidRPr="00303546" w:rsidRDefault="00F80BDE" w:rsidP="003D11EB">
      <w:pPr>
        <w:spacing w:line="276" w:lineRule="auto"/>
        <w:rPr>
          <w:rFonts w:cs="Arial"/>
        </w:rPr>
      </w:pPr>
      <w:r w:rsidRPr="00303546">
        <w:rPr>
          <w:rFonts w:cs="Arial"/>
        </w:rPr>
        <w:t xml:space="preserve">In </w:t>
      </w:r>
      <w:r w:rsidR="00B82AA0" w:rsidRPr="00303546">
        <w:rPr>
          <w:rFonts w:cstheme="majorBidi"/>
          <w:lang w:val="en-PH"/>
        </w:rPr>
        <w:t>2022-23</w:t>
      </w:r>
      <w:r w:rsidRPr="00303546">
        <w:rPr>
          <w:rFonts w:cs="Arial"/>
        </w:rPr>
        <w:t>, the national average cost per admitted mental health episode was $</w:t>
      </w:r>
      <w:r w:rsidR="00574290" w:rsidRPr="00303546">
        <w:rPr>
          <w:rFonts w:cs="Arial"/>
        </w:rPr>
        <w:t>20,97</w:t>
      </w:r>
      <w:r w:rsidR="007C6CE4" w:rsidRPr="00303546">
        <w:rPr>
          <w:rFonts w:cs="Arial"/>
        </w:rPr>
        <w:t>5</w:t>
      </w:r>
      <w:r w:rsidRPr="00303546">
        <w:rPr>
          <w:rFonts w:cs="Arial"/>
        </w:rPr>
        <w:t xml:space="preserve">, a </w:t>
      </w:r>
      <w:r w:rsidR="0088130F" w:rsidRPr="00303546">
        <w:rPr>
          <w:rFonts w:cs="Arial"/>
        </w:rPr>
        <w:t>12</w:t>
      </w:r>
      <w:r w:rsidR="00897090" w:rsidRPr="00303546">
        <w:rPr>
          <w:rFonts w:cs="Arial"/>
        </w:rPr>
        <w:t>%</w:t>
      </w:r>
      <w:r w:rsidRPr="00303546">
        <w:rPr>
          <w:rFonts w:cs="Arial"/>
        </w:rPr>
        <w:t xml:space="preserve"> </w:t>
      </w:r>
      <w:r w:rsidR="0088130F" w:rsidRPr="00303546">
        <w:rPr>
          <w:rFonts w:cs="Arial"/>
        </w:rPr>
        <w:t>de</w:t>
      </w:r>
      <w:r w:rsidRPr="00303546">
        <w:rPr>
          <w:rFonts w:cs="Arial"/>
        </w:rPr>
        <w:t xml:space="preserve">crease from the </w:t>
      </w:r>
      <w:r w:rsidR="00EE67A3" w:rsidRPr="00303546">
        <w:rPr>
          <w:rFonts w:cs="Arial"/>
        </w:rPr>
        <w:t>2021-22</w:t>
      </w:r>
      <w:r w:rsidRPr="00303546">
        <w:rPr>
          <w:rFonts w:cs="Arial"/>
        </w:rPr>
        <w:t xml:space="preserve"> figure of $</w:t>
      </w:r>
      <w:r w:rsidR="00574290" w:rsidRPr="00303546">
        <w:rPr>
          <w:rFonts w:cs="Arial"/>
        </w:rPr>
        <w:t>23,910</w:t>
      </w:r>
      <w:r w:rsidRPr="00303546">
        <w:rPr>
          <w:rFonts w:cs="Arial"/>
        </w:rPr>
        <w:t xml:space="preserve">. In </w:t>
      </w:r>
      <w:r w:rsidR="00B82AA0" w:rsidRPr="00303546">
        <w:rPr>
          <w:rFonts w:cstheme="majorBidi"/>
          <w:lang w:val="en-PH"/>
        </w:rPr>
        <w:t>2022-23</w:t>
      </w:r>
      <w:r w:rsidRPr="00303546">
        <w:rPr>
          <w:rFonts w:cs="Arial"/>
        </w:rPr>
        <w:t>, the average cost per episode at the jurisdictional level ranged from $</w:t>
      </w:r>
      <w:r w:rsidR="00574290" w:rsidRPr="00303546">
        <w:rPr>
          <w:rFonts w:cs="Arial"/>
        </w:rPr>
        <w:t>4,589</w:t>
      </w:r>
      <w:r w:rsidRPr="00303546">
        <w:rPr>
          <w:rFonts w:cs="Arial"/>
        </w:rPr>
        <w:t xml:space="preserve"> (</w:t>
      </w:r>
      <w:r w:rsidR="00574290" w:rsidRPr="00303546">
        <w:rPr>
          <w:rFonts w:cs="Arial"/>
        </w:rPr>
        <w:t>Queensland</w:t>
      </w:r>
      <w:r w:rsidRPr="00303546">
        <w:rPr>
          <w:rFonts w:cs="Arial"/>
        </w:rPr>
        <w:t>) to $</w:t>
      </w:r>
      <w:r w:rsidR="00574290" w:rsidRPr="00303546">
        <w:rPr>
          <w:rFonts w:cs="Arial"/>
        </w:rPr>
        <w:t>45,</w:t>
      </w:r>
      <w:r w:rsidR="007C6CE4" w:rsidRPr="00303546">
        <w:rPr>
          <w:rFonts w:cs="Arial"/>
        </w:rPr>
        <w:t xml:space="preserve">299 </w:t>
      </w:r>
      <w:r w:rsidRPr="00303546">
        <w:rPr>
          <w:rFonts w:cs="Arial"/>
        </w:rPr>
        <w:t>(</w:t>
      </w:r>
      <w:r w:rsidR="00574290" w:rsidRPr="00303546">
        <w:rPr>
          <w:rFonts w:cs="Arial"/>
        </w:rPr>
        <w:t>Victoria</w:t>
      </w:r>
      <w:r w:rsidRPr="00303546">
        <w:rPr>
          <w:rFonts w:cs="Arial"/>
        </w:rPr>
        <w:t>).</w:t>
      </w:r>
    </w:p>
    <w:p w14:paraId="6140D096" w14:textId="62D57C8A" w:rsidR="00422B1A" w:rsidRPr="000F21B4" w:rsidRDefault="00422B1A" w:rsidP="00422B1A">
      <w:pPr>
        <w:pStyle w:val="Heading3"/>
        <w:rPr>
          <w:sz w:val="28"/>
          <w:szCs w:val="28"/>
        </w:rPr>
      </w:pPr>
      <w:bookmarkStart w:id="394" w:name="_Toc151129729"/>
      <w:bookmarkStart w:id="395" w:name="_Toc158882580"/>
      <w:bookmarkStart w:id="396" w:name="_Toc158882641"/>
      <w:r w:rsidRPr="000F21B4">
        <w:rPr>
          <w:sz w:val="28"/>
          <w:szCs w:val="28"/>
        </w:rPr>
        <w:lastRenderedPageBreak/>
        <w:t xml:space="preserve">Admitted mental health </w:t>
      </w:r>
      <w:r w:rsidR="009B1CEB">
        <w:rPr>
          <w:sz w:val="28"/>
          <w:szCs w:val="28"/>
        </w:rPr>
        <w:t xml:space="preserve">phase </w:t>
      </w:r>
      <w:r w:rsidRPr="000F21B4">
        <w:rPr>
          <w:sz w:val="28"/>
          <w:szCs w:val="28"/>
        </w:rPr>
        <w:t>cost buckets</w:t>
      </w:r>
      <w:bookmarkEnd w:id="394"/>
      <w:bookmarkEnd w:id="395"/>
      <w:bookmarkEnd w:id="396"/>
    </w:p>
    <w:p w14:paraId="7E67248D" w14:textId="5B3A1136" w:rsidR="009B1CEB" w:rsidRDefault="008D51CA" w:rsidP="00070481">
      <w:pPr>
        <w:spacing w:line="276" w:lineRule="auto"/>
        <w:rPr>
          <w:rFonts w:cs="Arial"/>
          <w:color w:val="auto"/>
        </w:rPr>
      </w:pPr>
      <w:r>
        <w:rPr>
          <w:rFonts w:cs="Arial"/>
        </w:rPr>
        <w:fldChar w:fldCharType="begin"/>
      </w:r>
      <w:r>
        <w:rPr>
          <w:rFonts w:cs="Arial"/>
        </w:rPr>
        <w:instrText xml:space="preserve"> REF _Ref185849594 \h  \* MERGEFORMAT </w:instrText>
      </w:r>
      <w:r>
        <w:rPr>
          <w:rFonts w:cs="Arial"/>
        </w:rPr>
      </w:r>
      <w:r>
        <w:rPr>
          <w:rFonts w:cs="Arial"/>
        </w:rPr>
        <w:fldChar w:fldCharType="separate"/>
      </w:r>
      <w:r w:rsidR="00A9792C" w:rsidRPr="00303546">
        <w:rPr>
          <w:rStyle w:val="Cross-referenceChar"/>
        </w:rPr>
        <w:t>Figure</w:t>
      </w:r>
      <w:r w:rsidR="00A9792C" w:rsidRPr="00303546">
        <w:rPr>
          <w:rFonts w:cstheme="majorBidi"/>
          <w:color w:val="104F99" w:themeColor="accent2"/>
          <w:lang w:val="en-PH"/>
        </w:rPr>
        <w:t xml:space="preserve"> </w:t>
      </w:r>
      <w:r w:rsidR="00A9792C" w:rsidRPr="00A9792C">
        <w:rPr>
          <w:rFonts w:cstheme="majorBidi"/>
          <w:noProof/>
          <w:lang w:val="en-PH"/>
        </w:rPr>
        <w:t>26</w:t>
      </w:r>
      <w:r>
        <w:rPr>
          <w:rFonts w:cs="Arial"/>
        </w:rPr>
        <w:fldChar w:fldCharType="end"/>
      </w:r>
      <w:r w:rsidR="00B321D5" w:rsidRPr="00303546">
        <w:rPr>
          <w:rFonts w:cs="Arial"/>
        </w:rPr>
        <w:t xml:space="preserve"> </w:t>
      </w:r>
      <w:r w:rsidR="002C33E7" w:rsidRPr="00303546">
        <w:rPr>
          <w:rFonts w:cs="Arial"/>
        </w:rPr>
        <w:t xml:space="preserve">shows the </w:t>
      </w:r>
      <w:r w:rsidR="00F10819">
        <w:rPr>
          <w:rFonts w:cs="Arial"/>
        </w:rPr>
        <w:t xml:space="preserve">top 10 cost buckets contributing to the national </w:t>
      </w:r>
      <w:r w:rsidR="002C33E7" w:rsidRPr="00303546">
        <w:rPr>
          <w:rFonts w:cs="Arial"/>
        </w:rPr>
        <w:t xml:space="preserve">admitted mental health average cost </w:t>
      </w:r>
      <w:r w:rsidR="00F10819">
        <w:rPr>
          <w:rFonts w:cs="Arial"/>
        </w:rPr>
        <w:t xml:space="preserve">for </w:t>
      </w:r>
      <w:r w:rsidR="00460893" w:rsidRPr="00303546">
        <w:rPr>
          <w:rFonts w:cs="Arial"/>
        </w:rPr>
        <w:t>2022-23</w:t>
      </w:r>
      <w:r w:rsidR="00B321D5" w:rsidRPr="00303546">
        <w:rPr>
          <w:rFonts w:cs="Arial"/>
        </w:rPr>
        <w:t xml:space="preserve">, </w:t>
      </w:r>
      <w:r w:rsidR="00AB1CB9">
        <w:rPr>
          <w:rFonts w:cs="Arial"/>
        </w:rPr>
        <w:t xml:space="preserve">in comparison to </w:t>
      </w:r>
      <w:r w:rsidR="008578F3" w:rsidRPr="00303546">
        <w:rPr>
          <w:rFonts w:cs="Arial"/>
        </w:rPr>
        <w:t>2020-21</w:t>
      </w:r>
      <w:r w:rsidR="002C33E7" w:rsidRPr="00303546">
        <w:rPr>
          <w:rFonts w:cs="Arial"/>
        </w:rPr>
        <w:t xml:space="preserve"> to </w:t>
      </w:r>
      <w:r w:rsidR="00B82AA0" w:rsidRPr="00303546">
        <w:rPr>
          <w:rFonts w:cstheme="majorBidi"/>
          <w:lang w:val="en-PH"/>
        </w:rPr>
        <w:t>202</w:t>
      </w:r>
      <w:r w:rsidR="00AB1CB9">
        <w:rPr>
          <w:rFonts w:cstheme="majorBidi"/>
          <w:lang w:val="en-PH"/>
        </w:rPr>
        <w:t>1</w:t>
      </w:r>
      <w:r w:rsidR="00B82AA0" w:rsidRPr="00303546">
        <w:rPr>
          <w:rFonts w:cstheme="majorBidi"/>
          <w:lang w:val="en-PH"/>
        </w:rPr>
        <w:t>-2</w:t>
      </w:r>
      <w:r w:rsidR="00AB1CB9">
        <w:rPr>
          <w:rFonts w:cstheme="majorBidi"/>
          <w:lang w:val="en-PH"/>
        </w:rPr>
        <w:t>2</w:t>
      </w:r>
      <w:r w:rsidR="002C33E7" w:rsidRPr="00303546">
        <w:rPr>
          <w:rFonts w:cs="Arial"/>
        </w:rPr>
        <w:t xml:space="preserve">. In </w:t>
      </w:r>
      <w:r w:rsidR="00B82AA0" w:rsidRPr="00303546">
        <w:rPr>
          <w:rFonts w:cstheme="majorBidi"/>
          <w:lang w:val="en-PH"/>
        </w:rPr>
        <w:t>2022-23</w:t>
      </w:r>
      <w:r w:rsidR="002C33E7" w:rsidRPr="00303546">
        <w:rPr>
          <w:rFonts w:cs="Arial"/>
        </w:rPr>
        <w:t xml:space="preserve">, the national average cost per admitted mental health </w:t>
      </w:r>
      <w:r w:rsidR="00696803" w:rsidRPr="00303546">
        <w:rPr>
          <w:rFonts w:cs="Arial"/>
        </w:rPr>
        <w:t>phase</w:t>
      </w:r>
      <w:r w:rsidR="002C33E7" w:rsidRPr="00303546">
        <w:rPr>
          <w:rFonts w:cs="Arial"/>
        </w:rPr>
        <w:t xml:space="preserve"> was $</w:t>
      </w:r>
      <w:r w:rsidR="00F916C8" w:rsidRPr="00303546">
        <w:rPr>
          <w:rFonts w:cs="Arial"/>
        </w:rPr>
        <w:t>25,</w:t>
      </w:r>
      <w:r w:rsidR="009234D3">
        <w:rPr>
          <w:rFonts w:cs="Arial"/>
        </w:rPr>
        <w:t>720</w:t>
      </w:r>
      <w:r w:rsidR="002C33E7" w:rsidRPr="00303546">
        <w:rPr>
          <w:rFonts w:cs="Arial"/>
        </w:rPr>
        <w:t>, a</w:t>
      </w:r>
      <w:r w:rsidR="009A703F" w:rsidRPr="00303546">
        <w:rPr>
          <w:rFonts w:cs="Arial"/>
        </w:rPr>
        <w:t>n</w:t>
      </w:r>
      <w:r w:rsidR="002C33E7" w:rsidRPr="00303546">
        <w:rPr>
          <w:rFonts w:cs="Arial"/>
        </w:rPr>
        <w:t xml:space="preserve"> </w:t>
      </w:r>
      <w:r w:rsidR="00B61D24" w:rsidRPr="00303546">
        <w:rPr>
          <w:rFonts w:cs="Arial"/>
        </w:rPr>
        <w:t>8</w:t>
      </w:r>
      <w:r w:rsidR="00897090" w:rsidRPr="00303546">
        <w:rPr>
          <w:rFonts w:cs="Arial"/>
        </w:rPr>
        <w:t>%</w:t>
      </w:r>
      <w:r w:rsidR="002C33E7" w:rsidRPr="00303546">
        <w:rPr>
          <w:rFonts w:cs="Arial"/>
        </w:rPr>
        <w:t xml:space="preserve"> increase from the </w:t>
      </w:r>
      <w:r w:rsidR="00EE67A3" w:rsidRPr="00303546">
        <w:rPr>
          <w:rFonts w:cs="Arial"/>
        </w:rPr>
        <w:t>2021-22</w:t>
      </w:r>
      <w:r w:rsidR="002C33E7" w:rsidRPr="00303546">
        <w:rPr>
          <w:rFonts w:cs="Arial"/>
        </w:rPr>
        <w:t xml:space="preserve"> figure of $</w:t>
      </w:r>
      <w:r w:rsidR="009A703F" w:rsidRPr="00303546">
        <w:rPr>
          <w:rFonts w:cs="Arial"/>
        </w:rPr>
        <w:t>23,888</w:t>
      </w:r>
      <w:r w:rsidR="002C33E7" w:rsidRPr="00303546">
        <w:rPr>
          <w:rFonts w:cs="Arial"/>
        </w:rPr>
        <w:t>.</w:t>
      </w:r>
      <w:r w:rsidR="00AA0720" w:rsidRPr="00303546">
        <w:rPr>
          <w:rFonts w:cs="Arial"/>
        </w:rPr>
        <w:t xml:space="preserve"> </w:t>
      </w:r>
      <w:r w:rsidR="006F24F8" w:rsidRPr="00303546">
        <w:rPr>
          <w:rFonts w:cs="Arial"/>
        </w:rPr>
        <w:t>Further detail on</w:t>
      </w:r>
      <w:r w:rsidR="00AA0720" w:rsidRPr="00303546">
        <w:rPr>
          <w:rFonts w:cs="Arial"/>
        </w:rPr>
        <w:t xml:space="preserve"> all admitted mental health phase cost by cost bucket is available in the</w:t>
      </w:r>
      <w:r w:rsidR="00AA0720" w:rsidRPr="00AA0720">
        <w:rPr>
          <w:rFonts w:cs="Arial"/>
          <w:color w:val="auto"/>
        </w:rPr>
        <w:t xml:space="preserve"> </w:t>
      </w:r>
      <w:hyperlink r:id="rId62" w:history="1">
        <w:r w:rsidR="00AA0720" w:rsidRPr="00AA0720">
          <w:rPr>
            <w:rStyle w:val="Hyperlink"/>
            <w:rFonts w:cs="Arial"/>
          </w:rPr>
          <w:t>Appendix Tables</w:t>
        </w:r>
      </w:hyperlink>
      <w:r w:rsidR="00AA0720" w:rsidRPr="00AA0720">
        <w:rPr>
          <w:rFonts w:cs="Arial"/>
          <w:color w:val="auto"/>
        </w:rPr>
        <w:t>.</w:t>
      </w:r>
    </w:p>
    <w:p w14:paraId="4D009F3A" w14:textId="4CEA2D5B" w:rsidR="009B1CEB" w:rsidRDefault="009B1CEB" w:rsidP="00303546">
      <w:pPr>
        <w:pStyle w:val="TableFigureheading"/>
        <w:rPr>
          <w:lang w:val="en-PH"/>
        </w:rPr>
      </w:pPr>
      <w:bookmarkStart w:id="397" w:name="_Ref185849594"/>
      <w:bookmarkStart w:id="398" w:name="_Toc187312122"/>
      <w:r w:rsidRPr="0093558C">
        <w:rPr>
          <w:lang w:val="en-PH"/>
        </w:rPr>
        <w:t xml:space="preserve">Figure </w:t>
      </w:r>
      <w:r w:rsidRPr="0093558C">
        <w:rPr>
          <w:iCs w:val="0"/>
          <w:lang w:val="en-PH"/>
        </w:rPr>
        <w:fldChar w:fldCharType="begin"/>
      </w:r>
      <w:r w:rsidRPr="0093558C">
        <w:rPr>
          <w:lang w:val="en-PH"/>
        </w:rPr>
        <w:instrText xml:space="preserve"> SEQ Figure \* ARABIC </w:instrText>
      </w:r>
      <w:r w:rsidRPr="0093558C">
        <w:rPr>
          <w:iCs w:val="0"/>
          <w:lang w:val="en-PH"/>
        </w:rPr>
        <w:fldChar w:fldCharType="separate"/>
      </w:r>
      <w:r w:rsidR="00A9792C">
        <w:rPr>
          <w:noProof/>
          <w:lang w:val="en-PH"/>
        </w:rPr>
        <w:t>26</w:t>
      </w:r>
      <w:r w:rsidRPr="0093558C">
        <w:rPr>
          <w:iCs w:val="0"/>
          <w:lang w:val="en-PH"/>
        </w:rPr>
        <w:fldChar w:fldCharType="end"/>
      </w:r>
      <w:bookmarkEnd w:id="397"/>
      <w:r w:rsidRPr="0093558C">
        <w:rPr>
          <w:lang w:val="en-PH"/>
        </w:rPr>
        <w:t xml:space="preserve">: </w:t>
      </w:r>
      <w:r w:rsidR="00D640B7">
        <w:rPr>
          <w:lang w:val="en-PH"/>
        </w:rPr>
        <w:t>Top 10 cost buckets in admitted mental health phase</w:t>
      </w:r>
      <w:r w:rsidR="00BE5D31">
        <w:rPr>
          <w:lang w:val="en-PH"/>
        </w:rPr>
        <w:t>s</w:t>
      </w:r>
      <w:r w:rsidRPr="0093558C">
        <w:rPr>
          <w:lang w:val="en-PH"/>
        </w:rPr>
        <w:t xml:space="preserve">, </w:t>
      </w:r>
      <w:r w:rsidRPr="00D73FCC">
        <w:rPr>
          <w:lang w:val="en-PH"/>
        </w:rPr>
        <w:t>2020-21</w:t>
      </w:r>
      <w:r w:rsidRPr="0093558C">
        <w:rPr>
          <w:lang w:val="en-PH"/>
        </w:rPr>
        <w:t xml:space="preserve"> to </w:t>
      </w:r>
      <w:r w:rsidRPr="008B2CD8">
        <w:rPr>
          <w:lang w:val="en-PH"/>
        </w:rPr>
        <w:t>202</w:t>
      </w:r>
      <w:r>
        <w:rPr>
          <w:lang w:val="en-PH"/>
        </w:rPr>
        <w:t>2</w:t>
      </w:r>
      <w:r w:rsidRPr="008B2CD8">
        <w:rPr>
          <w:lang w:val="en-PH"/>
        </w:rPr>
        <w:t>-2</w:t>
      </w:r>
      <w:r>
        <w:rPr>
          <w:lang w:val="en-PH"/>
        </w:rPr>
        <w:t>3</w:t>
      </w:r>
      <w:bookmarkEnd w:id="398"/>
    </w:p>
    <w:p w14:paraId="6F043745" w14:textId="5DB31D55" w:rsidR="00C32D8F" w:rsidRDefault="00C32D8F" w:rsidP="0007638E">
      <w:pPr>
        <w:rPr>
          <w:highlight w:val="yellow"/>
        </w:rPr>
      </w:pPr>
      <w:r>
        <w:rPr>
          <w:noProof/>
        </w:rPr>
        <w:drawing>
          <wp:inline distT="0" distB="0" distL="0" distR="0" wp14:anchorId="22BAA9CC" wp14:editId="1735D567">
            <wp:extent cx="6188710" cy="2197100"/>
            <wp:effectExtent l="0" t="0" r="2540" b="0"/>
            <wp:docPr id="161605270" name="Chart 1">
              <a:extLst xmlns:a="http://schemas.openxmlformats.org/drawingml/2006/main">
                <a:ext uri="{FF2B5EF4-FFF2-40B4-BE49-F238E27FC236}">
                  <a16:creationId xmlns:a16="http://schemas.microsoft.com/office/drawing/2014/main" id="{4B4F0DEF-67B3-458E-B246-93FCD3B83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A9CAF22" w14:textId="7F6E88D7" w:rsidR="009A703F" w:rsidRPr="00530E79" w:rsidRDefault="00673919" w:rsidP="0007638E">
      <w:r>
        <w:fldChar w:fldCharType="begin"/>
      </w:r>
      <w:r>
        <w:instrText xml:space="preserve"> REF _Ref185849786 \h </w:instrText>
      </w:r>
      <w:r>
        <w:fldChar w:fldCharType="separate"/>
      </w:r>
      <w:r>
        <w:rPr>
          <w:lang w:val="en-PH"/>
        </w:rPr>
        <w:t>Table</w:t>
      </w:r>
      <w:r w:rsidRPr="0093558C">
        <w:rPr>
          <w:lang w:val="en-PH"/>
        </w:rPr>
        <w:t xml:space="preserve"> </w:t>
      </w:r>
      <w:r>
        <w:rPr>
          <w:noProof/>
          <w:lang w:val="en-PH"/>
        </w:rPr>
        <w:t>29</w:t>
      </w:r>
      <w:r>
        <w:fldChar w:fldCharType="end"/>
      </w:r>
      <w:r w:rsidR="00ED2455" w:rsidRPr="00575789">
        <w:t xml:space="preserve"> </w:t>
      </w:r>
      <w:r w:rsidR="00A66B31" w:rsidRPr="00575789">
        <w:t xml:space="preserve">shows the </w:t>
      </w:r>
      <w:r w:rsidR="00835BE9">
        <w:t xml:space="preserve">admitted mental health phase </w:t>
      </w:r>
      <w:r w:rsidR="00A66B31" w:rsidRPr="00575789">
        <w:t>average cost for 2021-22</w:t>
      </w:r>
      <w:r w:rsidR="00460893">
        <w:t xml:space="preserve"> and</w:t>
      </w:r>
      <w:r w:rsidR="00A66B31" w:rsidRPr="00575789">
        <w:t xml:space="preserve"> 2022-23, </w:t>
      </w:r>
      <w:r w:rsidR="000F2053">
        <w:t xml:space="preserve">distribution of </w:t>
      </w:r>
      <w:r w:rsidR="00A66B31" w:rsidRPr="00575789">
        <w:t xml:space="preserve">cost </w:t>
      </w:r>
      <w:r w:rsidR="000F2053">
        <w:t xml:space="preserve">in </w:t>
      </w:r>
      <w:r w:rsidR="00A66B31" w:rsidRPr="00575789">
        <w:t xml:space="preserve">2022-23, </w:t>
      </w:r>
      <w:r w:rsidR="000F2053">
        <w:t xml:space="preserve">percentage </w:t>
      </w:r>
      <w:r w:rsidR="00A66B31" w:rsidRPr="00E538CF">
        <w:t>change</w:t>
      </w:r>
      <w:r w:rsidR="000F2053">
        <w:t xml:space="preserve"> and actual change by cost bucket</w:t>
      </w:r>
      <w:r w:rsidR="00A66B31" w:rsidRPr="00E538CF">
        <w:t xml:space="preserve"> from 2021-22 to 2022-23. </w:t>
      </w:r>
      <w:r w:rsidR="009156E0">
        <w:t>N</w:t>
      </w:r>
      <w:r w:rsidR="009156E0" w:rsidRPr="00E538CF">
        <w:t>ursing, medical, non-clinical, on-costs, and clinical supplies accounted for 83% of the average cost per AMHCC phase nationally.</w:t>
      </w:r>
      <w:r w:rsidR="009156E0">
        <w:t xml:space="preserve"> </w:t>
      </w:r>
      <w:r w:rsidR="00BC31FD">
        <w:t xml:space="preserve">The last column shows the proportion the actual change in each cost bucket contributes to the total actual change between 2021-22 and 2022-23. </w:t>
      </w:r>
      <w:r w:rsidR="00575789" w:rsidRPr="00E538CF">
        <w:rPr>
          <w:rFonts w:cs="Arial"/>
        </w:rPr>
        <w:t>The nursing, on</w:t>
      </w:r>
      <w:r w:rsidR="00460893" w:rsidRPr="00E538CF">
        <w:rPr>
          <w:rFonts w:cs="Arial"/>
        </w:rPr>
        <w:noBreakHyphen/>
      </w:r>
      <w:r w:rsidR="00575789" w:rsidRPr="00E538CF">
        <w:rPr>
          <w:rFonts w:cs="Arial"/>
        </w:rPr>
        <w:t xml:space="preserve">costs, non-clinical, and </w:t>
      </w:r>
      <w:r w:rsidR="0061587E">
        <w:rPr>
          <w:rFonts w:cs="Arial"/>
        </w:rPr>
        <w:t>medical</w:t>
      </w:r>
      <w:r w:rsidR="00575789" w:rsidRPr="00E538CF">
        <w:rPr>
          <w:rFonts w:cs="Arial"/>
        </w:rPr>
        <w:t xml:space="preserve"> cost buckets accounted for </w:t>
      </w:r>
      <w:r w:rsidR="0061587E">
        <w:rPr>
          <w:rFonts w:cs="Arial"/>
        </w:rPr>
        <w:t>83</w:t>
      </w:r>
      <w:r w:rsidR="00575789" w:rsidRPr="00E538CF">
        <w:rPr>
          <w:rFonts w:cs="Arial"/>
        </w:rPr>
        <w:t>% of the increase in the average cost per admitted mental health phase from 2021</w:t>
      </w:r>
      <w:r w:rsidR="009156E0">
        <w:rPr>
          <w:rFonts w:cs="Arial"/>
        </w:rPr>
        <w:noBreakHyphen/>
      </w:r>
      <w:r w:rsidR="00575789" w:rsidRPr="00E538CF">
        <w:rPr>
          <w:rFonts w:cs="Arial"/>
        </w:rPr>
        <w:t xml:space="preserve">22 to </w:t>
      </w:r>
      <w:r w:rsidR="00575789" w:rsidRPr="00E538CF">
        <w:rPr>
          <w:rFonts w:cstheme="majorBidi"/>
          <w:lang w:val="en-PH"/>
        </w:rPr>
        <w:t>2022</w:t>
      </w:r>
      <w:r w:rsidR="00575789" w:rsidRPr="00E538CF">
        <w:rPr>
          <w:rFonts w:cstheme="majorBidi"/>
          <w:lang w:val="en-PH"/>
        </w:rPr>
        <w:noBreakHyphen/>
        <w:t>23</w:t>
      </w:r>
      <w:r w:rsidR="00575789" w:rsidRPr="00E538CF">
        <w:rPr>
          <w:rFonts w:cs="Arial"/>
        </w:rPr>
        <w:t>.</w:t>
      </w:r>
    </w:p>
    <w:p w14:paraId="13AB82D6" w14:textId="24127E1E" w:rsidR="00F307BA" w:rsidRDefault="00E04435" w:rsidP="00D16D7C">
      <w:pPr>
        <w:pStyle w:val="TableFigureheading"/>
      </w:pPr>
      <w:bookmarkStart w:id="399" w:name="_Ref185849786"/>
      <w:bookmarkStart w:id="400" w:name="_Toc185852236"/>
      <w:bookmarkStart w:id="401" w:name="_Toc187312155"/>
      <w:r>
        <w:rPr>
          <w:lang w:val="en-PH"/>
        </w:rPr>
        <w:t>Table</w:t>
      </w:r>
      <w:r w:rsidR="009B1CEB" w:rsidRPr="0093558C">
        <w:rPr>
          <w:lang w:val="en-PH"/>
        </w:rPr>
        <w:t xml:space="preserve"> </w:t>
      </w:r>
      <w:r>
        <w:rPr>
          <w:lang w:val="en-PH"/>
        </w:rPr>
        <w:fldChar w:fldCharType="begin"/>
      </w:r>
      <w:r>
        <w:rPr>
          <w:lang w:val="en-PH"/>
        </w:rPr>
        <w:instrText xml:space="preserve"> SEQ Table \* ARABIC </w:instrText>
      </w:r>
      <w:r>
        <w:rPr>
          <w:lang w:val="en-PH"/>
        </w:rPr>
        <w:fldChar w:fldCharType="separate"/>
      </w:r>
      <w:r w:rsidR="00673919">
        <w:rPr>
          <w:noProof/>
          <w:lang w:val="en-PH"/>
        </w:rPr>
        <w:t>29</w:t>
      </w:r>
      <w:r>
        <w:rPr>
          <w:lang w:val="en-PH"/>
        </w:rPr>
        <w:fldChar w:fldCharType="end"/>
      </w:r>
      <w:bookmarkEnd w:id="399"/>
      <w:r w:rsidR="009B1CEB" w:rsidRPr="0093558C">
        <w:rPr>
          <w:lang w:val="en-PH"/>
        </w:rPr>
        <w:t xml:space="preserve">: </w:t>
      </w:r>
      <w:r w:rsidR="00406ACB">
        <w:t>National average cost per admitted mental health phase by cost bucket</w:t>
      </w:r>
      <w:r w:rsidR="0072141C" w:rsidRPr="0072141C">
        <w:rPr>
          <w:lang w:val="en-PH"/>
        </w:rPr>
        <w:t>, 2022-23</w:t>
      </w:r>
      <w:bookmarkEnd w:id="400"/>
      <w:bookmarkEnd w:id="401"/>
    </w:p>
    <w:p w14:paraId="1D343A15" w14:textId="4E84A0AF" w:rsidR="0061587E" w:rsidRPr="00124E1C" w:rsidRDefault="0061587E" w:rsidP="00124E1C">
      <w:pPr>
        <w:jc w:val="center"/>
      </w:pPr>
      <w:r>
        <w:rPr>
          <w:noProof/>
        </w:rPr>
        <w:drawing>
          <wp:inline distT="0" distB="0" distL="0" distR="0" wp14:anchorId="5262AB54" wp14:editId="42D3564C">
            <wp:extent cx="6188710" cy="3039745"/>
            <wp:effectExtent l="0" t="0" r="2540" b="8255"/>
            <wp:docPr id="46675049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50495" name="Picture 1" descr="A screenshot of a graph&#10;&#10;AI-generated content may be incorrect."/>
                    <pic:cNvPicPr/>
                  </pic:nvPicPr>
                  <pic:blipFill>
                    <a:blip r:embed="rId64"/>
                    <a:stretch>
                      <a:fillRect/>
                    </a:stretch>
                  </pic:blipFill>
                  <pic:spPr>
                    <a:xfrm>
                      <a:off x="0" y="0"/>
                      <a:ext cx="6188710" cy="3039745"/>
                    </a:xfrm>
                    <a:prstGeom prst="rect">
                      <a:avLst/>
                    </a:prstGeom>
                  </pic:spPr>
                </pic:pic>
              </a:graphicData>
            </a:graphic>
          </wp:inline>
        </w:drawing>
      </w:r>
    </w:p>
    <w:p w14:paraId="08EF6F8E" w14:textId="535D2689" w:rsidR="00F21638" w:rsidRPr="00CE058E" w:rsidRDefault="00F21638" w:rsidP="0069297D">
      <w:pPr>
        <w:pStyle w:val="Heading1"/>
        <w:numPr>
          <w:ilvl w:val="0"/>
          <w:numId w:val="45"/>
        </w:numPr>
        <w:rPr>
          <w:rFonts w:cs="Arial"/>
          <w:bCs/>
        </w:rPr>
      </w:pPr>
      <w:bookmarkStart w:id="402" w:name="_Toc158882642"/>
      <w:r w:rsidRPr="00CE058E">
        <w:rPr>
          <w:rFonts w:cs="Arial"/>
          <w:bCs/>
        </w:rPr>
        <w:lastRenderedPageBreak/>
        <w:t>Community mental health</w:t>
      </w:r>
      <w:bookmarkEnd w:id="402"/>
    </w:p>
    <w:p w14:paraId="64975314" w14:textId="73D3B2C7" w:rsidR="00F21638" w:rsidRPr="00CE058E" w:rsidRDefault="00F21638" w:rsidP="007B41F8">
      <w:pPr>
        <w:pStyle w:val="Heading2"/>
      </w:pPr>
      <w:bookmarkStart w:id="403" w:name="_Toc151129731"/>
      <w:bookmarkStart w:id="404" w:name="_Toc158882582"/>
      <w:bookmarkStart w:id="405" w:name="_Toc158882643"/>
      <w:r w:rsidRPr="00CE058E">
        <w:t>Summary</w:t>
      </w:r>
      <w:bookmarkEnd w:id="403"/>
      <w:bookmarkEnd w:id="404"/>
      <w:bookmarkEnd w:id="405"/>
    </w:p>
    <w:p w14:paraId="349F877D" w14:textId="0A6078C3" w:rsidR="00020C8A" w:rsidRPr="00DA13A2" w:rsidRDefault="00F21638" w:rsidP="00070481">
      <w:pPr>
        <w:spacing w:line="276" w:lineRule="auto"/>
        <w:rPr>
          <w:rFonts w:eastAsia="Fira Sans regular" w:cs="Arial"/>
        </w:rPr>
      </w:pPr>
      <w:r w:rsidRPr="00DA13A2">
        <w:rPr>
          <w:rFonts w:eastAsia="Fira Sans regular" w:cs="Arial"/>
        </w:rPr>
        <w:t xml:space="preserve">This </w:t>
      </w:r>
      <w:r w:rsidR="00DD18A3" w:rsidRPr="00DA13A2">
        <w:rPr>
          <w:rFonts w:eastAsia="Fira Sans regular" w:cs="Arial"/>
        </w:rPr>
        <w:t xml:space="preserve">chapter </w:t>
      </w:r>
      <w:r w:rsidR="004915C1" w:rsidRPr="00DA13A2">
        <w:rPr>
          <w:rFonts w:eastAsia="Fira Sans regular" w:cs="Arial"/>
        </w:rPr>
        <w:t>outlines</w:t>
      </w:r>
      <w:r w:rsidRPr="00DA13A2">
        <w:rPr>
          <w:rFonts w:eastAsia="Fira Sans regular" w:cs="Arial"/>
        </w:rPr>
        <w:t xml:space="preserve"> the</w:t>
      </w:r>
      <w:r w:rsidR="000F48D8">
        <w:rPr>
          <w:rFonts w:eastAsia="Fira Sans regular" w:cs="Arial"/>
        </w:rPr>
        <w:t xml:space="preserve"> in-scope</w:t>
      </w:r>
      <w:r w:rsidRPr="00DA13A2">
        <w:rPr>
          <w:rFonts w:eastAsia="Fira Sans regular" w:cs="Arial"/>
        </w:rPr>
        <w:t xml:space="preserve"> community mental health activity, cost, and average cost per</w:t>
      </w:r>
      <w:r w:rsidR="00252AAA" w:rsidRPr="00DA13A2">
        <w:rPr>
          <w:rFonts w:eastAsia="Fira Sans regular" w:cs="Arial"/>
        </w:rPr>
        <w:t xml:space="preserve"> phase and episode </w:t>
      </w:r>
      <w:r w:rsidRPr="00DA13A2">
        <w:rPr>
          <w:rFonts w:eastAsia="Fira Sans regular" w:cs="Arial"/>
        </w:rPr>
        <w:t xml:space="preserve">from </w:t>
      </w:r>
      <w:r w:rsidR="008578F3" w:rsidRPr="00DA13A2">
        <w:rPr>
          <w:rFonts w:cs="Arial"/>
        </w:rPr>
        <w:t>2020-21</w:t>
      </w:r>
      <w:r w:rsidRPr="00DA13A2">
        <w:rPr>
          <w:rFonts w:eastAsia="Fira Sans regular" w:cs="Arial"/>
        </w:rPr>
        <w:t xml:space="preserve"> to </w:t>
      </w:r>
      <w:r w:rsidR="002E5011" w:rsidRPr="00DA13A2">
        <w:rPr>
          <w:rFonts w:cstheme="majorBidi"/>
          <w:lang w:val="en-PH"/>
        </w:rPr>
        <w:t>2022-23</w:t>
      </w:r>
      <w:r w:rsidRPr="00DA13A2">
        <w:rPr>
          <w:rFonts w:eastAsia="Fira Sans regular" w:cs="Arial"/>
        </w:rPr>
        <w:t>. The mental health episode of care is defined as the period between the commencement and completion of care characterised by the mental health care type.</w:t>
      </w:r>
    </w:p>
    <w:p w14:paraId="54F70476" w14:textId="2BBE23F3" w:rsidR="00124E1C" w:rsidRPr="00124E1C" w:rsidRDefault="00F21638" w:rsidP="00124E1C">
      <w:pPr>
        <w:spacing w:line="276" w:lineRule="auto"/>
        <w:rPr>
          <w:rFonts w:cs="Arial"/>
        </w:rPr>
      </w:pPr>
      <w:r w:rsidRPr="00DA13A2">
        <w:rPr>
          <w:rFonts w:eastAsia="Fira Sans regular" w:cs="Arial"/>
        </w:rPr>
        <w:t xml:space="preserve">There are </w:t>
      </w:r>
      <w:r w:rsidR="00EE76DB" w:rsidRPr="00DA13A2">
        <w:rPr>
          <w:rFonts w:eastAsia="Fira Sans regular" w:cs="Arial"/>
        </w:rPr>
        <w:t xml:space="preserve">5 </w:t>
      </w:r>
      <w:r w:rsidRPr="00DA13A2">
        <w:rPr>
          <w:rFonts w:eastAsia="Fira Sans regular" w:cs="Arial"/>
        </w:rPr>
        <w:t>phases of mental health care: acute, functional gain, intensive extended</w:t>
      </w:r>
      <w:r w:rsidR="0B1AD596" w:rsidRPr="00DA13A2">
        <w:rPr>
          <w:rFonts w:eastAsia="Fira Sans regular" w:cs="Arial"/>
        </w:rPr>
        <w:t>,</w:t>
      </w:r>
      <w:r w:rsidRPr="00DA13A2">
        <w:rPr>
          <w:rFonts w:eastAsia="Fira Sans regular" w:cs="Arial"/>
        </w:rPr>
        <w:t xml:space="preserve"> consolidat</w:t>
      </w:r>
      <w:r w:rsidR="4761011F" w:rsidRPr="00DA13A2">
        <w:rPr>
          <w:rFonts w:eastAsia="Fira Sans regular" w:cs="Arial"/>
        </w:rPr>
        <w:t>ed</w:t>
      </w:r>
      <w:r w:rsidRPr="00DA13A2">
        <w:rPr>
          <w:rFonts w:eastAsia="Fira Sans regular" w:cs="Arial"/>
        </w:rPr>
        <w:t xml:space="preserve"> gain</w:t>
      </w:r>
      <w:r w:rsidR="00020C8A" w:rsidRPr="00DA13A2">
        <w:rPr>
          <w:rFonts w:eastAsia="Fira Sans regular" w:cs="Arial"/>
        </w:rPr>
        <w:t>,</w:t>
      </w:r>
      <w:r w:rsidR="016DF8D0" w:rsidRPr="00DA13A2">
        <w:rPr>
          <w:rFonts w:eastAsia="Fira Sans regular" w:cs="Arial"/>
        </w:rPr>
        <w:t xml:space="preserve"> and assessment only</w:t>
      </w:r>
      <w:r w:rsidRPr="00DA13A2">
        <w:rPr>
          <w:rFonts w:eastAsia="Fira Sans regular" w:cs="Arial"/>
        </w:rPr>
        <w:t>.</w:t>
      </w:r>
      <w:r w:rsidR="00EC4FC0">
        <w:rPr>
          <w:rFonts w:eastAsia="Fira Sans regular" w:cs="Arial"/>
        </w:rPr>
        <w:t xml:space="preserve"> </w:t>
      </w:r>
      <w:r w:rsidR="00EC4FC0">
        <w:rPr>
          <w:rFonts w:cs="Arial"/>
        </w:rPr>
        <w:t>A</w:t>
      </w:r>
      <w:r w:rsidR="00EC4FC0" w:rsidRPr="00DA13A2">
        <w:rPr>
          <w:rFonts w:cs="Arial"/>
        </w:rPr>
        <w:t xml:space="preserve"> community mental health episode of care can be split into defined mental health phases of care.</w:t>
      </w:r>
      <w:r w:rsidR="00EC4FC0">
        <w:rPr>
          <w:rFonts w:eastAsia="Fira Sans regular" w:cs="Arial"/>
        </w:rPr>
        <w:t xml:space="preserve"> Jurisdictions are encouraged to submit phase level data, representing a single phase of care, to allow for more accurate benchmarking. </w:t>
      </w:r>
      <w:r w:rsidR="00020C8A" w:rsidRPr="00DA13A2">
        <w:rPr>
          <w:rFonts w:cs="Arial"/>
        </w:rPr>
        <w:t xml:space="preserve">The Australian Mental Health Care Classification (AMHCC) </w:t>
      </w:r>
      <w:r w:rsidR="000501AA" w:rsidRPr="00DA13A2">
        <w:rPr>
          <w:rFonts w:cs="Arial"/>
        </w:rPr>
        <w:t>V</w:t>
      </w:r>
      <w:r w:rsidR="00020C8A" w:rsidRPr="00DA13A2">
        <w:rPr>
          <w:rFonts w:cs="Arial"/>
        </w:rPr>
        <w:t>1.</w:t>
      </w:r>
      <w:r w:rsidR="00BB0088">
        <w:rPr>
          <w:rFonts w:cs="Arial"/>
        </w:rPr>
        <w:t>0</w:t>
      </w:r>
      <w:r w:rsidR="00020C8A" w:rsidRPr="00DA13A2">
        <w:rPr>
          <w:rFonts w:cs="Arial"/>
        </w:rPr>
        <w:t xml:space="preserve"> was used to prepare</w:t>
      </w:r>
      <w:r w:rsidR="00EC4FC0">
        <w:rPr>
          <w:rFonts w:cs="Arial"/>
        </w:rPr>
        <w:t xml:space="preserve"> the</w:t>
      </w:r>
      <w:r w:rsidR="000A63CC" w:rsidRPr="00DA13A2">
        <w:rPr>
          <w:rFonts w:cs="Arial"/>
        </w:rPr>
        <w:t xml:space="preserve"> results in</w:t>
      </w:r>
      <w:r w:rsidR="00020C8A" w:rsidRPr="00DA13A2">
        <w:rPr>
          <w:rFonts w:cs="Arial"/>
        </w:rPr>
        <w:t xml:space="preserve"> this chapter</w:t>
      </w:r>
      <w:r w:rsidR="0077487E">
        <w:rPr>
          <w:rFonts w:cs="Arial"/>
        </w:rPr>
        <w:t xml:space="preserve">, for more information visit </w:t>
      </w:r>
      <w:hyperlink r:id="rId65" w:history="1">
        <w:r w:rsidR="0077487E" w:rsidRPr="00EC4FC0">
          <w:rPr>
            <w:rStyle w:val="Hyperlink"/>
            <w:rFonts w:cs="Arial"/>
          </w:rPr>
          <w:t>IHACPA’s website</w:t>
        </w:r>
      </w:hyperlink>
      <w:r w:rsidR="0077487E">
        <w:rPr>
          <w:rFonts w:cs="Arial"/>
        </w:rPr>
        <w:t>.</w:t>
      </w:r>
      <w:bookmarkStart w:id="406" w:name="_Hlk148533689"/>
      <w:r w:rsidR="00FD36AC">
        <w:rPr>
          <w:rFonts w:cs="Arial"/>
        </w:rPr>
        <w:fldChar w:fldCharType="begin"/>
      </w:r>
      <w:r w:rsidR="00FD36AC">
        <w:rPr>
          <w:rFonts w:cs="Arial"/>
        </w:rPr>
        <w:instrText xml:space="preserve"> REF _Ref185851514 \h </w:instrText>
      </w:r>
      <w:r w:rsidR="00FD36AC">
        <w:rPr>
          <w:rFonts w:cs="Arial"/>
        </w:rPr>
      </w:r>
      <w:r w:rsidR="00FD36AC">
        <w:rPr>
          <w:rFonts w:cs="Arial"/>
        </w:rPr>
        <w:fldChar w:fldCharType="separate"/>
      </w:r>
    </w:p>
    <w:p w14:paraId="32C8FB55" w14:textId="0C6F87C6" w:rsidR="00741717" w:rsidRDefault="00124E1C" w:rsidP="00741717">
      <w:pPr>
        <w:rPr>
          <w:lang w:val="en-PH"/>
        </w:rPr>
      </w:pPr>
      <w:r w:rsidRPr="0093558C">
        <w:rPr>
          <w:lang w:val="en-PH"/>
        </w:rPr>
        <w:t xml:space="preserve">Table </w:t>
      </w:r>
      <w:r>
        <w:rPr>
          <w:noProof/>
          <w:lang w:val="en-PH"/>
        </w:rPr>
        <w:t>30</w:t>
      </w:r>
      <w:r w:rsidR="00FD36AC">
        <w:rPr>
          <w:rFonts w:cs="Arial"/>
        </w:rPr>
        <w:fldChar w:fldCharType="end"/>
      </w:r>
      <w:r w:rsidR="00260452" w:rsidRPr="00DA13A2">
        <w:rPr>
          <w:rFonts w:cs="Arial"/>
        </w:rPr>
        <w:t xml:space="preserve"> </w:t>
      </w:r>
      <w:r w:rsidR="00CD1525" w:rsidRPr="00DA13A2">
        <w:rPr>
          <w:rFonts w:cs="Arial"/>
        </w:rPr>
        <w:t>summarises the national results from 2020-21 to 202</w:t>
      </w:r>
      <w:r w:rsidR="0073775B">
        <w:rPr>
          <w:rFonts w:cs="Arial"/>
        </w:rPr>
        <w:t>2</w:t>
      </w:r>
      <w:r w:rsidR="00CD1525" w:rsidRPr="00DA13A2">
        <w:rPr>
          <w:rFonts w:cs="Arial"/>
        </w:rPr>
        <w:t>-2</w:t>
      </w:r>
      <w:r w:rsidR="0073775B">
        <w:rPr>
          <w:rFonts w:cs="Arial"/>
        </w:rPr>
        <w:t>3</w:t>
      </w:r>
      <w:r w:rsidR="00CD1525" w:rsidRPr="00DA13A2">
        <w:rPr>
          <w:rFonts w:cs="Arial"/>
        </w:rPr>
        <w:t xml:space="preserve">. In </w:t>
      </w:r>
      <w:r w:rsidR="00CD1525" w:rsidRPr="00DA13A2">
        <w:rPr>
          <w:rFonts w:cstheme="majorBidi"/>
          <w:lang w:val="en-PH"/>
        </w:rPr>
        <w:t>2022-23</w:t>
      </w:r>
      <w:r w:rsidR="00CD1525" w:rsidRPr="00DA13A2">
        <w:rPr>
          <w:rFonts w:cs="Arial"/>
        </w:rPr>
        <w:t xml:space="preserve">, </w:t>
      </w:r>
      <w:r w:rsidR="00224B54">
        <w:rPr>
          <w:rFonts w:cs="Arial"/>
        </w:rPr>
        <w:t xml:space="preserve">nationally there were </w:t>
      </w:r>
      <w:r w:rsidR="00CD1525" w:rsidRPr="00224B54">
        <w:rPr>
          <w:rFonts w:cs="Arial"/>
        </w:rPr>
        <w:t>729,442 phases, a 31% increase to the 2021-22 amount of 555,828 phases</w:t>
      </w:r>
      <w:r w:rsidR="00224B54">
        <w:rPr>
          <w:rFonts w:cs="Arial"/>
        </w:rPr>
        <w:t xml:space="preserve">. There was </w:t>
      </w:r>
      <w:r w:rsidR="00CD1525" w:rsidRPr="00224B54">
        <w:rPr>
          <w:rFonts w:cs="Arial"/>
        </w:rPr>
        <w:t>$1.</w:t>
      </w:r>
      <w:r w:rsidR="00224B54" w:rsidRPr="00224B54">
        <w:rPr>
          <w:rFonts w:cs="Arial"/>
        </w:rPr>
        <w:t>7</w:t>
      </w:r>
      <w:r w:rsidR="00224B54">
        <w:rPr>
          <w:rFonts w:cs="Arial"/>
        </w:rPr>
        <w:t> </w:t>
      </w:r>
      <w:r w:rsidR="00CD1525" w:rsidRPr="00224B54">
        <w:rPr>
          <w:rFonts w:cs="Arial"/>
        </w:rPr>
        <w:t xml:space="preserve">billion </w:t>
      </w:r>
      <w:r w:rsidR="00460893">
        <w:rPr>
          <w:rFonts w:cs="Arial"/>
        </w:rPr>
        <w:t xml:space="preserve">in </w:t>
      </w:r>
      <w:r w:rsidR="00CD1525" w:rsidRPr="00224B54">
        <w:rPr>
          <w:rFonts w:cs="Arial"/>
        </w:rPr>
        <w:t>cost, a 10% increase to the 2021-22 amount of $1.5 billion</w:t>
      </w:r>
      <w:r w:rsidR="00224B54">
        <w:rPr>
          <w:rFonts w:cs="Arial"/>
        </w:rPr>
        <w:t xml:space="preserve">. The </w:t>
      </w:r>
      <w:r w:rsidR="00CD1525" w:rsidRPr="00224B54">
        <w:rPr>
          <w:rFonts w:cs="Arial"/>
        </w:rPr>
        <w:t>average cost per phase</w:t>
      </w:r>
      <w:r w:rsidR="00224B54" w:rsidRPr="00224B54">
        <w:rPr>
          <w:rFonts w:cs="Arial"/>
        </w:rPr>
        <w:t xml:space="preserve"> was $2,273</w:t>
      </w:r>
      <w:r w:rsidR="00CD1525" w:rsidRPr="00224B54">
        <w:rPr>
          <w:rFonts w:cs="Arial"/>
        </w:rPr>
        <w:t>, a</w:t>
      </w:r>
      <w:r w:rsidR="00F22D90" w:rsidRPr="00224B54">
        <w:rPr>
          <w:rFonts w:cs="Arial"/>
        </w:rPr>
        <w:t xml:space="preserve"> 16% de</w:t>
      </w:r>
      <w:r w:rsidR="00CD1525" w:rsidRPr="00224B54">
        <w:rPr>
          <w:rFonts w:cs="Arial"/>
        </w:rPr>
        <w:t xml:space="preserve">crease to the 2021-22 amount of </w:t>
      </w:r>
      <w:r w:rsidR="00F22D90" w:rsidRPr="00224B54">
        <w:rPr>
          <w:rFonts w:cs="Arial"/>
        </w:rPr>
        <w:t xml:space="preserve">$2,718 </w:t>
      </w:r>
      <w:r w:rsidR="00CD1525" w:rsidRPr="00224B54">
        <w:rPr>
          <w:rFonts w:cs="Arial"/>
        </w:rPr>
        <w:t>per phase</w:t>
      </w:r>
      <w:r w:rsidR="00224B54">
        <w:rPr>
          <w:rFonts w:cs="Arial"/>
        </w:rPr>
        <w:t>.</w:t>
      </w:r>
      <w:bookmarkStart w:id="407" w:name="_Ref185851514"/>
    </w:p>
    <w:p w14:paraId="64E8A675" w14:textId="27F3F852" w:rsidR="00B8220E" w:rsidRPr="00862D6F" w:rsidRDefault="00B8220E" w:rsidP="00303546">
      <w:pPr>
        <w:pStyle w:val="TableFigureheading"/>
        <w:rPr>
          <w:lang w:val="en-PH"/>
        </w:rPr>
      </w:pPr>
      <w:bookmarkStart w:id="408" w:name="_Toc185852238"/>
      <w:bookmarkStart w:id="409" w:name="_Toc187312156"/>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124E1C">
        <w:rPr>
          <w:noProof/>
          <w:lang w:val="en-PH"/>
        </w:rPr>
        <w:t>30</w:t>
      </w:r>
      <w:r w:rsidRPr="0093558C">
        <w:rPr>
          <w:lang w:val="en-PH"/>
        </w:rPr>
        <w:fldChar w:fldCharType="end"/>
      </w:r>
      <w:bookmarkEnd w:id="407"/>
      <w:r w:rsidRPr="0093558C">
        <w:rPr>
          <w:lang w:val="en-PH"/>
        </w:rPr>
        <w:t xml:space="preserve">: </w:t>
      </w:r>
      <w:r>
        <w:rPr>
          <w:lang w:val="en-PH"/>
        </w:rPr>
        <w:t xml:space="preserve">Community mental health </w:t>
      </w:r>
      <w:r w:rsidR="001840F9">
        <w:rPr>
          <w:lang w:val="en-PH"/>
        </w:rPr>
        <w:t xml:space="preserve">phases </w:t>
      </w:r>
      <w:r>
        <w:rPr>
          <w:lang w:val="en-PH"/>
        </w:rPr>
        <w:t>national</w:t>
      </w:r>
      <w:r w:rsidR="001840F9">
        <w:rPr>
          <w:lang w:val="en-PH"/>
        </w:rPr>
        <w:t xml:space="preserve"> summary</w:t>
      </w:r>
      <w:r w:rsidRPr="0093558C">
        <w:rPr>
          <w:lang w:val="en-PH"/>
        </w:rPr>
        <w:t xml:space="preserve">, </w:t>
      </w:r>
      <w:r w:rsidRPr="00D73FCC">
        <w:rPr>
          <w:lang w:val="en-PH"/>
        </w:rPr>
        <w:t>2020-21</w:t>
      </w:r>
      <w:r w:rsidRPr="0093558C">
        <w:rPr>
          <w:lang w:val="en-PH"/>
        </w:rPr>
        <w:t xml:space="preserve"> to </w:t>
      </w:r>
      <w:r w:rsidRPr="008B2CD8">
        <w:rPr>
          <w:lang w:val="en-PH"/>
        </w:rPr>
        <w:t>202</w:t>
      </w:r>
      <w:r>
        <w:rPr>
          <w:lang w:val="en-PH"/>
        </w:rPr>
        <w:t>2</w:t>
      </w:r>
      <w:r w:rsidRPr="008B2CD8">
        <w:rPr>
          <w:lang w:val="en-PH"/>
        </w:rPr>
        <w:t>-2</w:t>
      </w:r>
      <w:r>
        <w:rPr>
          <w:lang w:val="en-PH"/>
        </w:rPr>
        <w:t>3</w:t>
      </w:r>
      <w:bookmarkEnd w:id="408"/>
      <w:bookmarkEnd w:id="409"/>
    </w:p>
    <w:tbl>
      <w:tblPr>
        <w:tblW w:w="9723" w:type="dxa"/>
        <w:tblLook w:val="04A0" w:firstRow="1" w:lastRow="0" w:firstColumn="1" w:lastColumn="0" w:noHBand="0" w:noVBand="1"/>
      </w:tblPr>
      <w:tblGrid>
        <w:gridCol w:w="3303"/>
        <w:gridCol w:w="2140"/>
        <w:gridCol w:w="2140"/>
        <w:gridCol w:w="2140"/>
      </w:tblGrid>
      <w:tr w:rsidR="00B8220E" w:rsidRPr="00492588" w14:paraId="792520F2" w14:textId="77777777" w:rsidTr="00E04435">
        <w:trPr>
          <w:trHeight w:val="298"/>
        </w:trPr>
        <w:tc>
          <w:tcPr>
            <w:tcW w:w="3303" w:type="dxa"/>
            <w:tcBorders>
              <w:top w:val="nil"/>
              <w:left w:val="single" w:sz="8" w:space="0" w:color="FFFFFF"/>
              <w:bottom w:val="nil"/>
              <w:right w:val="nil"/>
            </w:tcBorders>
            <w:shd w:val="clear" w:color="000000" w:fill="15272F"/>
            <w:vAlign w:val="center"/>
            <w:hideMark/>
          </w:tcPr>
          <w:p w14:paraId="4C46BC68" w14:textId="77777777" w:rsidR="00B8220E" w:rsidRPr="000E5BF8" w:rsidRDefault="00B8220E" w:rsidP="00E04435">
            <w:pPr>
              <w:spacing w:before="40" w:after="40" w:line="240" w:lineRule="auto"/>
              <w:rPr>
                <w:rFonts w:eastAsia="Times New Roman" w:cs="Arial"/>
                <w:b/>
                <w:bCs/>
                <w:color w:val="FFFFFF"/>
                <w:sz w:val="16"/>
                <w:szCs w:val="16"/>
                <w:lang w:eastAsia="en-AU"/>
              </w:rPr>
            </w:pPr>
            <w:r w:rsidRPr="000E5BF8">
              <w:rPr>
                <w:rFonts w:eastAsia="Times New Roman" w:cs="Arial"/>
                <w:b/>
                <w:bCs/>
                <w:color w:val="FFFFFF"/>
                <w:sz w:val="16"/>
                <w:szCs w:val="16"/>
                <w:lang w:eastAsia="en-AU"/>
              </w:rPr>
              <w:t> </w:t>
            </w:r>
          </w:p>
        </w:tc>
        <w:tc>
          <w:tcPr>
            <w:tcW w:w="2140" w:type="dxa"/>
            <w:tcBorders>
              <w:top w:val="nil"/>
              <w:left w:val="single" w:sz="8" w:space="0" w:color="FFFFFF"/>
              <w:bottom w:val="nil"/>
              <w:right w:val="nil"/>
            </w:tcBorders>
            <w:shd w:val="clear" w:color="000000" w:fill="15272F"/>
            <w:vAlign w:val="center"/>
            <w:hideMark/>
          </w:tcPr>
          <w:p w14:paraId="50B6BCD2" w14:textId="77777777" w:rsidR="00B8220E" w:rsidRPr="000E5BF8" w:rsidRDefault="00B8220E" w:rsidP="00E04435">
            <w:pPr>
              <w:spacing w:before="40" w:after="40" w:line="240" w:lineRule="auto"/>
              <w:jc w:val="center"/>
              <w:rPr>
                <w:rFonts w:eastAsia="Times New Roman" w:cs="Arial"/>
                <w:b/>
                <w:bCs/>
                <w:color w:val="FFFFFF"/>
                <w:sz w:val="16"/>
                <w:szCs w:val="16"/>
                <w:lang w:eastAsia="en-AU"/>
              </w:rPr>
            </w:pPr>
            <w:r w:rsidRPr="000E5BF8">
              <w:rPr>
                <w:rFonts w:eastAsia="Times New Roman" w:cs="Arial"/>
                <w:b/>
                <w:bCs/>
                <w:color w:val="FFFFFF"/>
                <w:sz w:val="16"/>
                <w:szCs w:val="16"/>
                <w:lang w:eastAsia="en-AU"/>
              </w:rPr>
              <w:t>2020-21</w:t>
            </w:r>
          </w:p>
        </w:tc>
        <w:tc>
          <w:tcPr>
            <w:tcW w:w="2140" w:type="dxa"/>
            <w:tcBorders>
              <w:top w:val="nil"/>
              <w:left w:val="single" w:sz="8" w:space="0" w:color="FFFFFF"/>
              <w:bottom w:val="nil"/>
              <w:right w:val="nil"/>
            </w:tcBorders>
            <w:shd w:val="clear" w:color="000000" w:fill="15272F"/>
            <w:vAlign w:val="center"/>
            <w:hideMark/>
          </w:tcPr>
          <w:p w14:paraId="0D76925E" w14:textId="77777777" w:rsidR="00B8220E" w:rsidRPr="000E5BF8" w:rsidRDefault="00B8220E" w:rsidP="00E04435">
            <w:pPr>
              <w:spacing w:before="40" w:after="40" w:line="240" w:lineRule="auto"/>
              <w:jc w:val="center"/>
              <w:rPr>
                <w:rFonts w:eastAsia="Times New Roman" w:cs="Arial"/>
                <w:b/>
                <w:bCs/>
                <w:color w:val="FFFFFF"/>
                <w:sz w:val="16"/>
                <w:szCs w:val="16"/>
                <w:lang w:eastAsia="en-AU"/>
              </w:rPr>
            </w:pPr>
            <w:r w:rsidRPr="000E5BF8">
              <w:rPr>
                <w:rFonts w:eastAsia="Times New Roman" w:cs="Arial"/>
                <w:b/>
                <w:bCs/>
                <w:color w:val="FFFFFF"/>
                <w:sz w:val="16"/>
                <w:szCs w:val="16"/>
                <w:lang w:eastAsia="en-AU"/>
              </w:rPr>
              <w:t>2021-22</w:t>
            </w:r>
          </w:p>
        </w:tc>
        <w:tc>
          <w:tcPr>
            <w:tcW w:w="2140" w:type="dxa"/>
            <w:tcBorders>
              <w:top w:val="nil"/>
              <w:left w:val="single" w:sz="8" w:space="0" w:color="FFFFFF"/>
              <w:bottom w:val="nil"/>
              <w:right w:val="nil"/>
            </w:tcBorders>
            <w:shd w:val="clear" w:color="000000" w:fill="15272F"/>
            <w:vAlign w:val="center"/>
            <w:hideMark/>
          </w:tcPr>
          <w:p w14:paraId="18D9DDF8" w14:textId="77777777" w:rsidR="00B8220E" w:rsidRPr="000E5BF8" w:rsidRDefault="00B8220E" w:rsidP="00E04435">
            <w:pPr>
              <w:spacing w:before="40" w:after="40" w:line="240" w:lineRule="auto"/>
              <w:jc w:val="center"/>
              <w:rPr>
                <w:rFonts w:eastAsia="Times New Roman" w:cs="Arial"/>
                <w:b/>
                <w:bCs/>
                <w:color w:val="FFFFFF"/>
                <w:sz w:val="16"/>
                <w:szCs w:val="16"/>
                <w:lang w:eastAsia="en-AU"/>
              </w:rPr>
            </w:pPr>
            <w:r w:rsidRPr="000E5BF8">
              <w:rPr>
                <w:rFonts w:eastAsia="Times New Roman" w:cs="Arial"/>
                <w:b/>
                <w:bCs/>
                <w:color w:val="FFFFFF"/>
                <w:sz w:val="16"/>
                <w:szCs w:val="16"/>
                <w:lang w:eastAsia="en-AU"/>
              </w:rPr>
              <w:t>2022-23</w:t>
            </w:r>
          </w:p>
        </w:tc>
      </w:tr>
      <w:tr w:rsidR="00B8220E" w:rsidRPr="00492588" w14:paraId="63A69863" w14:textId="77777777" w:rsidTr="00E04435">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hideMark/>
          </w:tcPr>
          <w:p w14:paraId="206DEA6A" w14:textId="77777777" w:rsidR="00B8220E" w:rsidRPr="000E5BF8" w:rsidRDefault="00B8220E" w:rsidP="00E04435">
            <w:pPr>
              <w:spacing w:before="40" w:after="40" w:line="240" w:lineRule="auto"/>
              <w:rPr>
                <w:rFonts w:eastAsia="Times New Roman" w:cs="Arial"/>
                <w:color w:val="1C1C1C"/>
                <w:sz w:val="16"/>
                <w:szCs w:val="16"/>
                <w:lang w:eastAsia="en-AU"/>
              </w:rPr>
            </w:pPr>
            <w:r w:rsidRPr="000E5BF8">
              <w:rPr>
                <w:rFonts w:eastAsia="Times New Roman" w:cs="Arial"/>
                <w:color w:val="1C1C1C"/>
                <w:sz w:val="16"/>
                <w:szCs w:val="16"/>
                <w:lang w:eastAsia="en-AU"/>
              </w:rPr>
              <w:t xml:space="preserve">Number of establishments (phases)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33C699C8" w14:textId="77777777" w:rsidR="00B8220E" w:rsidRPr="000E5BF8" w:rsidRDefault="00B8220E" w:rsidP="00E04435">
            <w:pPr>
              <w:spacing w:before="40" w:after="40" w:line="240" w:lineRule="auto"/>
              <w:jc w:val="right"/>
              <w:rPr>
                <w:rFonts w:eastAsia="Times New Roman" w:cs="Arial"/>
                <w:color w:val="1C1C1C"/>
                <w:sz w:val="16"/>
                <w:szCs w:val="16"/>
                <w:lang w:eastAsia="en-AU"/>
              </w:rPr>
            </w:pPr>
            <w:r w:rsidRPr="000E5BF8">
              <w:rPr>
                <w:rFonts w:cs="Arial"/>
                <w:sz w:val="16"/>
                <w:szCs w:val="16"/>
              </w:rPr>
              <w:t xml:space="preserve">                     198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65066D1D" w14:textId="77777777" w:rsidR="00B8220E" w:rsidRPr="000E5BF8" w:rsidRDefault="00B8220E" w:rsidP="00E04435">
            <w:pPr>
              <w:spacing w:before="40" w:after="40" w:line="240" w:lineRule="auto"/>
              <w:jc w:val="right"/>
              <w:rPr>
                <w:rFonts w:eastAsia="Times New Roman" w:cs="Arial"/>
                <w:color w:val="1C1C1C"/>
                <w:sz w:val="16"/>
                <w:szCs w:val="16"/>
                <w:lang w:eastAsia="en-AU"/>
              </w:rPr>
            </w:pPr>
            <w:r w:rsidRPr="000E5BF8">
              <w:rPr>
                <w:rFonts w:cs="Arial"/>
                <w:sz w:val="16"/>
                <w:szCs w:val="16"/>
              </w:rPr>
              <w:t xml:space="preserve">                     208 </w:t>
            </w:r>
          </w:p>
        </w:tc>
        <w:tc>
          <w:tcPr>
            <w:tcW w:w="2140" w:type="dxa"/>
            <w:tcBorders>
              <w:top w:val="single" w:sz="8" w:space="0" w:color="D9D9D9"/>
              <w:left w:val="nil"/>
              <w:bottom w:val="single" w:sz="8" w:space="0" w:color="D9D9D9"/>
              <w:right w:val="single" w:sz="8" w:space="0" w:color="FFFFFF"/>
            </w:tcBorders>
            <w:shd w:val="clear" w:color="000000" w:fill="F2F2F2"/>
            <w:vAlign w:val="center"/>
            <w:hideMark/>
          </w:tcPr>
          <w:p w14:paraId="4294DB1C" w14:textId="77777777" w:rsidR="00B8220E" w:rsidRPr="000E5BF8" w:rsidRDefault="00B8220E" w:rsidP="00E04435">
            <w:pPr>
              <w:spacing w:before="40" w:after="40" w:line="240" w:lineRule="auto"/>
              <w:jc w:val="right"/>
              <w:rPr>
                <w:rFonts w:eastAsia="Times New Roman" w:cs="Arial"/>
                <w:color w:val="1C1C1C"/>
                <w:sz w:val="16"/>
                <w:szCs w:val="16"/>
                <w:lang w:eastAsia="en-AU"/>
              </w:rPr>
            </w:pPr>
            <w:r w:rsidRPr="000E5BF8">
              <w:rPr>
                <w:rFonts w:cs="Arial"/>
                <w:sz w:val="16"/>
                <w:szCs w:val="16"/>
              </w:rPr>
              <w:t xml:space="preserve">                     223 </w:t>
            </w:r>
          </w:p>
        </w:tc>
      </w:tr>
      <w:tr w:rsidR="00B8220E" w:rsidRPr="00492588" w14:paraId="317E850F" w14:textId="77777777" w:rsidTr="00E04435">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tcPr>
          <w:p w14:paraId="0930F84B" w14:textId="77777777" w:rsidR="00B8220E" w:rsidRPr="000E5BF8" w:rsidRDefault="00B8220E" w:rsidP="00E04435">
            <w:pPr>
              <w:spacing w:before="40" w:after="40" w:line="240" w:lineRule="auto"/>
              <w:rPr>
                <w:rFonts w:eastAsia="Times New Roman" w:cs="Arial"/>
                <w:color w:val="1C1C1C"/>
                <w:sz w:val="16"/>
                <w:szCs w:val="16"/>
                <w:lang w:eastAsia="en-AU"/>
              </w:rPr>
            </w:pPr>
            <w:r w:rsidRPr="000E5BF8">
              <w:rPr>
                <w:rFonts w:eastAsia="Times New Roman" w:cs="Arial"/>
                <w:color w:val="1C1C1C"/>
                <w:sz w:val="16"/>
                <w:szCs w:val="16"/>
                <w:lang w:eastAsia="en-AU"/>
              </w:rPr>
              <w:t>Phases</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36B1FF0F" w14:textId="77777777" w:rsidR="00B8220E" w:rsidRPr="000E5BF8" w:rsidRDefault="00B8220E" w:rsidP="00E04435">
            <w:pPr>
              <w:spacing w:before="40" w:after="40" w:line="240" w:lineRule="auto"/>
              <w:jc w:val="right"/>
              <w:rPr>
                <w:rFonts w:cs="Arial"/>
                <w:sz w:val="16"/>
                <w:szCs w:val="16"/>
              </w:rPr>
            </w:pPr>
            <w:r w:rsidRPr="000E5BF8">
              <w:rPr>
                <w:rFonts w:cs="Arial"/>
                <w:sz w:val="16"/>
                <w:szCs w:val="16"/>
              </w:rPr>
              <w:t xml:space="preserve">              405,815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6592A38F" w14:textId="77777777" w:rsidR="00B8220E" w:rsidRPr="000E5BF8" w:rsidRDefault="00B8220E" w:rsidP="00E04435">
            <w:pPr>
              <w:spacing w:before="40" w:after="40" w:line="240" w:lineRule="auto"/>
              <w:jc w:val="right"/>
              <w:rPr>
                <w:rFonts w:cs="Arial"/>
                <w:sz w:val="16"/>
                <w:szCs w:val="16"/>
              </w:rPr>
            </w:pPr>
            <w:r w:rsidRPr="000E5BF8">
              <w:rPr>
                <w:rFonts w:cs="Arial"/>
                <w:sz w:val="16"/>
                <w:szCs w:val="16"/>
              </w:rPr>
              <w:t xml:space="preserve">              555,828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45999F3B" w14:textId="77777777" w:rsidR="00B8220E" w:rsidRPr="000E5BF8" w:rsidRDefault="00B8220E" w:rsidP="00E04435">
            <w:pPr>
              <w:spacing w:before="40" w:after="40" w:line="240" w:lineRule="auto"/>
              <w:jc w:val="right"/>
              <w:rPr>
                <w:rFonts w:cs="Arial"/>
                <w:sz w:val="16"/>
                <w:szCs w:val="16"/>
              </w:rPr>
            </w:pPr>
            <w:r w:rsidRPr="000E5BF8">
              <w:rPr>
                <w:rFonts w:cs="Arial"/>
                <w:sz w:val="16"/>
                <w:szCs w:val="16"/>
              </w:rPr>
              <w:t xml:space="preserve">              729,442 </w:t>
            </w:r>
          </w:p>
        </w:tc>
      </w:tr>
      <w:tr w:rsidR="00B8220E" w:rsidRPr="00492588" w14:paraId="33DF8CDA" w14:textId="77777777" w:rsidTr="00E04435">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tcPr>
          <w:p w14:paraId="5DC35622" w14:textId="311AD62F" w:rsidR="00B8220E" w:rsidRPr="000E5BF8" w:rsidRDefault="009E72C8" w:rsidP="00E04435">
            <w:pPr>
              <w:spacing w:before="40" w:after="40" w:line="240" w:lineRule="auto"/>
              <w:rPr>
                <w:rFonts w:eastAsia="Times New Roman" w:cs="Arial"/>
                <w:color w:val="1C1C1C"/>
                <w:sz w:val="16"/>
                <w:szCs w:val="16"/>
                <w:lang w:eastAsia="en-AU"/>
              </w:rPr>
            </w:pPr>
            <w:r>
              <w:rPr>
                <w:rFonts w:eastAsia="Times New Roman" w:cs="Arial"/>
                <w:color w:val="1C1C1C"/>
                <w:sz w:val="16"/>
                <w:szCs w:val="16"/>
                <w:lang w:eastAsia="en-AU"/>
              </w:rPr>
              <w:t>C</w:t>
            </w:r>
            <w:r w:rsidR="00B8220E" w:rsidRPr="000E5BF8">
              <w:rPr>
                <w:rFonts w:eastAsia="Times New Roman" w:cs="Arial"/>
                <w:color w:val="1C1C1C"/>
                <w:sz w:val="16"/>
                <w:szCs w:val="16"/>
                <w:lang w:eastAsia="en-AU"/>
              </w:rPr>
              <w:t>ost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29CC2D58" w14:textId="77777777" w:rsidR="00B8220E" w:rsidRPr="000E5BF8" w:rsidRDefault="00B8220E" w:rsidP="00E04435">
            <w:pPr>
              <w:spacing w:before="40" w:after="40" w:line="240" w:lineRule="auto"/>
              <w:jc w:val="right"/>
              <w:rPr>
                <w:rFonts w:cs="Arial"/>
                <w:sz w:val="16"/>
                <w:szCs w:val="16"/>
              </w:rPr>
            </w:pPr>
            <w:r w:rsidRPr="000E5BF8">
              <w:rPr>
                <w:rFonts w:cs="Arial"/>
                <w:sz w:val="16"/>
                <w:szCs w:val="16"/>
              </w:rPr>
              <w:t xml:space="preserve">    1,169,383,249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18F45E64" w14:textId="77777777" w:rsidR="00B8220E" w:rsidRPr="000E5BF8" w:rsidRDefault="00B8220E" w:rsidP="00E04435">
            <w:pPr>
              <w:spacing w:before="40" w:after="40" w:line="240" w:lineRule="auto"/>
              <w:jc w:val="right"/>
              <w:rPr>
                <w:rFonts w:cs="Arial"/>
                <w:sz w:val="16"/>
                <w:szCs w:val="16"/>
              </w:rPr>
            </w:pPr>
            <w:r w:rsidRPr="000E5BF8">
              <w:rPr>
                <w:rFonts w:cs="Arial"/>
                <w:sz w:val="16"/>
                <w:szCs w:val="16"/>
              </w:rPr>
              <w:t xml:space="preserve">    1,510,855,710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71D5D880" w14:textId="77777777" w:rsidR="00B8220E" w:rsidRPr="000E5BF8" w:rsidRDefault="00B8220E" w:rsidP="00E04435">
            <w:pPr>
              <w:spacing w:before="40" w:after="40" w:line="240" w:lineRule="auto"/>
              <w:jc w:val="right"/>
              <w:rPr>
                <w:rFonts w:cs="Arial"/>
                <w:sz w:val="16"/>
                <w:szCs w:val="16"/>
              </w:rPr>
            </w:pPr>
            <w:r w:rsidRPr="000E5BF8">
              <w:rPr>
                <w:rFonts w:cs="Arial"/>
                <w:sz w:val="16"/>
                <w:szCs w:val="16"/>
              </w:rPr>
              <w:t xml:space="preserve">    1,657,969,982 </w:t>
            </w:r>
          </w:p>
        </w:tc>
      </w:tr>
      <w:tr w:rsidR="00B8220E" w:rsidRPr="00492588" w14:paraId="1FA1DD89" w14:textId="77777777" w:rsidTr="00E04435">
        <w:trPr>
          <w:trHeight w:val="298"/>
        </w:trPr>
        <w:tc>
          <w:tcPr>
            <w:tcW w:w="3303" w:type="dxa"/>
            <w:tcBorders>
              <w:top w:val="single" w:sz="8" w:space="0" w:color="D9D9D9"/>
              <w:left w:val="nil"/>
              <w:bottom w:val="single" w:sz="8" w:space="0" w:color="D9D9D9"/>
              <w:right w:val="single" w:sz="8" w:space="0" w:color="FFFFFF"/>
            </w:tcBorders>
            <w:shd w:val="clear" w:color="000000" w:fill="F2F2F2"/>
            <w:vAlign w:val="center"/>
          </w:tcPr>
          <w:p w14:paraId="222B65D5" w14:textId="77777777" w:rsidR="00B8220E" w:rsidRPr="000E5BF8" w:rsidRDefault="00B8220E" w:rsidP="00E04435">
            <w:pPr>
              <w:spacing w:before="40" w:after="40" w:line="240" w:lineRule="auto"/>
              <w:rPr>
                <w:rFonts w:eastAsia="Times New Roman" w:cs="Arial"/>
                <w:color w:val="1C1C1C"/>
                <w:sz w:val="16"/>
                <w:szCs w:val="16"/>
                <w:lang w:eastAsia="en-AU"/>
              </w:rPr>
            </w:pPr>
            <w:r w:rsidRPr="000E5BF8">
              <w:rPr>
                <w:rFonts w:eastAsia="Times New Roman" w:cs="Arial"/>
                <w:color w:val="1C1C1C"/>
                <w:sz w:val="16"/>
                <w:szCs w:val="16"/>
                <w:lang w:eastAsia="en-AU"/>
              </w:rPr>
              <w:t xml:space="preserve">Average cost per phase ($)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75EE5FA9" w14:textId="77777777" w:rsidR="00B8220E" w:rsidRPr="000E5BF8" w:rsidRDefault="00B8220E" w:rsidP="00E04435">
            <w:pPr>
              <w:spacing w:before="40" w:after="40" w:line="240" w:lineRule="auto"/>
              <w:jc w:val="right"/>
              <w:rPr>
                <w:rFonts w:cs="Arial"/>
                <w:sz w:val="16"/>
                <w:szCs w:val="16"/>
              </w:rPr>
            </w:pPr>
            <w:r w:rsidRPr="000E5BF8">
              <w:rPr>
                <w:rFonts w:cs="Arial"/>
                <w:sz w:val="16"/>
                <w:szCs w:val="16"/>
              </w:rPr>
              <w:t xml:space="preserve">                  2,882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54D8DAF1" w14:textId="77777777" w:rsidR="00B8220E" w:rsidRPr="000E5BF8" w:rsidRDefault="00B8220E" w:rsidP="00E04435">
            <w:pPr>
              <w:spacing w:before="40" w:after="40" w:line="240" w:lineRule="auto"/>
              <w:jc w:val="right"/>
              <w:rPr>
                <w:rFonts w:cs="Arial"/>
                <w:sz w:val="16"/>
                <w:szCs w:val="16"/>
              </w:rPr>
            </w:pPr>
            <w:r w:rsidRPr="000E5BF8">
              <w:rPr>
                <w:rFonts w:cs="Arial"/>
                <w:sz w:val="16"/>
                <w:szCs w:val="16"/>
              </w:rPr>
              <w:t xml:space="preserve">                  2,718 </w:t>
            </w:r>
          </w:p>
        </w:tc>
        <w:tc>
          <w:tcPr>
            <w:tcW w:w="2140" w:type="dxa"/>
            <w:tcBorders>
              <w:top w:val="single" w:sz="8" w:space="0" w:color="D9D9D9"/>
              <w:left w:val="nil"/>
              <w:bottom w:val="single" w:sz="8" w:space="0" w:color="D9D9D9"/>
              <w:right w:val="single" w:sz="8" w:space="0" w:color="FFFFFF"/>
            </w:tcBorders>
            <w:shd w:val="clear" w:color="000000" w:fill="F2F2F2"/>
            <w:vAlign w:val="center"/>
          </w:tcPr>
          <w:p w14:paraId="1E5435D5" w14:textId="77777777" w:rsidR="00B8220E" w:rsidRPr="000E5BF8" w:rsidRDefault="00B8220E" w:rsidP="00E04435">
            <w:pPr>
              <w:spacing w:before="40" w:after="40" w:line="240" w:lineRule="auto"/>
              <w:jc w:val="right"/>
              <w:rPr>
                <w:rFonts w:cs="Arial"/>
                <w:sz w:val="16"/>
                <w:szCs w:val="16"/>
              </w:rPr>
            </w:pPr>
            <w:r w:rsidRPr="000E5BF8">
              <w:rPr>
                <w:rFonts w:cs="Arial"/>
                <w:sz w:val="16"/>
                <w:szCs w:val="16"/>
              </w:rPr>
              <w:t xml:space="preserve">                  2,273 </w:t>
            </w:r>
          </w:p>
        </w:tc>
      </w:tr>
    </w:tbl>
    <w:p w14:paraId="47F71C68" w14:textId="5BE5823B" w:rsidR="0044452F" w:rsidRDefault="00915F90" w:rsidP="008953E2">
      <w:pPr>
        <w:spacing w:before="240"/>
        <w:rPr>
          <w:rFonts w:cs="Arial"/>
        </w:rPr>
      </w:pPr>
      <w:r>
        <w:rPr>
          <w:rFonts w:cs="Arial"/>
        </w:rPr>
        <w:t xml:space="preserve">In 2022-23, </w:t>
      </w:r>
      <w:r w:rsidRPr="00915F90">
        <w:rPr>
          <w:rFonts w:cs="Arial"/>
        </w:rPr>
        <w:t xml:space="preserve">IHACPA received cost for community </w:t>
      </w:r>
      <w:r>
        <w:rPr>
          <w:rFonts w:cs="Arial"/>
        </w:rPr>
        <w:t xml:space="preserve">mental health </w:t>
      </w:r>
      <w:r w:rsidR="0077487E">
        <w:rPr>
          <w:rFonts w:cs="Arial"/>
        </w:rPr>
        <w:t xml:space="preserve">episodes </w:t>
      </w:r>
      <w:r w:rsidRPr="00915F90">
        <w:rPr>
          <w:rFonts w:cs="Arial"/>
        </w:rPr>
        <w:t xml:space="preserve">that </w:t>
      </w:r>
      <w:r w:rsidR="0077487E">
        <w:rPr>
          <w:rFonts w:cs="Arial"/>
        </w:rPr>
        <w:t>could not be split into single phases</w:t>
      </w:r>
      <w:r>
        <w:rPr>
          <w:rFonts w:cs="Arial"/>
        </w:rPr>
        <w:t>.</w:t>
      </w:r>
      <w:r w:rsidR="0077487E">
        <w:rPr>
          <w:rFonts w:cs="Arial"/>
        </w:rPr>
        <w:t xml:space="preserve"> The results for community mental health episodes have been excluded from this report.</w:t>
      </w:r>
      <w:r w:rsidR="00FE7A8F" w:rsidRPr="00FE7A8F">
        <w:t xml:space="preserve"> </w:t>
      </w:r>
      <w:r w:rsidR="00FE7A8F">
        <w:t>Not all jurisdictions are able to report</w:t>
      </w:r>
      <w:r w:rsidR="00B34F44">
        <w:t xml:space="preserve"> community mental health</w:t>
      </w:r>
      <w:r w:rsidR="00FE7A8F">
        <w:t xml:space="preserve"> at the phase level, resulting in </w:t>
      </w:r>
      <w:proofErr w:type="gramStart"/>
      <w:r w:rsidR="00FE7A8F">
        <w:t>high cost</w:t>
      </w:r>
      <w:proofErr w:type="gramEnd"/>
      <w:r w:rsidR="00FE7A8F">
        <w:t xml:space="preserve"> episodes consisting of multiple phases and does not allow for accurate </w:t>
      </w:r>
      <w:r w:rsidR="0077487E">
        <w:rPr>
          <w:rFonts w:cs="Arial"/>
        </w:rPr>
        <w:t xml:space="preserve">comparison. </w:t>
      </w:r>
      <w:r w:rsidR="00FD36AC" w:rsidRPr="00303546">
        <w:rPr>
          <w:rStyle w:val="Cross-referenceChar"/>
        </w:rPr>
        <w:fldChar w:fldCharType="begin"/>
      </w:r>
      <w:r w:rsidR="00FD36AC" w:rsidRPr="00303546">
        <w:rPr>
          <w:rStyle w:val="Cross-referenceChar"/>
        </w:rPr>
        <w:instrText xml:space="preserve"> REF _Ref185851524 \h </w:instrText>
      </w:r>
      <w:r w:rsidR="00741717">
        <w:rPr>
          <w:rStyle w:val="Cross-referenceChar"/>
        </w:rPr>
        <w:instrText xml:space="preserve"> \* MERGEFORMAT </w:instrText>
      </w:r>
      <w:r w:rsidR="00FD36AC" w:rsidRPr="00303546">
        <w:rPr>
          <w:rStyle w:val="Cross-referenceChar"/>
        </w:rPr>
      </w:r>
      <w:r w:rsidR="00FD36AC" w:rsidRPr="00303546">
        <w:rPr>
          <w:rStyle w:val="Cross-referenceChar"/>
        </w:rPr>
        <w:fldChar w:fldCharType="separate"/>
      </w:r>
      <w:r w:rsidR="00253B18" w:rsidRPr="00253B18">
        <w:rPr>
          <w:rStyle w:val="Cross-referenceChar"/>
        </w:rPr>
        <w:t>Table 31</w:t>
      </w:r>
      <w:r w:rsidR="00FD36AC" w:rsidRPr="00303546">
        <w:rPr>
          <w:rStyle w:val="Cross-referenceChar"/>
        </w:rPr>
        <w:fldChar w:fldCharType="end"/>
      </w:r>
      <w:r w:rsidR="0077487E">
        <w:rPr>
          <w:rFonts w:cs="Arial"/>
        </w:rPr>
        <w:t xml:space="preserve"> shows the national </w:t>
      </w:r>
      <w:r w:rsidR="00224B54">
        <w:rPr>
          <w:rFonts w:cs="Arial"/>
        </w:rPr>
        <w:t xml:space="preserve">community mental health </w:t>
      </w:r>
      <w:r w:rsidR="0077487E">
        <w:rPr>
          <w:rFonts w:cs="Arial"/>
        </w:rPr>
        <w:t>episodes and cost received by end</w:t>
      </w:r>
      <w:r w:rsidR="0077487E">
        <w:rPr>
          <w:rFonts w:cs="Arial"/>
        </w:rPr>
        <w:noBreakHyphen/>
        <w:t>class in 2022-23.</w:t>
      </w:r>
    </w:p>
    <w:p w14:paraId="59F312EB" w14:textId="58EB7437" w:rsidR="00915F90" w:rsidRDefault="00915F90" w:rsidP="00303546">
      <w:pPr>
        <w:pStyle w:val="TableFigureheading"/>
      </w:pPr>
      <w:bookmarkStart w:id="410" w:name="_Ref185851524"/>
      <w:bookmarkStart w:id="411" w:name="_Toc185852239"/>
      <w:bookmarkStart w:id="412" w:name="_Toc187312157"/>
      <w:r w:rsidRPr="0093558C">
        <w:rPr>
          <w:lang w:val="en-PH"/>
        </w:rPr>
        <w:t xml:space="preserve">Table </w:t>
      </w:r>
      <w:r w:rsidRPr="0093558C">
        <w:rPr>
          <w:lang w:val="en-PH"/>
        </w:rPr>
        <w:fldChar w:fldCharType="begin"/>
      </w:r>
      <w:r w:rsidRPr="0093558C">
        <w:rPr>
          <w:lang w:val="en-PH"/>
        </w:rPr>
        <w:instrText xml:space="preserve"> SEQ Table \* ARABIC </w:instrText>
      </w:r>
      <w:r w:rsidRPr="0093558C">
        <w:rPr>
          <w:lang w:val="en-PH"/>
        </w:rPr>
        <w:fldChar w:fldCharType="separate"/>
      </w:r>
      <w:r w:rsidR="00253B18">
        <w:rPr>
          <w:noProof/>
          <w:lang w:val="en-PH"/>
        </w:rPr>
        <w:t>31</w:t>
      </w:r>
      <w:r w:rsidRPr="0093558C">
        <w:rPr>
          <w:lang w:val="en-PH"/>
        </w:rPr>
        <w:fldChar w:fldCharType="end"/>
      </w:r>
      <w:bookmarkEnd w:id="410"/>
      <w:r w:rsidRPr="0093558C">
        <w:rPr>
          <w:lang w:val="en-PH"/>
        </w:rPr>
        <w:t xml:space="preserve">: </w:t>
      </w:r>
      <w:r>
        <w:rPr>
          <w:lang w:val="en-PH"/>
        </w:rPr>
        <w:t>Community mental health episodes national summary</w:t>
      </w:r>
      <w:r w:rsidRPr="0093558C">
        <w:rPr>
          <w:lang w:val="en-PH"/>
        </w:rPr>
        <w:t xml:space="preserve">, </w:t>
      </w:r>
      <w:r w:rsidRPr="008B2CD8">
        <w:rPr>
          <w:lang w:val="en-PH"/>
        </w:rPr>
        <w:t>202</w:t>
      </w:r>
      <w:r>
        <w:rPr>
          <w:lang w:val="en-PH"/>
        </w:rPr>
        <w:t>2</w:t>
      </w:r>
      <w:r w:rsidRPr="008B2CD8">
        <w:rPr>
          <w:lang w:val="en-PH"/>
        </w:rPr>
        <w:t>-2</w:t>
      </w:r>
      <w:r>
        <w:rPr>
          <w:lang w:val="en-PH"/>
        </w:rPr>
        <w:t>3</w:t>
      </w:r>
      <w:bookmarkEnd w:id="411"/>
      <w:bookmarkEnd w:id="412"/>
    </w:p>
    <w:tbl>
      <w:tblPr>
        <w:tblW w:w="9667" w:type="dxa"/>
        <w:tblLook w:val="04A0" w:firstRow="1" w:lastRow="0" w:firstColumn="1" w:lastColumn="0" w:noHBand="0" w:noVBand="1"/>
      </w:tblPr>
      <w:tblGrid>
        <w:gridCol w:w="1124"/>
        <w:gridCol w:w="4253"/>
        <w:gridCol w:w="2217"/>
        <w:gridCol w:w="2073"/>
      </w:tblGrid>
      <w:tr w:rsidR="00915F90" w:rsidRPr="00915F90" w14:paraId="272562CE" w14:textId="77777777" w:rsidTr="00530E79">
        <w:trPr>
          <w:trHeight w:val="291"/>
        </w:trPr>
        <w:tc>
          <w:tcPr>
            <w:tcW w:w="1124" w:type="dxa"/>
            <w:tcBorders>
              <w:top w:val="nil"/>
              <w:left w:val="single" w:sz="8" w:space="0" w:color="FFFFFF"/>
              <w:bottom w:val="single" w:sz="8" w:space="0" w:color="D9D9D9"/>
              <w:right w:val="single" w:sz="8" w:space="0" w:color="FFFFFF"/>
            </w:tcBorders>
            <w:shd w:val="clear" w:color="000000" w:fill="15272F"/>
            <w:vAlign w:val="center"/>
            <w:hideMark/>
          </w:tcPr>
          <w:p w14:paraId="5D29A45A" w14:textId="77777777" w:rsidR="00915F90" w:rsidRPr="00915F90" w:rsidRDefault="00915F90" w:rsidP="00915F90">
            <w:pPr>
              <w:spacing w:after="0" w:line="240" w:lineRule="auto"/>
              <w:jc w:val="center"/>
              <w:rPr>
                <w:rFonts w:eastAsia="Times New Roman" w:cs="Arial"/>
                <w:b/>
                <w:bCs/>
                <w:color w:val="FFFFFF"/>
                <w:sz w:val="16"/>
                <w:szCs w:val="16"/>
                <w:lang w:eastAsia="en-AU"/>
              </w:rPr>
            </w:pPr>
            <w:r w:rsidRPr="00915F90">
              <w:rPr>
                <w:rFonts w:eastAsia="Times New Roman" w:cs="Arial"/>
                <w:b/>
                <w:bCs/>
                <w:color w:val="FFFFFF"/>
                <w:sz w:val="16"/>
                <w:szCs w:val="16"/>
                <w:lang w:eastAsia="en-AU"/>
              </w:rPr>
              <w:t>AMHCC</w:t>
            </w:r>
          </w:p>
        </w:tc>
        <w:tc>
          <w:tcPr>
            <w:tcW w:w="4253" w:type="dxa"/>
            <w:tcBorders>
              <w:top w:val="nil"/>
              <w:left w:val="nil"/>
              <w:bottom w:val="single" w:sz="8" w:space="0" w:color="D9D9D9"/>
              <w:right w:val="single" w:sz="8" w:space="0" w:color="FFFFFF"/>
            </w:tcBorders>
            <w:shd w:val="clear" w:color="000000" w:fill="15272F"/>
            <w:vAlign w:val="center"/>
            <w:hideMark/>
          </w:tcPr>
          <w:p w14:paraId="2192E883" w14:textId="77777777" w:rsidR="00915F90" w:rsidRPr="00915F90" w:rsidRDefault="00915F90" w:rsidP="00915F90">
            <w:pPr>
              <w:spacing w:after="0" w:line="240" w:lineRule="auto"/>
              <w:jc w:val="center"/>
              <w:rPr>
                <w:rFonts w:eastAsia="Times New Roman" w:cs="Arial"/>
                <w:b/>
                <w:bCs/>
                <w:color w:val="FFFFFF"/>
                <w:sz w:val="16"/>
                <w:szCs w:val="16"/>
                <w:lang w:eastAsia="en-AU"/>
              </w:rPr>
            </w:pPr>
            <w:r w:rsidRPr="00915F90">
              <w:rPr>
                <w:rFonts w:eastAsia="Times New Roman" w:cs="Arial"/>
                <w:b/>
                <w:bCs/>
                <w:color w:val="FFFFFF"/>
                <w:sz w:val="16"/>
                <w:szCs w:val="16"/>
                <w:lang w:eastAsia="en-AU"/>
              </w:rPr>
              <w:t>Description</w:t>
            </w:r>
          </w:p>
        </w:tc>
        <w:tc>
          <w:tcPr>
            <w:tcW w:w="2217" w:type="dxa"/>
            <w:tcBorders>
              <w:top w:val="nil"/>
              <w:left w:val="nil"/>
              <w:bottom w:val="single" w:sz="8" w:space="0" w:color="D9D9D9"/>
              <w:right w:val="single" w:sz="8" w:space="0" w:color="FFFFFF"/>
            </w:tcBorders>
            <w:shd w:val="clear" w:color="000000" w:fill="15272F"/>
            <w:vAlign w:val="center"/>
            <w:hideMark/>
          </w:tcPr>
          <w:p w14:paraId="1BEEBEF0" w14:textId="77777777" w:rsidR="00915F90" w:rsidRPr="00915F90" w:rsidRDefault="00915F90" w:rsidP="00915F90">
            <w:pPr>
              <w:spacing w:after="0" w:line="240" w:lineRule="auto"/>
              <w:jc w:val="center"/>
              <w:rPr>
                <w:rFonts w:eastAsia="Times New Roman" w:cs="Arial"/>
                <w:b/>
                <w:bCs/>
                <w:color w:val="FFFFFF"/>
                <w:sz w:val="16"/>
                <w:szCs w:val="16"/>
                <w:lang w:eastAsia="en-AU"/>
              </w:rPr>
            </w:pPr>
            <w:r w:rsidRPr="00915F90">
              <w:rPr>
                <w:rFonts w:eastAsia="Times New Roman" w:cs="Arial"/>
                <w:b/>
                <w:bCs/>
                <w:color w:val="FFFFFF"/>
                <w:sz w:val="16"/>
                <w:szCs w:val="16"/>
                <w:lang w:eastAsia="en-AU"/>
              </w:rPr>
              <w:t>Episodes</w:t>
            </w:r>
          </w:p>
        </w:tc>
        <w:tc>
          <w:tcPr>
            <w:tcW w:w="2073" w:type="dxa"/>
            <w:tcBorders>
              <w:top w:val="nil"/>
              <w:left w:val="nil"/>
              <w:bottom w:val="single" w:sz="8" w:space="0" w:color="D9D9D9"/>
              <w:right w:val="single" w:sz="8" w:space="0" w:color="FFFFFF"/>
            </w:tcBorders>
            <w:shd w:val="clear" w:color="000000" w:fill="15272F"/>
            <w:vAlign w:val="center"/>
            <w:hideMark/>
          </w:tcPr>
          <w:p w14:paraId="311FAC65" w14:textId="7E5ADD97" w:rsidR="00915F90" w:rsidRPr="00915F90" w:rsidRDefault="00915F90" w:rsidP="00915F90">
            <w:pPr>
              <w:spacing w:after="0" w:line="240" w:lineRule="auto"/>
              <w:jc w:val="center"/>
              <w:rPr>
                <w:rFonts w:eastAsia="Times New Roman" w:cs="Arial"/>
                <w:b/>
                <w:bCs/>
                <w:color w:val="FFFFFF"/>
                <w:sz w:val="16"/>
                <w:szCs w:val="16"/>
                <w:lang w:eastAsia="en-AU"/>
              </w:rPr>
            </w:pPr>
            <w:r w:rsidRPr="00915F90">
              <w:rPr>
                <w:rFonts w:eastAsia="Times New Roman" w:cs="Arial"/>
                <w:b/>
                <w:bCs/>
                <w:color w:val="FFFFFF"/>
                <w:sz w:val="16"/>
                <w:szCs w:val="16"/>
                <w:lang w:eastAsia="en-AU"/>
              </w:rPr>
              <w:t>Cost</w:t>
            </w:r>
            <w:r>
              <w:rPr>
                <w:rFonts w:eastAsia="Times New Roman" w:cs="Arial"/>
                <w:b/>
                <w:bCs/>
                <w:color w:val="FFFFFF"/>
                <w:sz w:val="16"/>
                <w:szCs w:val="16"/>
                <w:lang w:eastAsia="en-AU"/>
              </w:rPr>
              <w:t xml:space="preserve"> ($)</w:t>
            </w:r>
          </w:p>
        </w:tc>
      </w:tr>
      <w:tr w:rsidR="00915F90" w:rsidRPr="00915F90" w14:paraId="1028A00C" w14:textId="77777777" w:rsidTr="00530E79">
        <w:trPr>
          <w:trHeight w:val="291"/>
        </w:trPr>
        <w:tc>
          <w:tcPr>
            <w:tcW w:w="1124" w:type="dxa"/>
            <w:tcBorders>
              <w:top w:val="nil"/>
              <w:left w:val="single" w:sz="8" w:space="0" w:color="FFFFFF"/>
              <w:bottom w:val="single" w:sz="8" w:space="0" w:color="D9D9D9"/>
              <w:right w:val="single" w:sz="8" w:space="0" w:color="FFFFFF"/>
            </w:tcBorders>
            <w:shd w:val="clear" w:color="000000" w:fill="F2F2F2"/>
            <w:vAlign w:val="center"/>
            <w:hideMark/>
          </w:tcPr>
          <w:p w14:paraId="604C3095" w14:textId="77777777" w:rsidR="00915F90" w:rsidRPr="00915F90" w:rsidRDefault="00915F90" w:rsidP="00530E79">
            <w:pPr>
              <w:spacing w:after="0" w:line="240" w:lineRule="auto"/>
              <w:jc w:val="center"/>
              <w:rPr>
                <w:rFonts w:eastAsia="Times New Roman" w:cs="Arial"/>
                <w:color w:val="1C1C1C"/>
                <w:sz w:val="16"/>
                <w:szCs w:val="16"/>
                <w:lang w:eastAsia="en-AU"/>
              </w:rPr>
            </w:pPr>
            <w:r w:rsidRPr="00915F90">
              <w:rPr>
                <w:rFonts w:eastAsia="Times New Roman" w:cs="Arial"/>
                <w:color w:val="1C1C1C"/>
                <w:sz w:val="16"/>
                <w:szCs w:val="16"/>
                <w:lang w:eastAsia="en-AU"/>
              </w:rPr>
              <w:t>201Z</w:t>
            </w:r>
          </w:p>
        </w:tc>
        <w:tc>
          <w:tcPr>
            <w:tcW w:w="4253" w:type="dxa"/>
            <w:tcBorders>
              <w:top w:val="nil"/>
              <w:left w:val="nil"/>
              <w:bottom w:val="single" w:sz="8" w:space="0" w:color="D9D9D9"/>
              <w:right w:val="single" w:sz="8" w:space="0" w:color="FFFFFF"/>
            </w:tcBorders>
            <w:shd w:val="clear" w:color="000000" w:fill="F2F2F2"/>
            <w:vAlign w:val="center"/>
            <w:hideMark/>
          </w:tcPr>
          <w:p w14:paraId="65F0A35C" w14:textId="77777777" w:rsidR="00915F90" w:rsidRPr="00915F90" w:rsidRDefault="00915F90" w:rsidP="00915F90">
            <w:pPr>
              <w:spacing w:after="0" w:line="240" w:lineRule="auto"/>
              <w:rPr>
                <w:rFonts w:eastAsia="Times New Roman" w:cs="Arial"/>
                <w:color w:val="1C1C1C"/>
                <w:sz w:val="16"/>
                <w:szCs w:val="16"/>
                <w:lang w:eastAsia="en-AU"/>
              </w:rPr>
            </w:pPr>
            <w:r w:rsidRPr="00915F90">
              <w:rPr>
                <w:rFonts w:eastAsia="Times New Roman" w:cs="Arial"/>
                <w:color w:val="1C1C1C"/>
                <w:sz w:val="16"/>
                <w:szCs w:val="16"/>
                <w:lang w:eastAsia="en-AU"/>
              </w:rPr>
              <w:t>Community, Assessment Only, 0-17 years</w:t>
            </w:r>
          </w:p>
        </w:tc>
        <w:tc>
          <w:tcPr>
            <w:tcW w:w="2217" w:type="dxa"/>
            <w:tcBorders>
              <w:top w:val="nil"/>
              <w:left w:val="nil"/>
              <w:bottom w:val="single" w:sz="8" w:space="0" w:color="D9D9D9"/>
              <w:right w:val="single" w:sz="8" w:space="0" w:color="FFFFFF"/>
            </w:tcBorders>
            <w:shd w:val="clear" w:color="000000" w:fill="F2F2F2"/>
            <w:vAlign w:val="center"/>
            <w:hideMark/>
          </w:tcPr>
          <w:p w14:paraId="5BB7FB74" w14:textId="77777777" w:rsidR="00915F90" w:rsidRPr="00915F90" w:rsidRDefault="00915F90" w:rsidP="00915F90">
            <w:pPr>
              <w:spacing w:after="0" w:line="240" w:lineRule="auto"/>
              <w:jc w:val="right"/>
              <w:rPr>
                <w:rFonts w:eastAsia="Times New Roman" w:cs="Arial"/>
                <w:color w:val="1C1C1C"/>
                <w:sz w:val="16"/>
                <w:szCs w:val="16"/>
                <w:lang w:eastAsia="en-AU"/>
              </w:rPr>
            </w:pPr>
            <w:r w:rsidRPr="00915F90">
              <w:rPr>
                <w:rFonts w:eastAsia="Times New Roman" w:cs="Arial"/>
                <w:color w:val="1C1C1C"/>
                <w:sz w:val="16"/>
                <w:szCs w:val="16"/>
                <w:lang w:eastAsia="en-AU"/>
              </w:rPr>
              <w:t>32,799</w:t>
            </w:r>
          </w:p>
        </w:tc>
        <w:tc>
          <w:tcPr>
            <w:tcW w:w="2073" w:type="dxa"/>
            <w:tcBorders>
              <w:top w:val="nil"/>
              <w:left w:val="nil"/>
              <w:bottom w:val="single" w:sz="8" w:space="0" w:color="D9D9D9"/>
              <w:right w:val="single" w:sz="8" w:space="0" w:color="FFFFFF"/>
            </w:tcBorders>
            <w:shd w:val="clear" w:color="000000" w:fill="F2F2F2"/>
            <w:vAlign w:val="center"/>
            <w:hideMark/>
          </w:tcPr>
          <w:p w14:paraId="3C3674B9" w14:textId="77777777" w:rsidR="00915F90" w:rsidRPr="00915F90" w:rsidRDefault="00915F90" w:rsidP="00915F90">
            <w:pPr>
              <w:spacing w:after="0" w:line="240" w:lineRule="auto"/>
              <w:jc w:val="right"/>
              <w:rPr>
                <w:rFonts w:eastAsia="Times New Roman" w:cs="Arial"/>
                <w:color w:val="1C1C1C"/>
                <w:sz w:val="16"/>
                <w:szCs w:val="16"/>
                <w:lang w:eastAsia="en-AU"/>
              </w:rPr>
            </w:pPr>
            <w:r w:rsidRPr="00915F90">
              <w:rPr>
                <w:rFonts w:eastAsia="Times New Roman" w:cs="Arial"/>
                <w:color w:val="1C1C1C"/>
                <w:sz w:val="16"/>
                <w:szCs w:val="16"/>
                <w:lang w:eastAsia="en-AU"/>
              </w:rPr>
              <w:t>84,566,398</w:t>
            </w:r>
          </w:p>
        </w:tc>
      </w:tr>
      <w:tr w:rsidR="00915F90" w:rsidRPr="00915F90" w14:paraId="5EB93B05" w14:textId="77777777" w:rsidTr="00530E79">
        <w:trPr>
          <w:trHeight w:val="291"/>
        </w:trPr>
        <w:tc>
          <w:tcPr>
            <w:tcW w:w="1124" w:type="dxa"/>
            <w:tcBorders>
              <w:top w:val="nil"/>
              <w:left w:val="single" w:sz="8" w:space="0" w:color="FFFFFF"/>
              <w:bottom w:val="single" w:sz="8" w:space="0" w:color="D9D9D9"/>
              <w:right w:val="single" w:sz="8" w:space="0" w:color="FFFFFF"/>
            </w:tcBorders>
            <w:shd w:val="clear" w:color="000000" w:fill="F2F2F2"/>
            <w:vAlign w:val="center"/>
            <w:hideMark/>
          </w:tcPr>
          <w:p w14:paraId="0190A0BD" w14:textId="77777777" w:rsidR="00915F90" w:rsidRPr="00915F90" w:rsidRDefault="00915F90" w:rsidP="00530E79">
            <w:pPr>
              <w:spacing w:after="0" w:line="240" w:lineRule="auto"/>
              <w:jc w:val="center"/>
              <w:rPr>
                <w:rFonts w:eastAsia="Times New Roman" w:cs="Arial"/>
                <w:color w:val="1C1C1C"/>
                <w:sz w:val="16"/>
                <w:szCs w:val="16"/>
                <w:lang w:eastAsia="en-AU"/>
              </w:rPr>
            </w:pPr>
            <w:r w:rsidRPr="00915F90">
              <w:rPr>
                <w:rFonts w:eastAsia="Times New Roman" w:cs="Arial"/>
                <w:color w:val="1C1C1C"/>
                <w:sz w:val="16"/>
                <w:szCs w:val="16"/>
                <w:lang w:eastAsia="en-AU"/>
              </w:rPr>
              <w:t>202Z</w:t>
            </w:r>
          </w:p>
        </w:tc>
        <w:tc>
          <w:tcPr>
            <w:tcW w:w="4253" w:type="dxa"/>
            <w:tcBorders>
              <w:top w:val="nil"/>
              <w:left w:val="nil"/>
              <w:bottom w:val="single" w:sz="8" w:space="0" w:color="D9D9D9"/>
              <w:right w:val="single" w:sz="8" w:space="0" w:color="FFFFFF"/>
            </w:tcBorders>
            <w:shd w:val="clear" w:color="000000" w:fill="F2F2F2"/>
            <w:vAlign w:val="center"/>
            <w:hideMark/>
          </w:tcPr>
          <w:p w14:paraId="247324DD" w14:textId="77777777" w:rsidR="00915F90" w:rsidRPr="00915F90" w:rsidRDefault="00915F90" w:rsidP="00915F90">
            <w:pPr>
              <w:spacing w:after="0" w:line="240" w:lineRule="auto"/>
              <w:rPr>
                <w:rFonts w:eastAsia="Times New Roman" w:cs="Arial"/>
                <w:color w:val="1C1C1C"/>
                <w:sz w:val="16"/>
                <w:szCs w:val="16"/>
                <w:lang w:eastAsia="en-AU"/>
              </w:rPr>
            </w:pPr>
            <w:r w:rsidRPr="00915F90">
              <w:rPr>
                <w:rFonts w:eastAsia="Times New Roman" w:cs="Arial"/>
                <w:color w:val="1C1C1C"/>
                <w:sz w:val="16"/>
                <w:szCs w:val="16"/>
                <w:lang w:eastAsia="en-AU"/>
              </w:rPr>
              <w:t>Community, Assessment Only, 18-64 years</w:t>
            </w:r>
          </w:p>
        </w:tc>
        <w:tc>
          <w:tcPr>
            <w:tcW w:w="2217" w:type="dxa"/>
            <w:tcBorders>
              <w:top w:val="nil"/>
              <w:left w:val="nil"/>
              <w:bottom w:val="single" w:sz="8" w:space="0" w:color="D9D9D9"/>
              <w:right w:val="single" w:sz="8" w:space="0" w:color="FFFFFF"/>
            </w:tcBorders>
            <w:shd w:val="clear" w:color="000000" w:fill="F2F2F2"/>
            <w:vAlign w:val="center"/>
            <w:hideMark/>
          </w:tcPr>
          <w:p w14:paraId="705A0095" w14:textId="77777777" w:rsidR="00915F90" w:rsidRPr="00915F90" w:rsidRDefault="00915F90" w:rsidP="00915F90">
            <w:pPr>
              <w:spacing w:after="0" w:line="240" w:lineRule="auto"/>
              <w:jc w:val="right"/>
              <w:rPr>
                <w:rFonts w:eastAsia="Times New Roman" w:cs="Arial"/>
                <w:color w:val="1C1C1C"/>
                <w:sz w:val="16"/>
                <w:szCs w:val="16"/>
                <w:lang w:eastAsia="en-AU"/>
              </w:rPr>
            </w:pPr>
            <w:r w:rsidRPr="00915F90">
              <w:rPr>
                <w:rFonts w:eastAsia="Times New Roman" w:cs="Arial"/>
                <w:color w:val="1C1C1C"/>
                <w:sz w:val="16"/>
                <w:szCs w:val="16"/>
                <w:lang w:eastAsia="en-AU"/>
              </w:rPr>
              <w:t>137,812</w:t>
            </w:r>
          </w:p>
        </w:tc>
        <w:tc>
          <w:tcPr>
            <w:tcW w:w="2073" w:type="dxa"/>
            <w:tcBorders>
              <w:top w:val="nil"/>
              <w:left w:val="nil"/>
              <w:bottom w:val="single" w:sz="8" w:space="0" w:color="D9D9D9"/>
              <w:right w:val="single" w:sz="8" w:space="0" w:color="FFFFFF"/>
            </w:tcBorders>
            <w:shd w:val="clear" w:color="000000" w:fill="F2F2F2"/>
            <w:vAlign w:val="center"/>
            <w:hideMark/>
          </w:tcPr>
          <w:p w14:paraId="47D558B7" w14:textId="77777777" w:rsidR="00915F90" w:rsidRPr="00915F90" w:rsidRDefault="00915F90" w:rsidP="00915F90">
            <w:pPr>
              <w:spacing w:after="0" w:line="240" w:lineRule="auto"/>
              <w:jc w:val="right"/>
              <w:rPr>
                <w:rFonts w:eastAsia="Times New Roman" w:cs="Arial"/>
                <w:color w:val="1C1C1C"/>
                <w:sz w:val="16"/>
                <w:szCs w:val="16"/>
                <w:lang w:eastAsia="en-AU"/>
              </w:rPr>
            </w:pPr>
            <w:r w:rsidRPr="00915F90">
              <w:rPr>
                <w:rFonts w:eastAsia="Times New Roman" w:cs="Arial"/>
                <w:color w:val="1C1C1C"/>
                <w:sz w:val="16"/>
                <w:szCs w:val="16"/>
                <w:lang w:eastAsia="en-AU"/>
              </w:rPr>
              <w:t>260,679,244</w:t>
            </w:r>
          </w:p>
        </w:tc>
      </w:tr>
      <w:tr w:rsidR="00915F90" w:rsidRPr="00915F90" w14:paraId="5839D755" w14:textId="77777777" w:rsidTr="00530E79">
        <w:trPr>
          <w:trHeight w:val="291"/>
        </w:trPr>
        <w:tc>
          <w:tcPr>
            <w:tcW w:w="1124" w:type="dxa"/>
            <w:tcBorders>
              <w:top w:val="nil"/>
              <w:left w:val="single" w:sz="8" w:space="0" w:color="FFFFFF"/>
              <w:bottom w:val="single" w:sz="8" w:space="0" w:color="D9D9D9"/>
              <w:right w:val="single" w:sz="8" w:space="0" w:color="FFFFFF"/>
            </w:tcBorders>
            <w:shd w:val="clear" w:color="000000" w:fill="F2F2F2"/>
            <w:vAlign w:val="center"/>
            <w:hideMark/>
          </w:tcPr>
          <w:p w14:paraId="031A2728" w14:textId="77777777" w:rsidR="00915F90" w:rsidRPr="00915F90" w:rsidRDefault="00915F90" w:rsidP="00530E79">
            <w:pPr>
              <w:spacing w:after="0" w:line="240" w:lineRule="auto"/>
              <w:jc w:val="center"/>
              <w:rPr>
                <w:rFonts w:eastAsia="Times New Roman" w:cs="Arial"/>
                <w:color w:val="1C1C1C"/>
                <w:sz w:val="16"/>
                <w:szCs w:val="16"/>
                <w:lang w:eastAsia="en-AU"/>
              </w:rPr>
            </w:pPr>
            <w:r w:rsidRPr="00915F90">
              <w:rPr>
                <w:rFonts w:eastAsia="Times New Roman" w:cs="Arial"/>
                <w:color w:val="1C1C1C"/>
                <w:sz w:val="16"/>
                <w:szCs w:val="16"/>
                <w:lang w:eastAsia="en-AU"/>
              </w:rPr>
              <w:t>203Z</w:t>
            </w:r>
          </w:p>
        </w:tc>
        <w:tc>
          <w:tcPr>
            <w:tcW w:w="4253" w:type="dxa"/>
            <w:tcBorders>
              <w:top w:val="nil"/>
              <w:left w:val="nil"/>
              <w:bottom w:val="single" w:sz="8" w:space="0" w:color="D9D9D9"/>
              <w:right w:val="single" w:sz="8" w:space="0" w:color="FFFFFF"/>
            </w:tcBorders>
            <w:shd w:val="clear" w:color="000000" w:fill="F2F2F2"/>
            <w:vAlign w:val="center"/>
            <w:hideMark/>
          </w:tcPr>
          <w:p w14:paraId="1D5CD212" w14:textId="77777777" w:rsidR="00915F90" w:rsidRPr="00915F90" w:rsidRDefault="00915F90" w:rsidP="00915F90">
            <w:pPr>
              <w:spacing w:after="0" w:line="240" w:lineRule="auto"/>
              <w:rPr>
                <w:rFonts w:eastAsia="Times New Roman" w:cs="Arial"/>
                <w:color w:val="1C1C1C"/>
                <w:sz w:val="16"/>
                <w:szCs w:val="16"/>
                <w:lang w:eastAsia="en-AU"/>
              </w:rPr>
            </w:pPr>
            <w:r w:rsidRPr="00915F90">
              <w:rPr>
                <w:rFonts w:eastAsia="Times New Roman" w:cs="Arial"/>
                <w:color w:val="1C1C1C"/>
                <w:sz w:val="16"/>
                <w:szCs w:val="16"/>
                <w:lang w:eastAsia="en-AU"/>
              </w:rPr>
              <w:t>Community, Assessment Only, 65+ years</w:t>
            </w:r>
          </w:p>
        </w:tc>
        <w:tc>
          <w:tcPr>
            <w:tcW w:w="2217" w:type="dxa"/>
            <w:tcBorders>
              <w:top w:val="nil"/>
              <w:left w:val="nil"/>
              <w:bottom w:val="single" w:sz="8" w:space="0" w:color="D9D9D9"/>
              <w:right w:val="single" w:sz="8" w:space="0" w:color="FFFFFF"/>
            </w:tcBorders>
            <w:shd w:val="clear" w:color="000000" w:fill="F2F2F2"/>
            <w:vAlign w:val="center"/>
            <w:hideMark/>
          </w:tcPr>
          <w:p w14:paraId="0CF3BA49" w14:textId="77777777" w:rsidR="00915F90" w:rsidRPr="00915F90" w:rsidRDefault="00915F90" w:rsidP="00915F90">
            <w:pPr>
              <w:spacing w:after="0" w:line="240" w:lineRule="auto"/>
              <w:jc w:val="right"/>
              <w:rPr>
                <w:rFonts w:eastAsia="Times New Roman" w:cs="Arial"/>
                <w:color w:val="1C1C1C"/>
                <w:sz w:val="16"/>
                <w:szCs w:val="16"/>
                <w:lang w:eastAsia="en-AU"/>
              </w:rPr>
            </w:pPr>
            <w:r w:rsidRPr="00915F90">
              <w:rPr>
                <w:rFonts w:eastAsia="Times New Roman" w:cs="Arial"/>
                <w:color w:val="1C1C1C"/>
                <w:sz w:val="16"/>
                <w:szCs w:val="16"/>
                <w:lang w:eastAsia="en-AU"/>
              </w:rPr>
              <w:t>14,671</w:t>
            </w:r>
          </w:p>
        </w:tc>
        <w:tc>
          <w:tcPr>
            <w:tcW w:w="2073" w:type="dxa"/>
            <w:tcBorders>
              <w:top w:val="nil"/>
              <w:left w:val="nil"/>
              <w:bottom w:val="single" w:sz="8" w:space="0" w:color="D9D9D9"/>
              <w:right w:val="single" w:sz="8" w:space="0" w:color="FFFFFF"/>
            </w:tcBorders>
            <w:shd w:val="clear" w:color="000000" w:fill="F2F2F2"/>
            <w:vAlign w:val="center"/>
            <w:hideMark/>
          </w:tcPr>
          <w:p w14:paraId="7D3E4068" w14:textId="77777777" w:rsidR="00915F90" w:rsidRPr="00915F90" w:rsidRDefault="00915F90" w:rsidP="00915F90">
            <w:pPr>
              <w:spacing w:after="0" w:line="240" w:lineRule="auto"/>
              <w:jc w:val="right"/>
              <w:rPr>
                <w:rFonts w:eastAsia="Times New Roman" w:cs="Arial"/>
                <w:color w:val="1C1C1C"/>
                <w:sz w:val="16"/>
                <w:szCs w:val="16"/>
                <w:lang w:eastAsia="en-AU"/>
              </w:rPr>
            </w:pPr>
            <w:r w:rsidRPr="00915F90">
              <w:rPr>
                <w:rFonts w:eastAsia="Times New Roman" w:cs="Arial"/>
                <w:color w:val="1C1C1C"/>
                <w:sz w:val="16"/>
                <w:szCs w:val="16"/>
                <w:lang w:eastAsia="en-AU"/>
              </w:rPr>
              <w:t>35,600,802</w:t>
            </w:r>
          </w:p>
        </w:tc>
      </w:tr>
      <w:tr w:rsidR="00915F90" w:rsidRPr="00915F90" w14:paraId="0F25AAFD" w14:textId="77777777" w:rsidTr="00530E79">
        <w:trPr>
          <w:trHeight w:val="291"/>
        </w:trPr>
        <w:tc>
          <w:tcPr>
            <w:tcW w:w="1124" w:type="dxa"/>
            <w:tcBorders>
              <w:top w:val="nil"/>
              <w:left w:val="single" w:sz="8" w:space="0" w:color="FFFFFF"/>
              <w:bottom w:val="single" w:sz="8" w:space="0" w:color="D9D9D9"/>
              <w:right w:val="single" w:sz="8" w:space="0" w:color="FFFFFF"/>
            </w:tcBorders>
            <w:shd w:val="clear" w:color="000000" w:fill="F2F2F2"/>
            <w:vAlign w:val="center"/>
            <w:hideMark/>
          </w:tcPr>
          <w:p w14:paraId="3E06B3F7" w14:textId="77777777" w:rsidR="00915F90" w:rsidRPr="00915F90" w:rsidRDefault="00915F90" w:rsidP="00530E79">
            <w:pPr>
              <w:spacing w:after="0" w:line="240" w:lineRule="auto"/>
              <w:jc w:val="center"/>
              <w:rPr>
                <w:rFonts w:eastAsia="Times New Roman" w:cs="Arial"/>
                <w:color w:val="1C1C1C"/>
                <w:sz w:val="16"/>
                <w:szCs w:val="16"/>
                <w:lang w:eastAsia="en-AU"/>
              </w:rPr>
            </w:pPr>
            <w:r w:rsidRPr="00915F90">
              <w:rPr>
                <w:rFonts w:eastAsia="Times New Roman" w:cs="Arial"/>
                <w:color w:val="1C1C1C"/>
                <w:sz w:val="16"/>
                <w:szCs w:val="16"/>
                <w:lang w:eastAsia="en-AU"/>
              </w:rPr>
              <w:t>291Z</w:t>
            </w:r>
          </w:p>
        </w:tc>
        <w:tc>
          <w:tcPr>
            <w:tcW w:w="4253" w:type="dxa"/>
            <w:tcBorders>
              <w:top w:val="nil"/>
              <w:left w:val="nil"/>
              <w:bottom w:val="single" w:sz="8" w:space="0" w:color="D9D9D9"/>
              <w:right w:val="single" w:sz="8" w:space="0" w:color="FFFFFF"/>
            </w:tcBorders>
            <w:shd w:val="clear" w:color="000000" w:fill="F2F2F2"/>
            <w:vAlign w:val="center"/>
            <w:hideMark/>
          </w:tcPr>
          <w:p w14:paraId="2232EDA3" w14:textId="77777777" w:rsidR="00915F90" w:rsidRPr="00915F90" w:rsidRDefault="00915F90" w:rsidP="00915F90">
            <w:pPr>
              <w:spacing w:after="0" w:line="240" w:lineRule="auto"/>
              <w:rPr>
                <w:rFonts w:eastAsia="Times New Roman" w:cs="Arial"/>
                <w:color w:val="1C1C1C"/>
                <w:sz w:val="16"/>
                <w:szCs w:val="16"/>
                <w:lang w:eastAsia="en-AU"/>
              </w:rPr>
            </w:pPr>
            <w:r w:rsidRPr="00915F90">
              <w:rPr>
                <w:rFonts w:eastAsia="Times New Roman" w:cs="Arial"/>
                <w:color w:val="1C1C1C"/>
                <w:sz w:val="16"/>
                <w:szCs w:val="16"/>
                <w:lang w:eastAsia="en-AU"/>
              </w:rPr>
              <w:t>Community, Unknown Phase, 0-17 years</w:t>
            </w:r>
          </w:p>
        </w:tc>
        <w:tc>
          <w:tcPr>
            <w:tcW w:w="2217" w:type="dxa"/>
            <w:tcBorders>
              <w:top w:val="nil"/>
              <w:left w:val="nil"/>
              <w:bottom w:val="single" w:sz="8" w:space="0" w:color="D9D9D9"/>
              <w:right w:val="single" w:sz="8" w:space="0" w:color="FFFFFF"/>
            </w:tcBorders>
            <w:shd w:val="clear" w:color="000000" w:fill="F2F2F2"/>
            <w:vAlign w:val="center"/>
            <w:hideMark/>
          </w:tcPr>
          <w:p w14:paraId="16D35711" w14:textId="77777777" w:rsidR="00915F90" w:rsidRPr="00915F90" w:rsidRDefault="00915F90" w:rsidP="00915F90">
            <w:pPr>
              <w:spacing w:after="0" w:line="240" w:lineRule="auto"/>
              <w:jc w:val="right"/>
              <w:rPr>
                <w:rFonts w:eastAsia="Times New Roman" w:cs="Arial"/>
                <w:color w:val="1C1C1C"/>
                <w:sz w:val="16"/>
                <w:szCs w:val="16"/>
                <w:lang w:eastAsia="en-AU"/>
              </w:rPr>
            </w:pPr>
            <w:r w:rsidRPr="00915F90">
              <w:rPr>
                <w:rFonts w:eastAsia="Times New Roman" w:cs="Arial"/>
                <w:color w:val="1C1C1C"/>
                <w:sz w:val="16"/>
                <w:szCs w:val="16"/>
                <w:lang w:eastAsia="en-AU"/>
              </w:rPr>
              <w:t>5,642</w:t>
            </w:r>
          </w:p>
        </w:tc>
        <w:tc>
          <w:tcPr>
            <w:tcW w:w="2073" w:type="dxa"/>
            <w:tcBorders>
              <w:top w:val="nil"/>
              <w:left w:val="nil"/>
              <w:bottom w:val="single" w:sz="8" w:space="0" w:color="D9D9D9"/>
              <w:right w:val="single" w:sz="8" w:space="0" w:color="FFFFFF"/>
            </w:tcBorders>
            <w:shd w:val="clear" w:color="000000" w:fill="F2F2F2"/>
            <w:vAlign w:val="center"/>
            <w:hideMark/>
          </w:tcPr>
          <w:p w14:paraId="44BFDA47" w14:textId="77777777" w:rsidR="00915F90" w:rsidRPr="00915F90" w:rsidRDefault="00915F90" w:rsidP="00915F90">
            <w:pPr>
              <w:spacing w:after="0" w:line="240" w:lineRule="auto"/>
              <w:jc w:val="right"/>
              <w:rPr>
                <w:rFonts w:eastAsia="Times New Roman" w:cs="Arial"/>
                <w:color w:val="1C1C1C"/>
                <w:sz w:val="16"/>
                <w:szCs w:val="16"/>
                <w:lang w:eastAsia="en-AU"/>
              </w:rPr>
            </w:pPr>
            <w:r w:rsidRPr="00915F90">
              <w:rPr>
                <w:rFonts w:eastAsia="Times New Roman" w:cs="Arial"/>
                <w:color w:val="1C1C1C"/>
                <w:sz w:val="16"/>
                <w:szCs w:val="16"/>
                <w:lang w:eastAsia="en-AU"/>
              </w:rPr>
              <w:t>53,220,205</w:t>
            </w:r>
          </w:p>
        </w:tc>
      </w:tr>
      <w:tr w:rsidR="00915F90" w:rsidRPr="00915F90" w14:paraId="099251C9" w14:textId="77777777" w:rsidTr="00530E79">
        <w:trPr>
          <w:trHeight w:val="291"/>
        </w:trPr>
        <w:tc>
          <w:tcPr>
            <w:tcW w:w="1124" w:type="dxa"/>
            <w:tcBorders>
              <w:top w:val="nil"/>
              <w:left w:val="single" w:sz="8" w:space="0" w:color="FFFFFF"/>
              <w:bottom w:val="single" w:sz="8" w:space="0" w:color="D9D9D9"/>
              <w:right w:val="single" w:sz="8" w:space="0" w:color="FFFFFF"/>
            </w:tcBorders>
            <w:shd w:val="clear" w:color="000000" w:fill="F2F2F2"/>
            <w:vAlign w:val="center"/>
            <w:hideMark/>
          </w:tcPr>
          <w:p w14:paraId="331D738B" w14:textId="77777777" w:rsidR="00915F90" w:rsidRPr="00915F90" w:rsidRDefault="00915F90" w:rsidP="00530E79">
            <w:pPr>
              <w:spacing w:after="0" w:line="240" w:lineRule="auto"/>
              <w:jc w:val="center"/>
              <w:rPr>
                <w:rFonts w:eastAsia="Times New Roman" w:cs="Arial"/>
                <w:color w:val="1C1C1C"/>
                <w:sz w:val="16"/>
                <w:szCs w:val="16"/>
                <w:lang w:eastAsia="en-AU"/>
              </w:rPr>
            </w:pPr>
            <w:r w:rsidRPr="00915F90">
              <w:rPr>
                <w:rFonts w:eastAsia="Times New Roman" w:cs="Arial"/>
                <w:color w:val="1C1C1C"/>
                <w:sz w:val="16"/>
                <w:szCs w:val="16"/>
                <w:lang w:eastAsia="en-AU"/>
              </w:rPr>
              <w:t>292Z</w:t>
            </w:r>
          </w:p>
        </w:tc>
        <w:tc>
          <w:tcPr>
            <w:tcW w:w="4253" w:type="dxa"/>
            <w:tcBorders>
              <w:top w:val="nil"/>
              <w:left w:val="nil"/>
              <w:bottom w:val="single" w:sz="8" w:space="0" w:color="D9D9D9"/>
              <w:right w:val="single" w:sz="8" w:space="0" w:color="FFFFFF"/>
            </w:tcBorders>
            <w:shd w:val="clear" w:color="000000" w:fill="F2F2F2"/>
            <w:vAlign w:val="center"/>
            <w:hideMark/>
          </w:tcPr>
          <w:p w14:paraId="0BE667DA" w14:textId="77777777" w:rsidR="00915F90" w:rsidRPr="00915F90" w:rsidRDefault="00915F90" w:rsidP="00915F90">
            <w:pPr>
              <w:spacing w:after="0" w:line="240" w:lineRule="auto"/>
              <w:rPr>
                <w:rFonts w:eastAsia="Times New Roman" w:cs="Arial"/>
                <w:color w:val="1C1C1C"/>
                <w:sz w:val="16"/>
                <w:szCs w:val="16"/>
                <w:lang w:eastAsia="en-AU"/>
              </w:rPr>
            </w:pPr>
            <w:r w:rsidRPr="00915F90">
              <w:rPr>
                <w:rFonts w:eastAsia="Times New Roman" w:cs="Arial"/>
                <w:color w:val="1C1C1C"/>
                <w:sz w:val="16"/>
                <w:szCs w:val="16"/>
                <w:lang w:eastAsia="en-AU"/>
              </w:rPr>
              <w:t>Community, Unknown Phase, 18-64 years</w:t>
            </w:r>
          </w:p>
        </w:tc>
        <w:tc>
          <w:tcPr>
            <w:tcW w:w="2217" w:type="dxa"/>
            <w:tcBorders>
              <w:top w:val="nil"/>
              <w:left w:val="nil"/>
              <w:bottom w:val="single" w:sz="8" w:space="0" w:color="D9D9D9"/>
              <w:right w:val="single" w:sz="8" w:space="0" w:color="FFFFFF"/>
            </w:tcBorders>
            <w:shd w:val="clear" w:color="000000" w:fill="F2F2F2"/>
            <w:vAlign w:val="center"/>
            <w:hideMark/>
          </w:tcPr>
          <w:p w14:paraId="212ACD32" w14:textId="77777777" w:rsidR="00915F90" w:rsidRPr="00915F90" w:rsidRDefault="00915F90" w:rsidP="00915F90">
            <w:pPr>
              <w:spacing w:after="0" w:line="240" w:lineRule="auto"/>
              <w:jc w:val="right"/>
              <w:rPr>
                <w:rFonts w:eastAsia="Times New Roman" w:cs="Arial"/>
                <w:color w:val="1C1C1C"/>
                <w:sz w:val="16"/>
                <w:szCs w:val="16"/>
                <w:lang w:eastAsia="en-AU"/>
              </w:rPr>
            </w:pPr>
            <w:r w:rsidRPr="00915F90">
              <w:rPr>
                <w:rFonts w:eastAsia="Times New Roman" w:cs="Arial"/>
                <w:color w:val="1C1C1C"/>
                <w:sz w:val="16"/>
                <w:szCs w:val="16"/>
                <w:lang w:eastAsia="en-AU"/>
              </w:rPr>
              <w:t>22,162</w:t>
            </w:r>
          </w:p>
        </w:tc>
        <w:tc>
          <w:tcPr>
            <w:tcW w:w="2073" w:type="dxa"/>
            <w:tcBorders>
              <w:top w:val="nil"/>
              <w:left w:val="nil"/>
              <w:bottom w:val="single" w:sz="8" w:space="0" w:color="D9D9D9"/>
              <w:right w:val="single" w:sz="8" w:space="0" w:color="FFFFFF"/>
            </w:tcBorders>
            <w:shd w:val="clear" w:color="000000" w:fill="F2F2F2"/>
            <w:vAlign w:val="center"/>
            <w:hideMark/>
          </w:tcPr>
          <w:p w14:paraId="020EB715" w14:textId="77777777" w:rsidR="00915F90" w:rsidRPr="00915F90" w:rsidRDefault="00915F90" w:rsidP="00915F90">
            <w:pPr>
              <w:spacing w:after="0" w:line="240" w:lineRule="auto"/>
              <w:jc w:val="right"/>
              <w:rPr>
                <w:rFonts w:eastAsia="Times New Roman" w:cs="Arial"/>
                <w:color w:val="1C1C1C"/>
                <w:sz w:val="16"/>
                <w:szCs w:val="16"/>
                <w:lang w:eastAsia="en-AU"/>
              </w:rPr>
            </w:pPr>
            <w:r w:rsidRPr="00915F90">
              <w:rPr>
                <w:rFonts w:eastAsia="Times New Roman" w:cs="Arial"/>
                <w:color w:val="1C1C1C"/>
                <w:sz w:val="16"/>
                <w:szCs w:val="16"/>
                <w:lang w:eastAsia="en-AU"/>
              </w:rPr>
              <w:t>154,927,390</w:t>
            </w:r>
          </w:p>
        </w:tc>
      </w:tr>
      <w:tr w:rsidR="00915F90" w:rsidRPr="00915F90" w14:paraId="6B4FC86A" w14:textId="77777777" w:rsidTr="00530E79">
        <w:trPr>
          <w:trHeight w:val="291"/>
        </w:trPr>
        <w:tc>
          <w:tcPr>
            <w:tcW w:w="1124" w:type="dxa"/>
            <w:tcBorders>
              <w:top w:val="nil"/>
              <w:left w:val="single" w:sz="8" w:space="0" w:color="FFFFFF"/>
              <w:bottom w:val="single" w:sz="8" w:space="0" w:color="D9D9D9"/>
              <w:right w:val="single" w:sz="8" w:space="0" w:color="FFFFFF"/>
            </w:tcBorders>
            <w:shd w:val="clear" w:color="000000" w:fill="F2F2F2"/>
            <w:vAlign w:val="center"/>
            <w:hideMark/>
          </w:tcPr>
          <w:p w14:paraId="4D58457E" w14:textId="77777777" w:rsidR="00915F90" w:rsidRPr="00915F90" w:rsidRDefault="00915F90" w:rsidP="00530E79">
            <w:pPr>
              <w:spacing w:after="0" w:line="240" w:lineRule="auto"/>
              <w:jc w:val="center"/>
              <w:rPr>
                <w:rFonts w:eastAsia="Times New Roman" w:cs="Arial"/>
                <w:color w:val="1C1C1C"/>
                <w:sz w:val="16"/>
                <w:szCs w:val="16"/>
                <w:lang w:eastAsia="en-AU"/>
              </w:rPr>
            </w:pPr>
            <w:r w:rsidRPr="00915F90">
              <w:rPr>
                <w:rFonts w:eastAsia="Times New Roman" w:cs="Arial"/>
                <w:color w:val="1C1C1C"/>
                <w:sz w:val="16"/>
                <w:szCs w:val="16"/>
                <w:lang w:eastAsia="en-AU"/>
              </w:rPr>
              <w:t>293Z</w:t>
            </w:r>
          </w:p>
        </w:tc>
        <w:tc>
          <w:tcPr>
            <w:tcW w:w="4253" w:type="dxa"/>
            <w:tcBorders>
              <w:top w:val="nil"/>
              <w:left w:val="nil"/>
              <w:bottom w:val="single" w:sz="8" w:space="0" w:color="D9D9D9"/>
              <w:right w:val="single" w:sz="8" w:space="0" w:color="FFFFFF"/>
            </w:tcBorders>
            <w:shd w:val="clear" w:color="000000" w:fill="F2F2F2"/>
            <w:vAlign w:val="center"/>
            <w:hideMark/>
          </w:tcPr>
          <w:p w14:paraId="4E6EC975" w14:textId="77777777" w:rsidR="00915F90" w:rsidRPr="00915F90" w:rsidRDefault="00915F90" w:rsidP="00915F90">
            <w:pPr>
              <w:spacing w:after="0" w:line="240" w:lineRule="auto"/>
              <w:rPr>
                <w:rFonts w:eastAsia="Times New Roman" w:cs="Arial"/>
                <w:color w:val="1C1C1C"/>
                <w:sz w:val="16"/>
                <w:szCs w:val="16"/>
                <w:lang w:eastAsia="en-AU"/>
              </w:rPr>
            </w:pPr>
            <w:r w:rsidRPr="00915F90">
              <w:rPr>
                <w:rFonts w:eastAsia="Times New Roman" w:cs="Arial"/>
                <w:color w:val="1C1C1C"/>
                <w:sz w:val="16"/>
                <w:szCs w:val="16"/>
                <w:lang w:eastAsia="en-AU"/>
              </w:rPr>
              <w:t>Community, Unknown Phase, 65+ years</w:t>
            </w:r>
          </w:p>
        </w:tc>
        <w:tc>
          <w:tcPr>
            <w:tcW w:w="2217" w:type="dxa"/>
            <w:tcBorders>
              <w:top w:val="nil"/>
              <w:left w:val="nil"/>
              <w:bottom w:val="single" w:sz="8" w:space="0" w:color="D9D9D9"/>
              <w:right w:val="single" w:sz="8" w:space="0" w:color="FFFFFF"/>
            </w:tcBorders>
            <w:shd w:val="clear" w:color="000000" w:fill="F2F2F2"/>
            <w:vAlign w:val="center"/>
            <w:hideMark/>
          </w:tcPr>
          <w:p w14:paraId="0B335E21" w14:textId="77777777" w:rsidR="00915F90" w:rsidRPr="00915F90" w:rsidRDefault="00915F90" w:rsidP="00915F90">
            <w:pPr>
              <w:spacing w:after="0" w:line="240" w:lineRule="auto"/>
              <w:jc w:val="right"/>
              <w:rPr>
                <w:rFonts w:eastAsia="Times New Roman" w:cs="Arial"/>
                <w:color w:val="1C1C1C"/>
                <w:sz w:val="16"/>
                <w:szCs w:val="16"/>
                <w:lang w:eastAsia="en-AU"/>
              </w:rPr>
            </w:pPr>
            <w:r w:rsidRPr="00915F90">
              <w:rPr>
                <w:rFonts w:eastAsia="Times New Roman" w:cs="Arial"/>
                <w:color w:val="1C1C1C"/>
                <w:sz w:val="16"/>
                <w:szCs w:val="16"/>
                <w:lang w:eastAsia="en-AU"/>
              </w:rPr>
              <w:t>3,093</w:t>
            </w:r>
          </w:p>
        </w:tc>
        <w:tc>
          <w:tcPr>
            <w:tcW w:w="2073" w:type="dxa"/>
            <w:tcBorders>
              <w:top w:val="nil"/>
              <w:left w:val="nil"/>
              <w:bottom w:val="single" w:sz="8" w:space="0" w:color="D9D9D9"/>
              <w:right w:val="single" w:sz="8" w:space="0" w:color="FFFFFF"/>
            </w:tcBorders>
            <w:shd w:val="clear" w:color="000000" w:fill="F2F2F2"/>
            <w:vAlign w:val="center"/>
            <w:hideMark/>
          </w:tcPr>
          <w:p w14:paraId="4CAEDC8C" w14:textId="77777777" w:rsidR="00915F90" w:rsidRPr="00915F90" w:rsidRDefault="00915F90" w:rsidP="00915F90">
            <w:pPr>
              <w:spacing w:after="0" w:line="240" w:lineRule="auto"/>
              <w:jc w:val="right"/>
              <w:rPr>
                <w:rFonts w:eastAsia="Times New Roman" w:cs="Arial"/>
                <w:color w:val="1C1C1C"/>
                <w:sz w:val="16"/>
                <w:szCs w:val="16"/>
                <w:lang w:eastAsia="en-AU"/>
              </w:rPr>
            </w:pPr>
            <w:r w:rsidRPr="00915F90">
              <w:rPr>
                <w:rFonts w:eastAsia="Times New Roman" w:cs="Arial"/>
                <w:color w:val="1C1C1C"/>
                <w:sz w:val="16"/>
                <w:szCs w:val="16"/>
                <w:lang w:eastAsia="en-AU"/>
              </w:rPr>
              <w:t>23,950,216</w:t>
            </w:r>
          </w:p>
        </w:tc>
      </w:tr>
      <w:tr w:rsidR="00915F90" w:rsidRPr="00915F90" w14:paraId="23D8969B" w14:textId="77777777" w:rsidTr="00530E79">
        <w:trPr>
          <w:trHeight w:val="291"/>
        </w:trPr>
        <w:tc>
          <w:tcPr>
            <w:tcW w:w="5377" w:type="dxa"/>
            <w:gridSpan w:val="2"/>
            <w:tcBorders>
              <w:top w:val="single" w:sz="8" w:space="0" w:color="D9D9D9"/>
              <w:left w:val="single" w:sz="8" w:space="0" w:color="FFFFFF"/>
              <w:bottom w:val="single" w:sz="8" w:space="0" w:color="D9D9D9"/>
              <w:right w:val="single" w:sz="8" w:space="0" w:color="FFFFFF"/>
            </w:tcBorders>
            <w:shd w:val="clear" w:color="000000" w:fill="F2F2F2"/>
            <w:vAlign w:val="center"/>
            <w:hideMark/>
          </w:tcPr>
          <w:p w14:paraId="6EC87760" w14:textId="77777777" w:rsidR="00915F90" w:rsidRPr="00F25099" w:rsidRDefault="00915F90" w:rsidP="00F25099">
            <w:pPr>
              <w:spacing w:after="0" w:line="240" w:lineRule="auto"/>
              <w:jc w:val="center"/>
              <w:rPr>
                <w:rFonts w:eastAsia="Times New Roman" w:cs="Arial"/>
                <w:b/>
                <w:bCs/>
                <w:color w:val="1C1C1C"/>
                <w:sz w:val="16"/>
                <w:szCs w:val="16"/>
                <w:lang w:eastAsia="en-AU"/>
              </w:rPr>
            </w:pPr>
            <w:r w:rsidRPr="00F25099">
              <w:rPr>
                <w:rFonts w:eastAsia="Times New Roman" w:cs="Arial"/>
                <w:b/>
                <w:bCs/>
                <w:color w:val="1C1C1C"/>
                <w:sz w:val="16"/>
                <w:szCs w:val="16"/>
                <w:lang w:eastAsia="en-AU"/>
              </w:rPr>
              <w:t>Total</w:t>
            </w:r>
          </w:p>
        </w:tc>
        <w:tc>
          <w:tcPr>
            <w:tcW w:w="2217" w:type="dxa"/>
            <w:tcBorders>
              <w:top w:val="nil"/>
              <w:left w:val="nil"/>
              <w:bottom w:val="single" w:sz="8" w:space="0" w:color="D9D9D9"/>
              <w:right w:val="single" w:sz="8" w:space="0" w:color="FFFFFF"/>
            </w:tcBorders>
            <w:shd w:val="clear" w:color="000000" w:fill="F2F2F2"/>
            <w:vAlign w:val="center"/>
            <w:hideMark/>
          </w:tcPr>
          <w:p w14:paraId="1B989B3C" w14:textId="77777777" w:rsidR="00915F90" w:rsidRPr="00F25099" w:rsidRDefault="00915F90" w:rsidP="00915F90">
            <w:pPr>
              <w:spacing w:after="0" w:line="240" w:lineRule="auto"/>
              <w:jc w:val="right"/>
              <w:rPr>
                <w:rFonts w:eastAsia="Times New Roman" w:cs="Arial"/>
                <w:b/>
                <w:bCs/>
                <w:color w:val="1C1C1C"/>
                <w:sz w:val="16"/>
                <w:szCs w:val="16"/>
                <w:lang w:eastAsia="en-AU"/>
              </w:rPr>
            </w:pPr>
            <w:r w:rsidRPr="00F25099">
              <w:rPr>
                <w:rFonts w:eastAsia="Times New Roman" w:cs="Arial"/>
                <w:b/>
                <w:bCs/>
                <w:color w:val="1C1C1C"/>
                <w:sz w:val="16"/>
                <w:szCs w:val="16"/>
                <w:lang w:eastAsia="en-AU"/>
              </w:rPr>
              <w:t>216,179</w:t>
            </w:r>
          </w:p>
        </w:tc>
        <w:tc>
          <w:tcPr>
            <w:tcW w:w="2073" w:type="dxa"/>
            <w:tcBorders>
              <w:top w:val="nil"/>
              <w:left w:val="nil"/>
              <w:bottom w:val="single" w:sz="8" w:space="0" w:color="D9D9D9"/>
              <w:right w:val="single" w:sz="8" w:space="0" w:color="FFFFFF"/>
            </w:tcBorders>
            <w:shd w:val="clear" w:color="000000" w:fill="F2F2F2"/>
            <w:vAlign w:val="center"/>
            <w:hideMark/>
          </w:tcPr>
          <w:p w14:paraId="4887FBED" w14:textId="77777777" w:rsidR="00915F90" w:rsidRPr="00F25099" w:rsidRDefault="00915F90" w:rsidP="00915F90">
            <w:pPr>
              <w:spacing w:after="0" w:line="240" w:lineRule="auto"/>
              <w:jc w:val="right"/>
              <w:rPr>
                <w:rFonts w:eastAsia="Times New Roman" w:cs="Arial"/>
                <w:b/>
                <w:bCs/>
                <w:color w:val="1C1C1C"/>
                <w:sz w:val="16"/>
                <w:szCs w:val="16"/>
                <w:lang w:eastAsia="en-AU"/>
              </w:rPr>
            </w:pPr>
            <w:r w:rsidRPr="00F25099">
              <w:rPr>
                <w:rFonts w:eastAsia="Times New Roman" w:cs="Arial"/>
                <w:b/>
                <w:bCs/>
                <w:color w:val="1C1C1C"/>
                <w:sz w:val="16"/>
                <w:szCs w:val="16"/>
                <w:lang w:eastAsia="en-AU"/>
              </w:rPr>
              <w:t>612,944,256</w:t>
            </w:r>
          </w:p>
        </w:tc>
      </w:tr>
    </w:tbl>
    <w:p w14:paraId="6E0F4151" w14:textId="78DF2546" w:rsidR="00F21638" w:rsidRDefault="00F21638" w:rsidP="007B41F8">
      <w:pPr>
        <w:pStyle w:val="Heading2"/>
      </w:pPr>
      <w:bookmarkStart w:id="413" w:name="_Toc151129732"/>
      <w:bookmarkStart w:id="414" w:name="_Toc158882583"/>
      <w:bookmarkStart w:id="415" w:name="_Toc158882644"/>
      <w:bookmarkEnd w:id="406"/>
      <w:r w:rsidRPr="00CE058E">
        <w:lastRenderedPageBreak/>
        <w:t xml:space="preserve">Community mental health </w:t>
      </w:r>
      <w:bookmarkEnd w:id="413"/>
      <w:bookmarkEnd w:id="414"/>
      <w:bookmarkEnd w:id="415"/>
      <w:r w:rsidR="00915A79">
        <w:t>phase</w:t>
      </w:r>
      <w:r w:rsidR="001C0285">
        <w:t>s</w:t>
      </w:r>
    </w:p>
    <w:p w14:paraId="37C6B3E9" w14:textId="5B41CC87" w:rsidR="00915A79" w:rsidRPr="00091DB9" w:rsidRDefault="00915A79" w:rsidP="00091DB9">
      <w:pPr>
        <w:pStyle w:val="Heading3"/>
        <w:rPr>
          <w:sz w:val="28"/>
          <w:szCs w:val="28"/>
        </w:rPr>
      </w:pPr>
      <w:r w:rsidRPr="00785EF8">
        <w:rPr>
          <w:sz w:val="28"/>
          <w:szCs w:val="28"/>
        </w:rPr>
        <w:t>Community mental health</w:t>
      </w:r>
      <w:r>
        <w:rPr>
          <w:sz w:val="28"/>
          <w:szCs w:val="28"/>
        </w:rPr>
        <w:t xml:space="preserve"> phase </w:t>
      </w:r>
      <w:r w:rsidR="007F7EEF">
        <w:rPr>
          <w:sz w:val="28"/>
          <w:szCs w:val="28"/>
        </w:rPr>
        <w:t>sample</w:t>
      </w:r>
    </w:p>
    <w:p w14:paraId="5F91D79C" w14:textId="2918D1D5" w:rsidR="009542F8" w:rsidRPr="00A42FF4" w:rsidRDefault="009542F8" w:rsidP="009542F8">
      <w:pPr>
        <w:rPr>
          <w:rFonts w:cs="Arial"/>
        </w:rPr>
      </w:pPr>
      <w:r w:rsidRPr="00CC29EE">
        <w:rPr>
          <w:rFonts w:cs="Arial"/>
        </w:rPr>
        <w:t xml:space="preserve">In 2022-23, 100% of the </w:t>
      </w:r>
      <w:r>
        <w:rPr>
          <w:rFonts w:cs="Arial"/>
        </w:rPr>
        <w:t xml:space="preserve">NHCDC community mental health phase </w:t>
      </w:r>
      <w:r w:rsidRPr="00CC29EE">
        <w:rPr>
          <w:rFonts w:cs="Arial"/>
        </w:rPr>
        <w:t xml:space="preserve">records were </w:t>
      </w:r>
      <w:r>
        <w:rPr>
          <w:rFonts w:cs="Arial"/>
        </w:rPr>
        <w:t xml:space="preserve">linked to activity and </w:t>
      </w:r>
      <w:r w:rsidRPr="00CC29EE">
        <w:rPr>
          <w:rFonts w:cs="Arial"/>
        </w:rPr>
        <w:t>in</w:t>
      </w:r>
      <w:r w:rsidR="00F52D1E">
        <w:rPr>
          <w:rFonts w:cs="Arial"/>
        </w:rPr>
        <w:t xml:space="preserve"> </w:t>
      </w:r>
      <w:r w:rsidRPr="00CC29EE">
        <w:rPr>
          <w:rFonts w:cs="Arial"/>
        </w:rPr>
        <w:t xml:space="preserve">scope for </w:t>
      </w:r>
      <w:r>
        <w:rPr>
          <w:rFonts w:cs="Arial"/>
        </w:rPr>
        <w:t xml:space="preserve">NHCDC </w:t>
      </w:r>
      <w:r w:rsidRPr="00CC29EE">
        <w:rPr>
          <w:rFonts w:cs="Arial"/>
        </w:rPr>
        <w:t xml:space="preserve">reporting. </w:t>
      </w:r>
      <w:r w:rsidR="00FD36AC">
        <w:rPr>
          <w:rFonts w:cs="Arial"/>
        </w:rPr>
        <w:fldChar w:fldCharType="begin"/>
      </w:r>
      <w:r w:rsidR="00FD36AC">
        <w:rPr>
          <w:rFonts w:cs="Arial"/>
        </w:rPr>
        <w:instrText xml:space="preserve"> REF _Ref185851534 \h </w:instrText>
      </w:r>
      <w:r w:rsidR="00FD36AC">
        <w:rPr>
          <w:rFonts w:cs="Arial"/>
        </w:rPr>
      </w:r>
      <w:r w:rsidR="00FD36AC">
        <w:rPr>
          <w:rFonts w:cs="Arial"/>
        </w:rPr>
        <w:fldChar w:fldCharType="separate"/>
      </w:r>
      <w:r w:rsidR="00253B18" w:rsidRPr="0093558C">
        <w:rPr>
          <w:lang w:val="en-PH"/>
        </w:rPr>
        <w:t xml:space="preserve">Table </w:t>
      </w:r>
      <w:r w:rsidR="00253B18">
        <w:rPr>
          <w:noProof/>
          <w:lang w:val="en-PH"/>
        </w:rPr>
        <w:t>32</w:t>
      </w:r>
      <w:r w:rsidR="00FD36AC">
        <w:rPr>
          <w:rFonts w:cs="Arial"/>
        </w:rPr>
        <w:fldChar w:fldCharType="end"/>
      </w:r>
      <w:r>
        <w:rPr>
          <w:rFonts w:cs="Arial"/>
        </w:rPr>
        <w:t xml:space="preserve"> </w:t>
      </w:r>
      <w:r w:rsidRPr="00CC29EE">
        <w:rPr>
          <w:rFonts w:cs="Arial"/>
        </w:rPr>
        <w:t xml:space="preserve">shows the number of in-scope </w:t>
      </w:r>
      <w:r w:rsidR="003A549C">
        <w:rPr>
          <w:rFonts w:cs="Arial"/>
        </w:rPr>
        <w:t xml:space="preserve">NHCDC </w:t>
      </w:r>
      <w:r w:rsidRPr="00CC29EE">
        <w:rPr>
          <w:rFonts w:cs="Arial"/>
        </w:rPr>
        <w:t>records</w:t>
      </w:r>
      <w:r w:rsidR="00AA2B90">
        <w:rPr>
          <w:rFonts w:cs="Arial"/>
        </w:rPr>
        <w:t xml:space="preserve"> and</w:t>
      </w:r>
      <w:r w:rsidRPr="00CC29EE">
        <w:rPr>
          <w:rFonts w:cs="Arial"/>
        </w:rPr>
        <w:t xml:space="preserve"> </w:t>
      </w:r>
      <w:r w:rsidR="003A549C">
        <w:rPr>
          <w:rFonts w:cs="Arial"/>
        </w:rPr>
        <w:t xml:space="preserve">ABF </w:t>
      </w:r>
      <w:r w:rsidRPr="00CC29EE">
        <w:rPr>
          <w:rFonts w:cs="Arial"/>
        </w:rPr>
        <w:t xml:space="preserve">activity, and proportion of costed activity by jurisdiction, from 2021-22 to </w:t>
      </w:r>
      <w:r w:rsidRPr="00CC29EE">
        <w:rPr>
          <w:rFonts w:cs="Arial"/>
          <w:lang w:val="en-PH"/>
        </w:rPr>
        <w:t>2022-23</w:t>
      </w:r>
      <w:r w:rsidRPr="00CC29EE">
        <w:rPr>
          <w:rFonts w:cs="Arial"/>
        </w:rPr>
        <w:t>.</w:t>
      </w:r>
      <w:r>
        <w:rPr>
          <w:rFonts w:cs="Arial"/>
        </w:rPr>
        <w:t xml:space="preserve"> In 2022-23, n</w:t>
      </w:r>
      <w:r w:rsidRPr="00CC29EE">
        <w:rPr>
          <w:rFonts w:cs="Arial"/>
        </w:rPr>
        <w:t>ationally</w:t>
      </w:r>
      <w:r>
        <w:rPr>
          <w:rFonts w:cs="Arial"/>
        </w:rPr>
        <w:t xml:space="preserve"> 66% of in-scope activity was linked to cost (</w:t>
      </w:r>
      <w:r w:rsidR="00AD7FDF">
        <w:rPr>
          <w:rFonts w:cs="Arial"/>
        </w:rPr>
        <w:t>c</w:t>
      </w:r>
      <w:r>
        <w:rPr>
          <w:rFonts w:cs="Arial"/>
        </w:rPr>
        <w:t xml:space="preserve">osted </w:t>
      </w:r>
      <w:r w:rsidR="00AE1D4A">
        <w:rPr>
          <w:rFonts w:cs="Arial"/>
        </w:rPr>
        <w:t>a</w:t>
      </w:r>
      <w:r>
        <w:rPr>
          <w:rFonts w:cs="Arial"/>
        </w:rPr>
        <w:t>ctivity %)</w:t>
      </w:r>
      <w:r>
        <w:t xml:space="preserve">, an increase from 63% in </w:t>
      </w:r>
      <w:r w:rsidRPr="009F180B">
        <w:t>202</w:t>
      </w:r>
      <w:r>
        <w:t>1</w:t>
      </w:r>
      <w:r w:rsidRPr="009F180B">
        <w:t>-2</w:t>
      </w:r>
      <w:r>
        <w:t>2</w:t>
      </w:r>
      <w:r w:rsidRPr="009F180B">
        <w:t>.</w:t>
      </w:r>
    </w:p>
    <w:p w14:paraId="010F938F" w14:textId="4D7E3367" w:rsidR="00734260" w:rsidRPr="00B54DE9" w:rsidRDefault="00734260" w:rsidP="00303546">
      <w:pPr>
        <w:pStyle w:val="TableFigureheading"/>
      </w:pPr>
      <w:bookmarkStart w:id="416" w:name="_Ref185851534"/>
      <w:bookmarkStart w:id="417" w:name="_Toc177467531"/>
      <w:bookmarkStart w:id="418" w:name="_Toc185852240"/>
      <w:bookmarkStart w:id="419" w:name="_Toc187312158"/>
      <w:r w:rsidRPr="0093558C">
        <w:rPr>
          <w:lang w:val="en-PH"/>
        </w:rPr>
        <w:t xml:space="preserve">Table </w:t>
      </w:r>
      <w:r w:rsidRPr="0093558C">
        <w:rPr>
          <w:iCs w:val="0"/>
          <w:lang w:val="en-PH"/>
        </w:rPr>
        <w:fldChar w:fldCharType="begin"/>
      </w:r>
      <w:r w:rsidRPr="0093558C">
        <w:rPr>
          <w:lang w:val="en-PH"/>
        </w:rPr>
        <w:instrText xml:space="preserve"> SEQ Table \* ARABIC </w:instrText>
      </w:r>
      <w:r w:rsidRPr="0093558C">
        <w:rPr>
          <w:iCs w:val="0"/>
          <w:lang w:val="en-PH"/>
        </w:rPr>
        <w:fldChar w:fldCharType="separate"/>
      </w:r>
      <w:r w:rsidR="00253B18">
        <w:rPr>
          <w:noProof/>
          <w:lang w:val="en-PH"/>
        </w:rPr>
        <w:t>32</w:t>
      </w:r>
      <w:r w:rsidRPr="0093558C">
        <w:rPr>
          <w:iCs w:val="0"/>
          <w:lang w:val="en-PH"/>
        </w:rPr>
        <w:fldChar w:fldCharType="end"/>
      </w:r>
      <w:bookmarkEnd w:id="416"/>
      <w:r w:rsidRPr="0093558C">
        <w:rPr>
          <w:lang w:val="en-PH"/>
        </w:rPr>
        <w:t xml:space="preserve">: </w:t>
      </w:r>
      <w:r w:rsidR="00476761">
        <w:rPr>
          <w:lang w:val="en-PH"/>
        </w:rPr>
        <w:t xml:space="preserve">Community mental health </w:t>
      </w:r>
      <w:r w:rsidR="007F7EEF">
        <w:rPr>
          <w:lang w:val="en-PH"/>
        </w:rPr>
        <w:t xml:space="preserve">phases </w:t>
      </w:r>
      <w:r w:rsidR="00476761">
        <w:rPr>
          <w:lang w:val="en-PH"/>
        </w:rPr>
        <w:t>by jurisdiction</w:t>
      </w:r>
      <w:r w:rsidRPr="0093558C">
        <w:rPr>
          <w:lang w:val="en-PH"/>
        </w:rPr>
        <w:t xml:space="preserve">, </w:t>
      </w:r>
      <w:r w:rsidRPr="00D73FCC">
        <w:rPr>
          <w:lang w:val="en-PH"/>
        </w:rPr>
        <w:t>2020-21</w:t>
      </w:r>
      <w:r w:rsidRPr="0093558C">
        <w:rPr>
          <w:lang w:val="en-PH"/>
        </w:rPr>
        <w:t xml:space="preserve"> to </w:t>
      </w:r>
      <w:r w:rsidRPr="008B2CD8">
        <w:rPr>
          <w:lang w:val="en-PH"/>
        </w:rPr>
        <w:t>202</w:t>
      </w:r>
      <w:r>
        <w:rPr>
          <w:lang w:val="en-PH"/>
        </w:rPr>
        <w:t>2</w:t>
      </w:r>
      <w:r w:rsidR="007F7EEF">
        <w:rPr>
          <w:lang w:val="en-PH"/>
        </w:rPr>
        <w:noBreakHyphen/>
      </w:r>
      <w:r w:rsidRPr="008B2CD8">
        <w:rPr>
          <w:lang w:val="en-PH"/>
        </w:rPr>
        <w:t>2</w:t>
      </w:r>
      <w:r>
        <w:rPr>
          <w:lang w:val="en-PH"/>
        </w:rPr>
        <w:t>3</w:t>
      </w:r>
      <w:bookmarkEnd w:id="417"/>
      <w:bookmarkEnd w:id="418"/>
      <w:bookmarkEnd w:id="419"/>
    </w:p>
    <w:tbl>
      <w:tblPr>
        <w:tblW w:w="9939" w:type="dxa"/>
        <w:tblLook w:val="04A0" w:firstRow="1" w:lastRow="0" w:firstColumn="1" w:lastColumn="0" w:noHBand="0" w:noVBand="1"/>
      </w:tblPr>
      <w:tblGrid>
        <w:gridCol w:w="1212"/>
        <w:gridCol w:w="926"/>
        <w:gridCol w:w="915"/>
        <w:gridCol w:w="1073"/>
        <w:gridCol w:w="915"/>
        <w:gridCol w:w="1069"/>
        <w:gridCol w:w="928"/>
        <w:gridCol w:w="915"/>
        <w:gridCol w:w="916"/>
        <w:gridCol w:w="1070"/>
      </w:tblGrid>
      <w:tr w:rsidR="003A549C" w:rsidRPr="00090465" w14:paraId="401CDCD1" w14:textId="77777777" w:rsidTr="00C3787D">
        <w:trPr>
          <w:trHeight w:val="313"/>
        </w:trPr>
        <w:tc>
          <w:tcPr>
            <w:tcW w:w="1212" w:type="dxa"/>
            <w:vMerge w:val="restart"/>
            <w:tcBorders>
              <w:top w:val="nil"/>
              <w:left w:val="nil"/>
              <w:bottom w:val="single" w:sz="8" w:space="0" w:color="D9D9D9"/>
              <w:right w:val="single" w:sz="8" w:space="0" w:color="FFFFFF"/>
            </w:tcBorders>
            <w:shd w:val="clear" w:color="000000" w:fill="15272F"/>
            <w:vAlign w:val="center"/>
            <w:hideMark/>
          </w:tcPr>
          <w:p w14:paraId="03CE04AD" w14:textId="77777777" w:rsidR="003A549C" w:rsidRPr="00CE5513" w:rsidRDefault="003A549C" w:rsidP="003A549C">
            <w:pPr>
              <w:spacing w:before="40" w:after="40" w:line="240" w:lineRule="auto"/>
              <w:jc w:val="center"/>
              <w:rPr>
                <w:rFonts w:eastAsia="Times New Roman" w:cs="Arial"/>
                <w:b/>
                <w:bCs/>
                <w:color w:val="FFFFFF"/>
                <w:sz w:val="16"/>
                <w:szCs w:val="16"/>
                <w:lang w:eastAsia="en-AU"/>
              </w:rPr>
            </w:pPr>
            <w:r w:rsidRPr="00CE5513">
              <w:rPr>
                <w:rFonts w:eastAsia="Times New Roman" w:cs="Arial"/>
                <w:b/>
                <w:bCs/>
                <w:color w:val="FFFFFF" w:themeColor="background2"/>
                <w:sz w:val="16"/>
                <w:szCs w:val="16"/>
                <w:lang w:eastAsia="en-AU"/>
              </w:rPr>
              <w:t>Jurisdiction</w:t>
            </w:r>
          </w:p>
        </w:tc>
        <w:tc>
          <w:tcPr>
            <w:tcW w:w="2914" w:type="dxa"/>
            <w:gridSpan w:val="3"/>
            <w:tcBorders>
              <w:top w:val="single" w:sz="8" w:space="0" w:color="auto"/>
              <w:left w:val="nil"/>
              <w:bottom w:val="single" w:sz="8" w:space="0" w:color="FFFFFF"/>
              <w:right w:val="single" w:sz="8" w:space="0" w:color="FFFFFF"/>
            </w:tcBorders>
            <w:shd w:val="clear" w:color="000000" w:fill="15272F"/>
            <w:vAlign w:val="center"/>
            <w:hideMark/>
          </w:tcPr>
          <w:p w14:paraId="119603EB" w14:textId="4691F71F" w:rsidR="003A549C" w:rsidRPr="00CE5513"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In-scope</w:t>
            </w:r>
            <w:r>
              <w:rPr>
                <w:rFonts w:eastAsia="Times New Roman" w:cs="Arial"/>
                <w:b/>
                <w:bCs/>
                <w:color w:val="FFFFFF" w:themeColor="background2"/>
                <w:sz w:val="16"/>
                <w:szCs w:val="16"/>
                <w:lang w:eastAsia="en-AU"/>
              </w:rPr>
              <w:t xml:space="preserve"> NHCDC</w:t>
            </w:r>
            <w:r w:rsidRPr="00F61D59">
              <w:rPr>
                <w:rFonts w:eastAsia="Times New Roman" w:cs="Arial"/>
                <w:b/>
                <w:bCs/>
                <w:color w:val="FFFFFF" w:themeColor="background2"/>
                <w:sz w:val="16"/>
                <w:szCs w:val="16"/>
                <w:lang w:eastAsia="en-AU"/>
              </w:rPr>
              <w:t xml:space="preserve"> </w:t>
            </w:r>
            <w:r>
              <w:rPr>
                <w:rFonts w:eastAsia="Times New Roman" w:cs="Arial"/>
                <w:b/>
                <w:bCs/>
                <w:color w:val="FFFFFF" w:themeColor="background2"/>
                <w:sz w:val="16"/>
                <w:szCs w:val="16"/>
                <w:lang w:eastAsia="en-AU"/>
              </w:rPr>
              <w:t>r</w:t>
            </w:r>
            <w:r w:rsidRPr="00F61D59">
              <w:rPr>
                <w:rFonts w:eastAsia="Times New Roman" w:cs="Arial"/>
                <w:b/>
                <w:bCs/>
                <w:color w:val="FFFFFF" w:themeColor="background2"/>
                <w:sz w:val="16"/>
                <w:szCs w:val="16"/>
                <w:lang w:eastAsia="en-AU"/>
              </w:rPr>
              <w:t>ecords</w:t>
            </w:r>
          </w:p>
        </w:tc>
        <w:tc>
          <w:tcPr>
            <w:tcW w:w="2912" w:type="dxa"/>
            <w:gridSpan w:val="3"/>
            <w:tcBorders>
              <w:top w:val="single" w:sz="8" w:space="0" w:color="auto"/>
              <w:left w:val="nil"/>
              <w:bottom w:val="single" w:sz="8" w:space="0" w:color="FFFFFF"/>
              <w:right w:val="single" w:sz="4" w:space="0" w:color="FFFFFF" w:themeColor="background2"/>
            </w:tcBorders>
            <w:shd w:val="clear" w:color="000000" w:fill="15272F"/>
            <w:vAlign w:val="center"/>
            <w:hideMark/>
          </w:tcPr>
          <w:p w14:paraId="43210226" w14:textId="7FD6D69F" w:rsidR="003A549C" w:rsidRPr="00CE5513" w:rsidRDefault="003A549C" w:rsidP="003A549C">
            <w:pPr>
              <w:spacing w:before="40" w:after="40" w:line="240" w:lineRule="auto"/>
              <w:jc w:val="center"/>
              <w:rPr>
                <w:rFonts w:eastAsia="Times New Roman" w:cs="Arial"/>
                <w:b/>
                <w:bCs/>
                <w:color w:val="FFFFFF"/>
                <w:sz w:val="16"/>
                <w:szCs w:val="16"/>
                <w:lang w:eastAsia="en-AU"/>
              </w:rPr>
            </w:pPr>
            <w:r w:rsidRPr="00F61D59">
              <w:rPr>
                <w:rFonts w:eastAsia="Times New Roman" w:cs="Arial"/>
                <w:b/>
                <w:bCs/>
                <w:color w:val="FFFFFF" w:themeColor="background2"/>
                <w:sz w:val="16"/>
                <w:szCs w:val="16"/>
                <w:lang w:eastAsia="en-AU"/>
              </w:rPr>
              <w:t xml:space="preserve">In-scope </w:t>
            </w:r>
            <w:r>
              <w:rPr>
                <w:rFonts w:eastAsia="Times New Roman" w:cs="Arial"/>
                <w:b/>
                <w:bCs/>
                <w:color w:val="FFFFFF" w:themeColor="background2"/>
                <w:sz w:val="16"/>
                <w:szCs w:val="16"/>
                <w:lang w:eastAsia="en-AU"/>
              </w:rPr>
              <w:t>ABF activity</w:t>
            </w:r>
          </w:p>
        </w:tc>
        <w:tc>
          <w:tcPr>
            <w:tcW w:w="2901" w:type="dxa"/>
            <w:gridSpan w:val="3"/>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645C32FC" w14:textId="663A9D5C" w:rsidR="003A549C" w:rsidRPr="00CE5513" w:rsidRDefault="003A549C" w:rsidP="003A549C">
            <w:pPr>
              <w:spacing w:before="40" w:after="40" w:line="240" w:lineRule="auto"/>
              <w:jc w:val="center"/>
              <w:rPr>
                <w:rFonts w:eastAsia="Times New Roman" w:cs="Arial"/>
                <w:b/>
                <w:bCs/>
                <w:color w:val="FFFFFF"/>
                <w:sz w:val="16"/>
                <w:szCs w:val="16"/>
                <w:lang w:eastAsia="en-AU"/>
              </w:rPr>
            </w:pPr>
            <w:r w:rsidRPr="00657489">
              <w:rPr>
                <w:rFonts w:eastAsia="Times New Roman" w:cs="Arial"/>
                <w:b/>
                <w:bCs/>
                <w:color w:val="FFFFFF" w:themeColor="background2"/>
                <w:sz w:val="16"/>
                <w:szCs w:val="16"/>
                <w:lang w:eastAsia="en-AU"/>
              </w:rPr>
              <w:t xml:space="preserve">Costed </w:t>
            </w:r>
            <w:r>
              <w:rPr>
                <w:rFonts w:eastAsia="Times New Roman" w:cs="Arial"/>
                <w:b/>
                <w:bCs/>
                <w:color w:val="FFFFFF" w:themeColor="background2"/>
                <w:sz w:val="16"/>
                <w:szCs w:val="16"/>
                <w:lang w:eastAsia="en-AU"/>
              </w:rPr>
              <w:t>a</w:t>
            </w:r>
            <w:r w:rsidRPr="00657489">
              <w:rPr>
                <w:rFonts w:eastAsia="Times New Roman" w:cs="Arial"/>
                <w:b/>
                <w:bCs/>
                <w:color w:val="FFFFFF" w:themeColor="background2"/>
                <w:sz w:val="16"/>
                <w:szCs w:val="16"/>
                <w:lang w:eastAsia="en-AU"/>
              </w:rPr>
              <w:t>ctivity (%)</w:t>
            </w:r>
          </w:p>
        </w:tc>
      </w:tr>
      <w:tr w:rsidR="00090465" w:rsidRPr="00090465" w14:paraId="6E582665" w14:textId="77777777" w:rsidTr="00530E79">
        <w:trPr>
          <w:trHeight w:val="241"/>
        </w:trPr>
        <w:tc>
          <w:tcPr>
            <w:tcW w:w="1212" w:type="dxa"/>
            <w:vMerge/>
            <w:tcBorders>
              <w:top w:val="nil"/>
              <w:left w:val="nil"/>
              <w:bottom w:val="single" w:sz="8" w:space="0" w:color="D9D9D9"/>
              <w:right w:val="single" w:sz="8" w:space="0" w:color="FFFFFF"/>
            </w:tcBorders>
            <w:vAlign w:val="center"/>
            <w:hideMark/>
          </w:tcPr>
          <w:p w14:paraId="2E500DA7" w14:textId="77777777" w:rsidR="00090465" w:rsidRPr="00CE5513" w:rsidRDefault="00090465" w:rsidP="00223677">
            <w:pPr>
              <w:spacing w:before="40" w:after="40" w:line="240" w:lineRule="auto"/>
              <w:rPr>
                <w:rFonts w:eastAsia="Times New Roman" w:cs="Arial"/>
                <w:b/>
                <w:bCs/>
                <w:color w:val="FFFFFF"/>
                <w:sz w:val="16"/>
                <w:szCs w:val="16"/>
                <w:lang w:eastAsia="en-AU"/>
              </w:rPr>
            </w:pPr>
          </w:p>
        </w:tc>
        <w:tc>
          <w:tcPr>
            <w:tcW w:w="926" w:type="dxa"/>
            <w:tcBorders>
              <w:top w:val="nil"/>
              <w:left w:val="nil"/>
              <w:bottom w:val="single" w:sz="8" w:space="0" w:color="D9D9D9"/>
              <w:right w:val="single" w:sz="8" w:space="0" w:color="FFFFFF"/>
            </w:tcBorders>
            <w:shd w:val="clear" w:color="000000" w:fill="15272F"/>
            <w:vAlign w:val="center"/>
            <w:hideMark/>
          </w:tcPr>
          <w:p w14:paraId="50287D55" w14:textId="77777777" w:rsidR="00090465" w:rsidRPr="00CE5513" w:rsidRDefault="00090465" w:rsidP="00223677">
            <w:pPr>
              <w:spacing w:before="40" w:after="40" w:line="240" w:lineRule="auto"/>
              <w:jc w:val="center"/>
              <w:rPr>
                <w:rFonts w:eastAsia="Times New Roman" w:cs="Arial"/>
                <w:b/>
                <w:bCs/>
                <w:color w:val="FFFFFF"/>
                <w:sz w:val="16"/>
                <w:szCs w:val="16"/>
                <w:lang w:eastAsia="en-AU"/>
              </w:rPr>
            </w:pPr>
            <w:r w:rsidRPr="00CE5513">
              <w:rPr>
                <w:rFonts w:eastAsia="Times New Roman" w:cs="Arial"/>
                <w:b/>
                <w:bCs/>
                <w:color w:val="FFFFFF" w:themeColor="background2"/>
                <w:sz w:val="16"/>
                <w:szCs w:val="16"/>
                <w:lang w:eastAsia="en-AU"/>
              </w:rPr>
              <w:t>2020-21</w:t>
            </w:r>
          </w:p>
        </w:tc>
        <w:tc>
          <w:tcPr>
            <w:tcW w:w="915" w:type="dxa"/>
            <w:tcBorders>
              <w:top w:val="nil"/>
              <w:left w:val="nil"/>
              <w:bottom w:val="single" w:sz="8" w:space="0" w:color="D9D9D9"/>
              <w:right w:val="single" w:sz="8" w:space="0" w:color="FFFFFF"/>
            </w:tcBorders>
            <w:shd w:val="clear" w:color="000000" w:fill="15272F"/>
            <w:vAlign w:val="center"/>
            <w:hideMark/>
          </w:tcPr>
          <w:p w14:paraId="3C5D1287" w14:textId="77777777" w:rsidR="00090465" w:rsidRPr="00CE5513" w:rsidRDefault="00090465" w:rsidP="00223677">
            <w:pPr>
              <w:spacing w:before="40" w:after="40" w:line="240" w:lineRule="auto"/>
              <w:jc w:val="center"/>
              <w:rPr>
                <w:rFonts w:eastAsia="Times New Roman" w:cs="Arial"/>
                <w:b/>
                <w:bCs/>
                <w:color w:val="FFFFFF"/>
                <w:sz w:val="16"/>
                <w:szCs w:val="16"/>
                <w:lang w:eastAsia="en-AU"/>
              </w:rPr>
            </w:pPr>
            <w:r w:rsidRPr="00CE5513">
              <w:rPr>
                <w:rFonts w:eastAsia="Times New Roman" w:cs="Arial"/>
                <w:b/>
                <w:bCs/>
                <w:color w:val="FFFFFF" w:themeColor="background2"/>
                <w:sz w:val="16"/>
                <w:szCs w:val="16"/>
                <w:lang w:eastAsia="en-AU"/>
              </w:rPr>
              <w:t>2021-22</w:t>
            </w:r>
          </w:p>
        </w:tc>
        <w:tc>
          <w:tcPr>
            <w:tcW w:w="1073" w:type="dxa"/>
            <w:tcBorders>
              <w:top w:val="nil"/>
              <w:left w:val="nil"/>
              <w:bottom w:val="single" w:sz="8" w:space="0" w:color="D9D9D9"/>
              <w:right w:val="single" w:sz="8" w:space="0" w:color="FFFFFF"/>
            </w:tcBorders>
            <w:shd w:val="clear" w:color="000000" w:fill="15272F"/>
            <w:vAlign w:val="center"/>
            <w:hideMark/>
          </w:tcPr>
          <w:p w14:paraId="599C870E" w14:textId="77777777" w:rsidR="00090465" w:rsidRPr="00CE5513" w:rsidRDefault="00090465" w:rsidP="00223677">
            <w:pPr>
              <w:spacing w:before="40" w:after="40" w:line="240" w:lineRule="auto"/>
              <w:jc w:val="center"/>
              <w:rPr>
                <w:rFonts w:eastAsia="Times New Roman" w:cs="Arial"/>
                <w:b/>
                <w:bCs/>
                <w:color w:val="FFFFFF"/>
                <w:sz w:val="16"/>
                <w:szCs w:val="16"/>
                <w:lang w:eastAsia="en-AU"/>
              </w:rPr>
            </w:pPr>
            <w:r w:rsidRPr="00CE5513">
              <w:rPr>
                <w:rFonts w:eastAsia="Times New Roman" w:cs="Arial"/>
                <w:b/>
                <w:bCs/>
                <w:color w:val="FFFFFF" w:themeColor="background2"/>
                <w:sz w:val="16"/>
                <w:szCs w:val="16"/>
                <w:lang w:eastAsia="en-AU"/>
              </w:rPr>
              <w:t>2022-23</w:t>
            </w:r>
          </w:p>
        </w:tc>
        <w:tc>
          <w:tcPr>
            <w:tcW w:w="915" w:type="dxa"/>
            <w:tcBorders>
              <w:top w:val="nil"/>
              <w:left w:val="nil"/>
              <w:bottom w:val="single" w:sz="8" w:space="0" w:color="D9D9D9"/>
              <w:right w:val="single" w:sz="8" w:space="0" w:color="FFFFFF"/>
            </w:tcBorders>
            <w:shd w:val="clear" w:color="000000" w:fill="15272F"/>
            <w:vAlign w:val="center"/>
            <w:hideMark/>
          </w:tcPr>
          <w:p w14:paraId="64F5FEE6" w14:textId="77777777" w:rsidR="00090465" w:rsidRPr="00CE5513" w:rsidRDefault="00090465" w:rsidP="00223677">
            <w:pPr>
              <w:spacing w:before="40" w:after="40" w:line="240" w:lineRule="auto"/>
              <w:jc w:val="center"/>
              <w:rPr>
                <w:rFonts w:eastAsia="Times New Roman" w:cs="Arial"/>
                <w:b/>
                <w:bCs/>
                <w:color w:val="FFFFFF"/>
                <w:sz w:val="16"/>
                <w:szCs w:val="16"/>
                <w:lang w:eastAsia="en-AU"/>
              </w:rPr>
            </w:pPr>
            <w:r w:rsidRPr="00CE5513">
              <w:rPr>
                <w:rFonts w:eastAsia="Times New Roman" w:cs="Arial"/>
                <w:b/>
                <w:bCs/>
                <w:color w:val="FFFFFF" w:themeColor="background2"/>
                <w:sz w:val="16"/>
                <w:szCs w:val="16"/>
                <w:lang w:eastAsia="en-AU"/>
              </w:rPr>
              <w:t>2020-21</w:t>
            </w:r>
          </w:p>
        </w:tc>
        <w:tc>
          <w:tcPr>
            <w:tcW w:w="1069" w:type="dxa"/>
            <w:tcBorders>
              <w:top w:val="nil"/>
              <w:left w:val="nil"/>
              <w:bottom w:val="single" w:sz="8" w:space="0" w:color="D9D9D9"/>
              <w:right w:val="single" w:sz="8" w:space="0" w:color="FFFFFF"/>
            </w:tcBorders>
            <w:shd w:val="clear" w:color="000000" w:fill="15272F"/>
            <w:vAlign w:val="center"/>
            <w:hideMark/>
          </w:tcPr>
          <w:p w14:paraId="4C409D16" w14:textId="77777777" w:rsidR="00090465" w:rsidRPr="00CE5513" w:rsidRDefault="00090465" w:rsidP="00223677">
            <w:pPr>
              <w:spacing w:before="40" w:after="40" w:line="240" w:lineRule="auto"/>
              <w:jc w:val="center"/>
              <w:rPr>
                <w:rFonts w:eastAsia="Times New Roman" w:cs="Arial"/>
                <w:b/>
                <w:bCs/>
                <w:color w:val="FFFFFF"/>
                <w:sz w:val="16"/>
                <w:szCs w:val="16"/>
                <w:lang w:eastAsia="en-AU"/>
              </w:rPr>
            </w:pPr>
            <w:r w:rsidRPr="00CE5513">
              <w:rPr>
                <w:rFonts w:eastAsia="Times New Roman" w:cs="Arial"/>
                <w:b/>
                <w:bCs/>
                <w:color w:val="FFFFFF" w:themeColor="background2"/>
                <w:sz w:val="16"/>
                <w:szCs w:val="16"/>
                <w:lang w:eastAsia="en-AU"/>
              </w:rPr>
              <w:t>2021-22</w:t>
            </w:r>
          </w:p>
        </w:tc>
        <w:tc>
          <w:tcPr>
            <w:tcW w:w="928" w:type="dxa"/>
            <w:tcBorders>
              <w:top w:val="nil"/>
              <w:left w:val="nil"/>
              <w:bottom w:val="single" w:sz="8" w:space="0" w:color="D9D9D9"/>
              <w:right w:val="single" w:sz="8" w:space="0" w:color="FFFFFF"/>
            </w:tcBorders>
            <w:shd w:val="clear" w:color="000000" w:fill="15272F"/>
            <w:vAlign w:val="center"/>
            <w:hideMark/>
          </w:tcPr>
          <w:p w14:paraId="65D74588" w14:textId="77777777" w:rsidR="00090465" w:rsidRPr="00CE5513" w:rsidRDefault="00090465" w:rsidP="00223677">
            <w:pPr>
              <w:spacing w:before="40" w:after="40" w:line="240" w:lineRule="auto"/>
              <w:jc w:val="center"/>
              <w:rPr>
                <w:rFonts w:eastAsia="Times New Roman" w:cs="Arial"/>
                <w:b/>
                <w:bCs/>
                <w:color w:val="FFFFFF"/>
                <w:sz w:val="16"/>
                <w:szCs w:val="16"/>
                <w:lang w:eastAsia="en-AU"/>
              </w:rPr>
            </w:pPr>
            <w:r w:rsidRPr="00CE5513">
              <w:rPr>
                <w:rFonts w:eastAsia="Times New Roman" w:cs="Arial"/>
                <w:b/>
                <w:bCs/>
                <w:color w:val="FFFFFF" w:themeColor="background2"/>
                <w:sz w:val="16"/>
                <w:szCs w:val="16"/>
                <w:lang w:eastAsia="en-AU"/>
              </w:rPr>
              <w:t>2022-23</w:t>
            </w:r>
          </w:p>
        </w:tc>
        <w:tc>
          <w:tcPr>
            <w:tcW w:w="915" w:type="dxa"/>
            <w:tcBorders>
              <w:top w:val="single" w:sz="8" w:space="0" w:color="D9D9D9"/>
              <w:left w:val="nil"/>
              <w:bottom w:val="single" w:sz="8" w:space="0" w:color="D9D9D9"/>
              <w:right w:val="single" w:sz="8" w:space="0" w:color="FFFFFF"/>
            </w:tcBorders>
            <w:shd w:val="clear" w:color="000000" w:fill="15272F"/>
            <w:vAlign w:val="center"/>
            <w:hideMark/>
          </w:tcPr>
          <w:p w14:paraId="0E936BDE" w14:textId="77777777" w:rsidR="00090465" w:rsidRPr="00CE5513" w:rsidRDefault="00090465" w:rsidP="00223677">
            <w:pPr>
              <w:spacing w:before="40" w:after="40" w:line="240" w:lineRule="auto"/>
              <w:jc w:val="center"/>
              <w:rPr>
                <w:rFonts w:eastAsia="Times New Roman" w:cs="Arial"/>
                <w:b/>
                <w:bCs/>
                <w:color w:val="FFFFFF"/>
                <w:sz w:val="16"/>
                <w:szCs w:val="16"/>
                <w:lang w:eastAsia="en-AU"/>
              </w:rPr>
            </w:pPr>
            <w:r w:rsidRPr="00CE5513">
              <w:rPr>
                <w:rFonts w:eastAsia="Times New Roman" w:cs="Arial"/>
                <w:b/>
                <w:bCs/>
                <w:color w:val="FFFFFF" w:themeColor="background2"/>
                <w:sz w:val="16"/>
                <w:szCs w:val="16"/>
                <w:lang w:eastAsia="en-AU"/>
              </w:rPr>
              <w:t>2020-21</w:t>
            </w:r>
          </w:p>
        </w:tc>
        <w:tc>
          <w:tcPr>
            <w:tcW w:w="916" w:type="dxa"/>
            <w:tcBorders>
              <w:top w:val="nil"/>
              <w:left w:val="nil"/>
              <w:bottom w:val="single" w:sz="8" w:space="0" w:color="D9D9D9"/>
              <w:right w:val="single" w:sz="4" w:space="0" w:color="FFFFFF" w:themeColor="background2"/>
            </w:tcBorders>
            <w:shd w:val="clear" w:color="000000" w:fill="15272F"/>
            <w:vAlign w:val="center"/>
            <w:hideMark/>
          </w:tcPr>
          <w:p w14:paraId="489DE7FC" w14:textId="77777777" w:rsidR="00090465" w:rsidRPr="00CE5513" w:rsidRDefault="00090465" w:rsidP="00223677">
            <w:pPr>
              <w:spacing w:before="40" w:after="40" w:line="240" w:lineRule="auto"/>
              <w:jc w:val="center"/>
              <w:rPr>
                <w:rFonts w:eastAsia="Times New Roman" w:cs="Arial"/>
                <w:b/>
                <w:bCs/>
                <w:color w:val="FFFFFF"/>
                <w:sz w:val="16"/>
                <w:szCs w:val="16"/>
                <w:lang w:eastAsia="en-AU"/>
              </w:rPr>
            </w:pPr>
            <w:r w:rsidRPr="00CE5513">
              <w:rPr>
                <w:rFonts w:eastAsia="Times New Roman" w:cs="Arial"/>
                <w:b/>
                <w:bCs/>
                <w:color w:val="FFFFFF" w:themeColor="background2"/>
                <w:sz w:val="16"/>
                <w:szCs w:val="16"/>
                <w:lang w:eastAsia="en-AU"/>
              </w:rPr>
              <w:t>2021-22</w:t>
            </w:r>
          </w:p>
        </w:tc>
        <w:tc>
          <w:tcPr>
            <w:tcW w:w="107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000000" w:fill="15272F"/>
            <w:vAlign w:val="center"/>
            <w:hideMark/>
          </w:tcPr>
          <w:p w14:paraId="6CD97B32" w14:textId="77777777" w:rsidR="00090465" w:rsidRPr="00CE5513" w:rsidRDefault="00090465" w:rsidP="00223677">
            <w:pPr>
              <w:spacing w:before="40" w:after="40" w:line="240" w:lineRule="auto"/>
              <w:jc w:val="center"/>
              <w:rPr>
                <w:rFonts w:eastAsia="Times New Roman" w:cs="Arial"/>
                <w:b/>
                <w:bCs/>
                <w:color w:val="FFFFFF"/>
                <w:sz w:val="16"/>
                <w:szCs w:val="16"/>
                <w:lang w:eastAsia="en-AU"/>
              </w:rPr>
            </w:pPr>
            <w:r w:rsidRPr="00CE5513">
              <w:rPr>
                <w:rFonts w:eastAsia="Times New Roman" w:cs="Arial"/>
                <w:b/>
                <w:bCs/>
                <w:color w:val="FFFFFF" w:themeColor="background2"/>
                <w:sz w:val="16"/>
                <w:szCs w:val="16"/>
                <w:lang w:eastAsia="en-AU"/>
              </w:rPr>
              <w:t>2022-23</w:t>
            </w:r>
          </w:p>
        </w:tc>
      </w:tr>
      <w:tr w:rsidR="00C3787D" w:rsidRPr="00090465" w14:paraId="367AD053" w14:textId="77777777" w:rsidTr="00091DB9">
        <w:trPr>
          <w:trHeight w:val="313"/>
        </w:trPr>
        <w:tc>
          <w:tcPr>
            <w:tcW w:w="1212" w:type="dxa"/>
            <w:tcBorders>
              <w:top w:val="nil"/>
              <w:left w:val="nil"/>
              <w:bottom w:val="single" w:sz="8" w:space="0" w:color="D9D9D9"/>
              <w:right w:val="single" w:sz="8" w:space="0" w:color="FFFFFF"/>
            </w:tcBorders>
            <w:shd w:val="clear" w:color="auto" w:fill="auto"/>
            <w:vAlign w:val="center"/>
            <w:hideMark/>
          </w:tcPr>
          <w:p w14:paraId="46C5ECFF" w14:textId="77777777" w:rsidR="00C3787D" w:rsidRPr="00CE5513" w:rsidRDefault="00C3787D" w:rsidP="00C3787D">
            <w:pPr>
              <w:spacing w:before="40" w:after="40" w:line="240" w:lineRule="auto"/>
              <w:rPr>
                <w:rFonts w:eastAsia="Times New Roman" w:cs="Arial"/>
                <w:color w:val="1C1C1C"/>
                <w:sz w:val="16"/>
                <w:szCs w:val="16"/>
                <w:lang w:eastAsia="en-AU"/>
              </w:rPr>
            </w:pPr>
            <w:r w:rsidRPr="00CE5513">
              <w:rPr>
                <w:rFonts w:eastAsia="Times New Roman" w:cs="Arial"/>
                <w:color w:val="1C1C1C"/>
                <w:sz w:val="16"/>
                <w:szCs w:val="16"/>
                <w:lang w:eastAsia="en-AU"/>
              </w:rPr>
              <w:t>NSW</w:t>
            </w:r>
          </w:p>
        </w:tc>
        <w:tc>
          <w:tcPr>
            <w:tcW w:w="926" w:type="dxa"/>
            <w:tcBorders>
              <w:top w:val="nil"/>
              <w:left w:val="nil"/>
              <w:bottom w:val="single" w:sz="8" w:space="0" w:color="D9D9D9"/>
              <w:right w:val="single" w:sz="8" w:space="0" w:color="FFFFFF"/>
            </w:tcBorders>
            <w:shd w:val="clear" w:color="000000" w:fill="F2F2F2"/>
            <w:vAlign w:val="center"/>
            <w:hideMark/>
          </w:tcPr>
          <w:p w14:paraId="3221D9AA" w14:textId="71B3C369" w:rsidR="00C3787D" w:rsidRPr="00C3787D" w:rsidRDefault="00C3787D">
            <w:pPr>
              <w:spacing w:before="40" w:after="40" w:line="240" w:lineRule="auto"/>
              <w:jc w:val="right"/>
              <w:rPr>
                <w:rFonts w:eastAsia="Times New Roman" w:cs="Arial"/>
                <w:b/>
                <w:bCs/>
                <w:color w:val="000000"/>
                <w:sz w:val="16"/>
                <w:szCs w:val="16"/>
                <w:u w:val="single"/>
                <w:lang w:eastAsia="en-AU"/>
              </w:rPr>
            </w:pPr>
            <w:r w:rsidRPr="00091DB9">
              <w:rPr>
                <w:rFonts w:cs="Arial"/>
                <w:color w:val="15272F"/>
                <w:sz w:val="16"/>
                <w:szCs w:val="16"/>
              </w:rPr>
              <w:t xml:space="preserve">200,186 </w:t>
            </w:r>
          </w:p>
        </w:tc>
        <w:tc>
          <w:tcPr>
            <w:tcW w:w="915" w:type="dxa"/>
            <w:tcBorders>
              <w:top w:val="nil"/>
              <w:left w:val="nil"/>
              <w:bottom w:val="single" w:sz="8" w:space="0" w:color="D9D9D9"/>
              <w:right w:val="single" w:sz="8" w:space="0" w:color="FFFFFF"/>
            </w:tcBorders>
            <w:shd w:val="clear" w:color="000000" w:fill="F2F2F2"/>
            <w:vAlign w:val="center"/>
            <w:hideMark/>
          </w:tcPr>
          <w:p w14:paraId="57A81F3B" w14:textId="185C900E" w:rsidR="00C3787D" w:rsidRPr="00C3787D" w:rsidRDefault="00C3787D">
            <w:pPr>
              <w:spacing w:before="40" w:after="40" w:line="240" w:lineRule="auto"/>
              <w:jc w:val="right"/>
              <w:rPr>
                <w:rFonts w:eastAsia="Times New Roman" w:cs="Arial"/>
                <w:b/>
                <w:bCs/>
                <w:color w:val="000000"/>
                <w:sz w:val="16"/>
                <w:szCs w:val="16"/>
                <w:u w:val="single"/>
                <w:lang w:eastAsia="en-AU"/>
              </w:rPr>
            </w:pPr>
            <w:r w:rsidRPr="00091DB9">
              <w:rPr>
                <w:rFonts w:cs="Arial"/>
                <w:color w:val="15272F"/>
                <w:sz w:val="16"/>
                <w:szCs w:val="16"/>
              </w:rPr>
              <w:t xml:space="preserve">192,668 </w:t>
            </w:r>
          </w:p>
        </w:tc>
        <w:tc>
          <w:tcPr>
            <w:tcW w:w="1073" w:type="dxa"/>
            <w:tcBorders>
              <w:top w:val="nil"/>
              <w:left w:val="nil"/>
              <w:bottom w:val="single" w:sz="8" w:space="0" w:color="D9D9D9"/>
              <w:right w:val="single" w:sz="8" w:space="0" w:color="FFFFFF"/>
            </w:tcBorders>
            <w:shd w:val="clear" w:color="000000" w:fill="F2F2F2"/>
            <w:vAlign w:val="center"/>
            <w:hideMark/>
          </w:tcPr>
          <w:p w14:paraId="67C2F76B" w14:textId="320F14C5" w:rsidR="00C3787D" w:rsidRPr="00C3787D" w:rsidRDefault="00C3787D">
            <w:pPr>
              <w:spacing w:before="40" w:after="40" w:line="240" w:lineRule="auto"/>
              <w:jc w:val="right"/>
              <w:rPr>
                <w:rFonts w:eastAsia="Times New Roman" w:cs="Arial"/>
                <w:b/>
                <w:bCs/>
                <w:color w:val="000000"/>
                <w:sz w:val="16"/>
                <w:szCs w:val="16"/>
                <w:u w:val="single"/>
                <w:lang w:eastAsia="en-AU"/>
              </w:rPr>
            </w:pPr>
            <w:r w:rsidRPr="00091DB9">
              <w:rPr>
                <w:rFonts w:cs="Arial"/>
                <w:color w:val="15272F"/>
                <w:sz w:val="16"/>
                <w:szCs w:val="16"/>
              </w:rPr>
              <w:t xml:space="preserve">184,699 </w:t>
            </w:r>
          </w:p>
        </w:tc>
        <w:tc>
          <w:tcPr>
            <w:tcW w:w="915" w:type="dxa"/>
            <w:tcBorders>
              <w:top w:val="nil"/>
              <w:left w:val="nil"/>
              <w:bottom w:val="single" w:sz="8" w:space="0" w:color="D9D9D9"/>
              <w:right w:val="single" w:sz="8" w:space="0" w:color="FFFFFF"/>
            </w:tcBorders>
            <w:shd w:val="clear" w:color="000000" w:fill="F2F2F2"/>
            <w:vAlign w:val="center"/>
            <w:hideMark/>
          </w:tcPr>
          <w:p w14:paraId="3D9AADAC" w14:textId="079C9F70"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236,491 </w:t>
            </w:r>
          </w:p>
        </w:tc>
        <w:tc>
          <w:tcPr>
            <w:tcW w:w="1069" w:type="dxa"/>
            <w:tcBorders>
              <w:top w:val="nil"/>
              <w:left w:val="nil"/>
              <w:bottom w:val="single" w:sz="8" w:space="0" w:color="D9D9D9"/>
              <w:right w:val="single" w:sz="8" w:space="0" w:color="FFFFFF"/>
            </w:tcBorders>
            <w:shd w:val="clear" w:color="000000" w:fill="F2F2F2"/>
            <w:vAlign w:val="center"/>
            <w:hideMark/>
          </w:tcPr>
          <w:p w14:paraId="7205653D" w14:textId="1E9D454F"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221,779 </w:t>
            </w:r>
          </w:p>
        </w:tc>
        <w:tc>
          <w:tcPr>
            <w:tcW w:w="928" w:type="dxa"/>
            <w:tcBorders>
              <w:top w:val="nil"/>
              <w:left w:val="nil"/>
              <w:bottom w:val="single" w:sz="8" w:space="0" w:color="D9D9D9"/>
              <w:right w:val="single" w:sz="8" w:space="0" w:color="FFFFFF"/>
            </w:tcBorders>
            <w:shd w:val="clear" w:color="000000" w:fill="F2F2F2"/>
            <w:vAlign w:val="center"/>
            <w:hideMark/>
          </w:tcPr>
          <w:p w14:paraId="5409D97C" w14:textId="1278B554"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246,451 </w:t>
            </w:r>
          </w:p>
        </w:tc>
        <w:tc>
          <w:tcPr>
            <w:tcW w:w="915" w:type="dxa"/>
            <w:tcBorders>
              <w:top w:val="nil"/>
              <w:left w:val="nil"/>
              <w:bottom w:val="single" w:sz="8" w:space="0" w:color="D9D9D9"/>
              <w:right w:val="single" w:sz="8" w:space="0" w:color="FFFFFF"/>
            </w:tcBorders>
            <w:shd w:val="clear" w:color="000000" w:fill="F2F2F2"/>
            <w:vAlign w:val="center"/>
            <w:hideMark/>
          </w:tcPr>
          <w:p w14:paraId="18E93B7F" w14:textId="3BD111E3"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85 </w:t>
            </w:r>
          </w:p>
        </w:tc>
        <w:tc>
          <w:tcPr>
            <w:tcW w:w="916" w:type="dxa"/>
            <w:tcBorders>
              <w:top w:val="nil"/>
              <w:left w:val="nil"/>
              <w:bottom w:val="single" w:sz="8" w:space="0" w:color="D9D9D9"/>
              <w:right w:val="single" w:sz="8" w:space="0" w:color="FFFFFF"/>
            </w:tcBorders>
            <w:shd w:val="clear" w:color="000000" w:fill="F2F2F2"/>
            <w:vAlign w:val="center"/>
            <w:hideMark/>
          </w:tcPr>
          <w:p w14:paraId="469C3B9F" w14:textId="5EA7F80C"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87 </w:t>
            </w:r>
          </w:p>
        </w:tc>
        <w:tc>
          <w:tcPr>
            <w:tcW w:w="1070" w:type="dxa"/>
            <w:tcBorders>
              <w:top w:val="single" w:sz="4" w:space="0" w:color="FFFFFF" w:themeColor="background2"/>
              <w:left w:val="nil"/>
              <w:bottom w:val="single" w:sz="8" w:space="0" w:color="D9D9D9"/>
              <w:right w:val="single" w:sz="8" w:space="0" w:color="FFFFFF"/>
            </w:tcBorders>
            <w:shd w:val="clear" w:color="000000" w:fill="F2F2F2"/>
            <w:vAlign w:val="center"/>
            <w:hideMark/>
          </w:tcPr>
          <w:p w14:paraId="72A81D59" w14:textId="6CE3C23E"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75 </w:t>
            </w:r>
          </w:p>
        </w:tc>
      </w:tr>
      <w:tr w:rsidR="002064DE" w:rsidRPr="00090465" w14:paraId="2F6B81BF" w14:textId="77777777" w:rsidTr="00C3787D">
        <w:trPr>
          <w:trHeight w:val="313"/>
        </w:trPr>
        <w:tc>
          <w:tcPr>
            <w:tcW w:w="1212" w:type="dxa"/>
            <w:tcBorders>
              <w:top w:val="nil"/>
              <w:left w:val="nil"/>
              <w:bottom w:val="single" w:sz="8" w:space="0" w:color="D9D9D9"/>
              <w:right w:val="single" w:sz="8" w:space="0" w:color="FFFFFF"/>
            </w:tcBorders>
            <w:shd w:val="clear" w:color="auto" w:fill="auto"/>
            <w:vAlign w:val="center"/>
            <w:hideMark/>
          </w:tcPr>
          <w:p w14:paraId="2096D6B2" w14:textId="77777777" w:rsidR="00C3787D" w:rsidRPr="00CE5513" w:rsidRDefault="00C3787D" w:rsidP="00C3787D">
            <w:pPr>
              <w:spacing w:before="40" w:after="40" w:line="240" w:lineRule="auto"/>
              <w:rPr>
                <w:rFonts w:eastAsia="Times New Roman" w:cs="Arial"/>
                <w:color w:val="1C1C1C"/>
                <w:sz w:val="16"/>
                <w:szCs w:val="16"/>
                <w:lang w:eastAsia="en-AU"/>
              </w:rPr>
            </w:pPr>
            <w:r w:rsidRPr="00CE5513">
              <w:rPr>
                <w:rFonts w:eastAsia="Times New Roman" w:cs="Arial"/>
                <w:color w:val="1C1C1C"/>
                <w:sz w:val="16"/>
                <w:szCs w:val="16"/>
                <w:lang w:eastAsia="en-AU"/>
              </w:rPr>
              <w:t>Vic</w:t>
            </w:r>
          </w:p>
        </w:tc>
        <w:tc>
          <w:tcPr>
            <w:tcW w:w="926" w:type="dxa"/>
            <w:tcBorders>
              <w:top w:val="nil"/>
              <w:left w:val="nil"/>
              <w:bottom w:val="nil"/>
              <w:right w:val="single" w:sz="8" w:space="0" w:color="FFFFFF"/>
            </w:tcBorders>
            <w:shd w:val="clear" w:color="000000" w:fill="F2F2F2"/>
            <w:vAlign w:val="center"/>
            <w:hideMark/>
          </w:tcPr>
          <w:p w14:paraId="55B73CA2" w14:textId="789FB536" w:rsidR="00C3787D" w:rsidRPr="00C3787D" w:rsidRDefault="00C3787D">
            <w:pPr>
              <w:spacing w:before="40" w:after="40" w:line="240" w:lineRule="auto"/>
              <w:jc w:val="right"/>
              <w:rPr>
                <w:rFonts w:eastAsia="Times New Roman" w:cs="Arial"/>
                <w:b/>
                <w:bCs/>
                <w:color w:val="000000"/>
                <w:sz w:val="16"/>
                <w:szCs w:val="16"/>
                <w:u w:val="single"/>
                <w:lang w:eastAsia="en-AU"/>
              </w:rPr>
            </w:pPr>
            <w:r w:rsidRPr="00091DB9">
              <w:rPr>
                <w:rFonts w:cs="Arial"/>
                <w:color w:val="15272F"/>
                <w:sz w:val="16"/>
                <w:szCs w:val="16"/>
              </w:rPr>
              <w:t xml:space="preserve">119,841 </w:t>
            </w:r>
          </w:p>
        </w:tc>
        <w:tc>
          <w:tcPr>
            <w:tcW w:w="915" w:type="dxa"/>
            <w:tcBorders>
              <w:top w:val="nil"/>
              <w:left w:val="nil"/>
              <w:bottom w:val="nil"/>
              <w:right w:val="single" w:sz="8" w:space="0" w:color="FFFFFF"/>
            </w:tcBorders>
            <w:shd w:val="clear" w:color="000000" w:fill="F2F2F2"/>
            <w:vAlign w:val="center"/>
            <w:hideMark/>
          </w:tcPr>
          <w:p w14:paraId="719E081D" w14:textId="21F7E004"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223,996 </w:t>
            </w:r>
          </w:p>
        </w:tc>
        <w:tc>
          <w:tcPr>
            <w:tcW w:w="1073" w:type="dxa"/>
            <w:tcBorders>
              <w:top w:val="nil"/>
              <w:left w:val="nil"/>
              <w:bottom w:val="single" w:sz="8" w:space="0" w:color="D9D9D9"/>
              <w:right w:val="single" w:sz="8" w:space="0" w:color="FFFFFF"/>
            </w:tcBorders>
            <w:shd w:val="clear" w:color="000000" w:fill="F2F2F2"/>
            <w:vAlign w:val="center"/>
            <w:hideMark/>
          </w:tcPr>
          <w:p w14:paraId="56AA24A3" w14:textId="3D59B59F"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478,974 </w:t>
            </w:r>
          </w:p>
        </w:tc>
        <w:tc>
          <w:tcPr>
            <w:tcW w:w="915" w:type="dxa"/>
            <w:tcBorders>
              <w:top w:val="nil"/>
              <w:left w:val="nil"/>
              <w:bottom w:val="nil"/>
              <w:right w:val="single" w:sz="8" w:space="0" w:color="FFFFFF"/>
            </w:tcBorders>
            <w:shd w:val="clear" w:color="000000" w:fill="F2F2F2"/>
            <w:vAlign w:val="center"/>
            <w:hideMark/>
          </w:tcPr>
          <w:p w14:paraId="584C74D4" w14:textId="35996922"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233,530 </w:t>
            </w:r>
          </w:p>
        </w:tc>
        <w:tc>
          <w:tcPr>
            <w:tcW w:w="1069" w:type="dxa"/>
            <w:tcBorders>
              <w:top w:val="nil"/>
              <w:left w:val="nil"/>
              <w:bottom w:val="nil"/>
              <w:right w:val="single" w:sz="8" w:space="0" w:color="FFFFFF"/>
            </w:tcBorders>
            <w:shd w:val="clear" w:color="000000" w:fill="F2F2F2"/>
            <w:vAlign w:val="center"/>
            <w:hideMark/>
          </w:tcPr>
          <w:p w14:paraId="082ACD46" w14:textId="5963050F"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270,156 </w:t>
            </w:r>
          </w:p>
        </w:tc>
        <w:tc>
          <w:tcPr>
            <w:tcW w:w="928" w:type="dxa"/>
            <w:tcBorders>
              <w:top w:val="nil"/>
              <w:left w:val="nil"/>
              <w:bottom w:val="single" w:sz="8" w:space="0" w:color="D9D9D9"/>
              <w:right w:val="single" w:sz="8" w:space="0" w:color="FFFFFF"/>
            </w:tcBorders>
            <w:shd w:val="clear" w:color="000000" w:fill="F2F2F2"/>
            <w:vAlign w:val="center"/>
            <w:hideMark/>
          </w:tcPr>
          <w:p w14:paraId="6D11AB40" w14:textId="46C5E3C5"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609,144 </w:t>
            </w:r>
          </w:p>
        </w:tc>
        <w:tc>
          <w:tcPr>
            <w:tcW w:w="915" w:type="dxa"/>
            <w:tcBorders>
              <w:top w:val="nil"/>
              <w:left w:val="nil"/>
              <w:bottom w:val="nil"/>
              <w:right w:val="single" w:sz="8" w:space="0" w:color="FFFFFF"/>
            </w:tcBorders>
            <w:shd w:val="clear" w:color="000000" w:fill="F2F2F2"/>
            <w:vAlign w:val="center"/>
            <w:hideMark/>
          </w:tcPr>
          <w:p w14:paraId="59E3B8A0" w14:textId="30BFD5CF"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51 </w:t>
            </w:r>
          </w:p>
        </w:tc>
        <w:tc>
          <w:tcPr>
            <w:tcW w:w="916" w:type="dxa"/>
            <w:tcBorders>
              <w:top w:val="nil"/>
              <w:left w:val="nil"/>
              <w:bottom w:val="nil"/>
              <w:right w:val="single" w:sz="8" w:space="0" w:color="FFFFFF"/>
            </w:tcBorders>
            <w:shd w:val="clear" w:color="000000" w:fill="F2F2F2"/>
            <w:vAlign w:val="center"/>
            <w:hideMark/>
          </w:tcPr>
          <w:p w14:paraId="102EAE11" w14:textId="4A7A267D"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83 </w:t>
            </w:r>
          </w:p>
        </w:tc>
        <w:tc>
          <w:tcPr>
            <w:tcW w:w="1070" w:type="dxa"/>
            <w:tcBorders>
              <w:top w:val="nil"/>
              <w:left w:val="nil"/>
              <w:bottom w:val="single" w:sz="8" w:space="0" w:color="D9D9D9"/>
              <w:right w:val="single" w:sz="8" w:space="0" w:color="FFFFFF"/>
            </w:tcBorders>
            <w:shd w:val="clear" w:color="000000" w:fill="F2F2F2"/>
            <w:vAlign w:val="center"/>
            <w:hideMark/>
          </w:tcPr>
          <w:p w14:paraId="69D870C7" w14:textId="4B235D68"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79 </w:t>
            </w:r>
          </w:p>
        </w:tc>
      </w:tr>
      <w:tr w:rsidR="002064DE" w:rsidRPr="00090465" w14:paraId="6851D961" w14:textId="77777777" w:rsidTr="00C3787D">
        <w:trPr>
          <w:trHeight w:val="313"/>
        </w:trPr>
        <w:tc>
          <w:tcPr>
            <w:tcW w:w="1212" w:type="dxa"/>
            <w:tcBorders>
              <w:top w:val="nil"/>
              <w:left w:val="nil"/>
              <w:bottom w:val="single" w:sz="8" w:space="0" w:color="D9D9D9"/>
              <w:right w:val="single" w:sz="8" w:space="0" w:color="FFFFFF"/>
            </w:tcBorders>
            <w:shd w:val="clear" w:color="auto" w:fill="auto"/>
            <w:vAlign w:val="center"/>
            <w:hideMark/>
          </w:tcPr>
          <w:p w14:paraId="4A5D551A" w14:textId="77777777" w:rsidR="00C3787D" w:rsidRPr="00CE5513" w:rsidRDefault="00C3787D" w:rsidP="00C3787D">
            <w:pPr>
              <w:spacing w:before="40" w:after="40" w:line="240" w:lineRule="auto"/>
              <w:rPr>
                <w:rFonts w:eastAsia="Times New Roman" w:cs="Arial"/>
                <w:color w:val="1C1C1C"/>
                <w:sz w:val="16"/>
                <w:szCs w:val="16"/>
                <w:lang w:eastAsia="en-AU"/>
              </w:rPr>
            </w:pPr>
            <w:r w:rsidRPr="00CE5513">
              <w:rPr>
                <w:rFonts w:eastAsia="Times New Roman" w:cs="Arial"/>
                <w:color w:val="1C1C1C"/>
                <w:sz w:val="16"/>
                <w:szCs w:val="16"/>
                <w:lang w:eastAsia="en-AU"/>
              </w:rPr>
              <w:t>Qld</w:t>
            </w:r>
          </w:p>
        </w:tc>
        <w:tc>
          <w:tcPr>
            <w:tcW w:w="926" w:type="dxa"/>
            <w:tcBorders>
              <w:top w:val="single" w:sz="8" w:space="0" w:color="D9D9D9"/>
              <w:left w:val="nil"/>
              <w:bottom w:val="single" w:sz="8" w:space="0" w:color="D9D9D9"/>
              <w:right w:val="single" w:sz="8" w:space="0" w:color="FFFFFF"/>
            </w:tcBorders>
            <w:shd w:val="clear" w:color="000000" w:fill="F2F2F2"/>
            <w:vAlign w:val="center"/>
            <w:hideMark/>
          </w:tcPr>
          <w:p w14:paraId="7996A2AE" w14:textId="26C32A03" w:rsidR="00C3787D" w:rsidRPr="00C3787D" w:rsidRDefault="00C3787D">
            <w:pPr>
              <w:spacing w:before="40" w:after="40" w:line="240" w:lineRule="auto"/>
              <w:jc w:val="right"/>
              <w:rPr>
                <w:rFonts w:eastAsia="Times New Roman" w:cs="Arial"/>
                <w:b/>
                <w:bCs/>
                <w:color w:val="000000"/>
                <w:sz w:val="16"/>
                <w:szCs w:val="16"/>
                <w:lang w:eastAsia="en-AU"/>
              </w:rPr>
            </w:pPr>
            <w:r w:rsidRPr="00091DB9">
              <w:rPr>
                <w:rFonts w:cs="Arial"/>
                <w:color w:val="15272F"/>
                <w:sz w:val="16"/>
                <w:szCs w:val="16"/>
              </w:rPr>
              <w:t xml:space="preserve">82,904 </w:t>
            </w:r>
          </w:p>
        </w:tc>
        <w:tc>
          <w:tcPr>
            <w:tcW w:w="915" w:type="dxa"/>
            <w:tcBorders>
              <w:top w:val="single" w:sz="8" w:space="0" w:color="D9D9D9"/>
              <w:left w:val="nil"/>
              <w:bottom w:val="single" w:sz="8" w:space="0" w:color="D9D9D9"/>
              <w:right w:val="single" w:sz="8" w:space="0" w:color="FFFFFF"/>
            </w:tcBorders>
            <w:shd w:val="clear" w:color="000000" w:fill="F2F2F2"/>
            <w:vAlign w:val="center"/>
            <w:hideMark/>
          </w:tcPr>
          <w:p w14:paraId="22EBDE0E" w14:textId="282F76A7" w:rsidR="00C3787D" w:rsidRPr="00C3787D" w:rsidRDefault="00C3787D">
            <w:pPr>
              <w:spacing w:before="40" w:after="40" w:line="240" w:lineRule="auto"/>
              <w:jc w:val="right"/>
              <w:rPr>
                <w:rFonts w:eastAsia="Times New Roman" w:cs="Arial"/>
                <w:b/>
                <w:bCs/>
                <w:color w:val="000000"/>
                <w:sz w:val="16"/>
                <w:szCs w:val="16"/>
                <w:lang w:eastAsia="en-AU"/>
              </w:rPr>
            </w:pPr>
            <w:r w:rsidRPr="00091DB9">
              <w:rPr>
                <w:rFonts w:cs="Arial"/>
                <w:color w:val="15272F"/>
                <w:sz w:val="16"/>
                <w:szCs w:val="16"/>
              </w:rPr>
              <w:t xml:space="preserve">135,181 </w:t>
            </w:r>
          </w:p>
        </w:tc>
        <w:tc>
          <w:tcPr>
            <w:tcW w:w="1073" w:type="dxa"/>
            <w:tcBorders>
              <w:top w:val="nil"/>
              <w:left w:val="nil"/>
              <w:bottom w:val="single" w:sz="8" w:space="0" w:color="D9D9D9"/>
              <w:right w:val="single" w:sz="8" w:space="0" w:color="FFFFFF"/>
            </w:tcBorders>
            <w:shd w:val="clear" w:color="000000" w:fill="F2F2F2"/>
            <w:vAlign w:val="center"/>
            <w:hideMark/>
          </w:tcPr>
          <w:p w14:paraId="4DB287D7" w14:textId="3FE7BC09" w:rsidR="00C3787D" w:rsidRPr="00C3787D" w:rsidRDefault="00C3787D">
            <w:pPr>
              <w:spacing w:before="40" w:after="40" w:line="240" w:lineRule="auto"/>
              <w:jc w:val="right"/>
              <w:rPr>
                <w:rFonts w:eastAsia="Times New Roman" w:cs="Arial"/>
                <w:b/>
                <w:bCs/>
                <w:color w:val="000000"/>
                <w:sz w:val="16"/>
                <w:szCs w:val="16"/>
                <w:lang w:eastAsia="en-AU"/>
              </w:rPr>
            </w:pPr>
            <w:r w:rsidRPr="00091DB9">
              <w:rPr>
                <w:rFonts w:cs="Arial"/>
                <w:color w:val="15272F"/>
                <w:sz w:val="16"/>
                <w:szCs w:val="16"/>
              </w:rPr>
              <w:t xml:space="preserve">62,185 </w:t>
            </w:r>
          </w:p>
        </w:tc>
        <w:tc>
          <w:tcPr>
            <w:tcW w:w="915" w:type="dxa"/>
            <w:tcBorders>
              <w:top w:val="single" w:sz="8" w:space="0" w:color="D9D9D9"/>
              <w:left w:val="nil"/>
              <w:bottom w:val="single" w:sz="8" w:space="0" w:color="D9D9D9"/>
              <w:right w:val="single" w:sz="8" w:space="0" w:color="FFFFFF"/>
            </w:tcBorders>
            <w:shd w:val="clear" w:color="000000" w:fill="F2F2F2"/>
            <w:vAlign w:val="center"/>
            <w:hideMark/>
          </w:tcPr>
          <w:p w14:paraId="55122B41" w14:textId="3825772B"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214,448 </w:t>
            </w:r>
          </w:p>
        </w:tc>
        <w:tc>
          <w:tcPr>
            <w:tcW w:w="1069" w:type="dxa"/>
            <w:tcBorders>
              <w:top w:val="single" w:sz="8" w:space="0" w:color="D9D9D9"/>
              <w:left w:val="nil"/>
              <w:bottom w:val="single" w:sz="8" w:space="0" w:color="D9D9D9"/>
              <w:right w:val="single" w:sz="8" w:space="0" w:color="FFFFFF"/>
            </w:tcBorders>
            <w:shd w:val="clear" w:color="000000" w:fill="F2F2F2"/>
            <w:vAlign w:val="center"/>
            <w:hideMark/>
          </w:tcPr>
          <w:p w14:paraId="351248E3" w14:textId="1059748E"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202,344 </w:t>
            </w:r>
          </w:p>
        </w:tc>
        <w:tc>
          <w:tcPr>
            <w:tcW w:w="928" w:type="dxa"/>
            <w:tcBorders>
              <w:top w:val="nil"/>
              <w:left w:val="nil"/>
              <w:bottom w:val="single" w:sz="8" w:space="0" w:color="D9D9D9"/>
              <w:right w:val="single" w:sz="8" w:space="0" w:color="FFFFFF"/>
            </w:tcBorders>
            <w:shd w:val="clear" w:color="000000" w:fill="F2F2F2"/>
            <w:vAlign w:val="center"/>
            <w:hideMark/>
          </w:tcPr>
          <w:p w14:paraId="1982F200" w14:textId="52D92D72"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73,328 </w:t>
            </w:r>
          </w:p>
        </w:tc>
        <w:tc>
          <w:tcPr>
            <w:tcW w:w="915" w:type="dxa"/>
            <w:tcBorders>
              <w:top w:val="single" w:sz="8" w:space="0" w:color="D9D9D9"/>
              <w:left w:val="nil"/>
              <w:bottom w:val="single" w:sz="8" w:space="0" w:color="D9D9D9"/>
              <w:right w:val="single" w:sz="8" w:space="0" w:color="FFFFFF"/>
            </w:tcBorders>
            <w:shd w:val="clear" w:color="000000" w:fill="F2F2F2"/>
            <w:vAlign w:val="center"/>
            <w:hideMark/>
          </w:tcPr>
          <w:p w14:paraId="4F8AB30E" w14:textId="70B161A7"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39 </w:t>
            </w:r>
          </w:p>
        </w:tc>
        <w:tc>
          <w:tcPr>
            <w:tcW w:w="916" w:type="dxa"/>
            <w:tcBorders>
              <w:top w:val="single" w:sz="8" w:space="0" w:color="D9D9D9"/>
              <w:left w:val="nil"/>
              <w:bottom w:val="single" w:sz="8" w:space="0" w:color="D9D9D9"/>
              <w:right w:val="single" w:sz="8" w:space="0" w:color="FFFFFF"/>
            </w:tcBorders>
            <w:shd w:val="clear" w:color="000000" w:fill="F2F2F2"/>
            <w:vAlign w:val="center"/>
            <w:hideMark/>
          </w:tcPr>
          <w:p w14:paraId="1703FDC0" w14:textId="5FFC2B71"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67 </w:t>
            </w:r>
          </w:p>
        </w:tc>
        <w:tc>
          <w:tcPr>
            <w:tcW w:w="1070" w:type="dxa"/>
            <w:tcBorders>
              <w:top w:val="nil"/>
              <w:left w:val="nil"/>
              <w:bottom w:val="single" w:sz="8" w:space="0" w:color="D9D9D9"/>
              <w:right w:val="single" w:sz="8" w:space="0" w:color="FFFFFF"/>
            </w:tcBorders>
            <w:shd w:val="clear" w:color="000000" w:fill="F2F2F2"/>
            <w:vAlign w:val="center"/>
            <w:hideMark/>
          </w:tcPr>
          <w:p w14:paraId="0F2A642D" w14:textId="681B7DEB"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85 </w:t>
            </w:r>
          </w:p>
        </w:tc>
      </w:tr>
      <w:tr w:rsidR="00C3787D" w:rsidRPr="00090465" w14:paraId="55390BA7" w14:textId="77777777" w:rsidTr="00091DB9">
        <w:trPr>
          <w:trHeight w:val="313"/>
        </w:trPr>
        <w:tc>
          <w:tcPr>
            <w:tcW w:w="1212" w:type="dxa"/>
            <w:tcBorders>
              <w:top w:val="nil"/>
              <w:left w:val="nil"/>
              <w:bottom w:val="single" w:sz="8" w:space="0" w:color="D9D9D9"/>
              <w:right w:val="single" w:sz="8" w:space="0" w:color="FFFFFF"/>
            </w:tcBorders>
            <w:shd w:val="clear" w:color="auto" w:fill="auto"/>
            <w:vAlign w:val="center"/>
            <w:hideMark/>
          </w:tcPr>
          <w:p w14:paraId="270D3F92" w14:textId="77777777" w:rsidR="00C3787D" w:rsidRPr="00CE5513" w:rsidRDefault="00C3787D" w:rsidP="00C3787D">
            <w:pPr>
              <w:spacing w:before="40" w:after="40" w:line="240" w:lineRule="auto"/>
              <w:rPr>
                <w:rFonts w:eastAsia="Times New Roman" w:cs="Arial"/>
                <w:color w:val="1C1C1C"/>
                <w:sz w:val="16"/>
                <w:szCs w:val="16"/>
                <w:lang w:eastAsia="en-AU"/>
              </w:rPr>
            </w:pPr>
            <w:r w:rsidRPr="00CE5513">
              <w:rPr>
                <w:rFonts w:eastAsia="Times New Roman" w:cs="Arial"/>
                <w:color w:val="1C1C1C"/>
                <w:sz w:val="16"/>
                <w:szCs w:val="16"/>
                <w:lang w:eastAsia="en-AU"/>
              </w:rPr>
              <w:t>SA</w:t>
            </w:r>
          </w:p>
        </w:tc>
        <w:tc>
          <w:tcPr>
            <w:tcW w:w="926" w:type="dxa"/>
            <w:tcBorders>
              <w:top w:val="nil"/>
              <w:left w:val="nil"/>
              <w:bottom w:val="nil"/>
              <w:right w:val="single" w:sz="8" w:space="0" w:color="FFFFFF"/>
            </w:tcBorders>
            <w:shd w:val="clear" w:color="000000" w:fill="F2F2F2"/>
            <w:vAlign w:val="center"/>
            <w:hideMark/>
          </w:tcPr>
          <w:p w14:paraId="424C9C01" w14:textId="01BA817B"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15" w:type="dxa"/>
            <w:tcBorders>
              <w:top w:val="nil"/>
              <w:left w:val="nil"/>
              <w:bottom w:val="nil"/>
              <w:right w:val="single" w:sz="8" w:space="0" w:color="FFFFFF"/>
            </w:tcBorders>
            <w:shd w:val="clear" w:color="000000" w:fill="F2F2F2"/>
            <w:vAlign w:val="center"/>
            <w:hideMark/>
          </w:tcPr>
          <w:p w14:paraId="1009B5A6" w14:textId="6B060EBE"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1073" w:type="dxa"/>
            <w:tcBorders>
              <w:top w:val="nil"/>
              <w:left w:val="nil"/>
              <w:bottom w:val="nil"/>
              <w:right w:val="single" w:sz="8" w:space="0" w:color="FFFFFF"/>
            </w:tcBorders>
            <w:shd w:val="clear" w:color="000000" w:fill="F2F2F2"/>
            <w:vAlign w:val="center"/>
            <w:hideMark/>
          </w:tcPr>
          <w:p w14:paraId="5F8A4844" w14:textId="62707EAB"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15" w:type="dxa"/>
            <w:tcBorders>
              <w:top w:val="nil"/>
              <w:left w:val="nil"/>
              <w:bottom w:val="nil"/>
              <w:right w:val="single" w:sz="8" w:space="0" w:color="FFFFFF"/>
            </w:tcBorders>
            <w:shd w:val="clear" w:color="000000" w:fill="F2F2F2"/>
            <w:vAlign w:val="center"/>
            <w:hideMark/>
          </w:tcPr>
          <w:p w14:paraId="570343ED" w14:textId="10B84967"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63,633 </w:t>
            </w:r>
          </w:p>
        </w:tc>
        <w:tc>
          <w:tcPr>
            <w:tcW w:w="1069" w:type="dxa"/>
            <w:tcBorders>
              <w:top w:val="nil"/>
              <w:left w:val="nil"/>
              <w:bottom w:val="nil"/>
              <w:right w:val="single" w:sz="8" w:space="0" w:color="FFFFFF"/>
            </w:tcBorders>
            <w:shd w:val="clear" w:color="000000" w:fill="F2F2F2"/>
            <w:vAlign w:val="center"/>
            <w:hideMark/>
          </w:tcPr>
          <w:p w14:paraId="3351B22A" w14:textId="08E4C1BF"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66,836 </w:t>
            </w:r>
          </w:p>
        </w:tc>
        <w:tc>
          <w:tcPr>
            <w:tcW w:w="928" w:type="dxa"/>
            <w:tcBorders>
              <w:top w:val="nil"/>
              <w:left w:val="nil"/>
              <w:bottom w:val="nil"/>
              <w:right w:val="single" w:sz="8" w:space="0" w:color="FFFFFF"/>
            </w:tcBorders>
            <w:shd w:val="clear" w:color="000000" w:fill="F2F2F2"/>
            <w:vAlign w:val="center"/>
            <w:hideMark/>
          </w:tcPr>
          <w:p w14:paraId="602CD1A5" w14:textId="4AE9813F"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62,692 </w:t>
            </w:r>
          </w:p>
        </w:tc>
        <w:tc>
          <w:tcPr>
            <w:tcW w:w="915" w:type="dxa"/>
            <w:tcBorders>
              <w:top w:val="nil"/>
              <w:left w:val="nil"/>
              <w:bottom w:val="nil"/>
              <w:right w:val="single" w:sz="8" w:space="0" w:color="FFFFFF"/>
            </w:tcBorders>
            <w:shd w:val="clear" w:color="000000" w:fill="F2F2F2"/>
            <w:vAlign w:val="center"/>
            <w:hideMark/>
          </w:tcPr>
          <w:p w14:paraId="32737F5C" w14:textId="7B1024F3"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16" w:type="dxa"/>
            <w:tcBorders>
              <w:top w:val="nil"/>
              <w:left w:val="nil"/>
              <w:bottom w:val="nil"/>
              <w:right w:val="single" w:sz="8" w:space="0" w:color="FFFFFF"/>
            </w:tcBorders>
            <w:shd w:val="clear" w:color="000000" w:fill="F2F2F2"/>
            <w:vAlign w:val="center"/>
            <w:hideMark/>
          </w:tcPr>
          <w:p w14:paraId="13E9ACCA" w14:textId="35668107"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1070" w:type="dxa"/>
            <w:tcBorders>
              <w:top w:val="nil"/>
              <w:left w:val="nil"/>
              <w:bottom w:val="nil"/>
              <w:right w:val="single" w:sz="8" w:space="0" w:color="FFFFFF"/>
            </w:tcBorders>
            <w:shd w:val="clear" w:color="000000" w:fill="F2F2F2"/>
            <w:vAlign w:val="center"/>
            <w:hideMark/>
          </w:tcPr>
          <w:p w14:paraId="069675FC" w14:textId="3870C209"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r>
      <w:tr w:rsidR="00C3787D" w:rsidRPr="00090465" w14:paraId="5E8D7757" w14:textId="77777777" w:rsidTr="00091DB9">
        <w:trPr>
          <w:trHeight w:val="313"/>
        </w:trPr>
        <w:tc>
          <w:tcPr>
            <w:tcW w:w="1212" w:type="dxa"/>
            <w:tcBorders>
              <w:top w:val="nil"/>
              <w:left w:val="nil"/>
              <w:bottom w:val="nil"/>
              <w:right w:val="single" w:sz="8" w:space="0" w:color="FFFFFF"/>
            </w:tcBorders>
            <w:shd w:val="clear" w:color="auto" w:fill="auto"/>
            <w:vAlign w:val="center"/>
            <w:hideMark/>
          </w:tcPr>
          <w:p w14:paraId="0880EDF9" w14:textId="77777777" w:rsidR="00C3787D" w:rsidRPr="00CE5513" w:rsidRDefault="00C3787D" w:rsidP="00C3787D">
            <w:pPr>
              <w:spacing w:before="40" w:after="40" w:line="240" w:lineRule="auto"/>
              <w:rPr>
                <w:rFonts w:eastAsia="Times New Roman" w:cs="Arial"/>
                <w:color w:val="1C1C1C"/>
                <w:sz w:val="16"/>
                <w:szCs w:val="16"/>
                <w:lang w:eastAsia="en-AU"/>
              </w:rPr>
            </w:pPr>
            <w:r w:rsidRPr="00CE5513">
              <w:rPr>
                <w:rFonts w:eastAsia="Times New Roman" w:cs="Arial"/>
                <w:color w:val="1C1C1C"/>
                <w:sz w:val="16"/>
                <w:szCs w:val="16"/>
                <w:lang w:eastAsia="en-AU"/>
              </w:rPr>
              <w:t>WA</w:t>
            </w:r>
          </w:p>
        </w:tc>
        <w:tc>
          <w:tcPr>
            <w:tcW w:w="926" w:type="dxa"/>
            <w:tcBorders>
              <w:top w:val="single" w:sz="8" w:space="0" w:color="D9D9D9"/>
              <w:left w:val="nil"/>
              <w:bottom w:val="single" w:sz="8" w:space="0" w:color="D9D9D9"/>
              <w:right w:val="single" w:sz="8" w:space="0" w:color="FFFFFF"/>
            </w:tcBorders>
            <w:shd w:val="clear" w:color="000000" w:fill="F2F2F2"/>
            <w:vAlign w:val="center"/>
            <w:hideMark/>
          </w:tcPr>
          <w:p w14:paraId="553616F0" w14:textId="58D09A9A"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15" w:type="dxa"/>
            <w:tcBorders>
              <w:top w:val="single" w:sz="8" w:space="0" w:color="D9D9D9"/>
              <w:left w:val="nil"/>
              <w:bottom w:val="single" w:sz="8" w:space="0" w:color="D9D9D9"/>
              <w:right w:val="single" w:sz="8" w:space="0" w:color="FFFFFF"/>
            </w:tcBorders>
            <w:shd w:val="clear" w:color="000000" w:fill="F2F2F2"/>
            <w:vAlign w:val="center"/>
            <w:hideMark/>
          </w:tcPr>
          <w:p w14:paraId="171AD8D8" w14:textId="55C7DCC9"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1073" w:type="dxa"/>
            <w:tcBorders>
              <w:top w:val="single" w:sz="8" w:space="0" w:color="D9D9D9"/>
              <w:left w:val="nil"/>
              <w:bottom w:val="single" w:sz="8" w:space="0" w:color="D9D9D9"/>
              <w:right w:val="single" w:sz="8" w:space="0" w:color="FFFFFF"/>
            </w:tcBorders>
            <w:shd w:val="clear" w:color="000000" w:fill="F2F2F2"/>
            <w:vAlign w:val="center"/>
            <w:hideMark/>
          </w:tcPr>
          <w:p w14:paraId="7BFDA045" w14:textId="6F6DF8DD"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15" w:type="dxa"/>
            <w:tcBorders>
              <w:top w:val="single" w:sz="8" w:space="0" w:color="D9D9D9"/>
              <w:left w:val="nil"/>
              <w:bottom w:val="single" w:sz="8" w:space="0" w:color="D9D9D9"/>
              <w:right w:val="single" w:sz="8" w:space="0" w:color="FFFFFF"/>
            </w:tcBorders>
            <w:shd w:val="clear" w:color="000000" w:fill="F2F2F2"/>
            <w:vAlign w:val="center"/>
            <w:hideMark/>
          </w:tcPr>
          <w:p w14:paraId="4BFA740C" w14:textId="68F11B10"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85,649 </w:t>
            </w:r>
          </w:p>
        </w:tc>
        <w:tc>
          <w:tcPr>
            <w:tcW w:w="1069" w:type="dxa"/>
            <w:tcBorders>
              <w:top w:val="single" w:sz="8" w:space="0" w:color="D9D9D9"/>
              <w:left w:val="nil"/>
              <w:bottom w:val="single" w:sz="8" w:space="0" w:color="D9D9D9"/>
              <w:right w:val="single" w:sz="8" w:space="0" w:color="FFFFFF"/>
            </w:tcBorders>
            <w:shd w:val="clear" w:color="000000" w:fill="F2F2F2"/>
            <w:vAlign w:val="center"/>
            <w:hideMark/>
          </w:tcPr>
          <w:p w14:paraId="6242C94C" w14:textId="04A81A7E"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79,848 </w:t>
            </w:r>
          </w:p>
        </w:tc>
        <w:tc>
          <w:tcPr>
            <w:tcW w:w="928" w:type="dxa"/>
            <w:tcBorders>
              <w:top w:val="single" w:sz="8" w:space="0" w:color="D9D9D9"/>
              <w:left w:val="nil"/>
              <w:bottom w:val="single" w:sz="8" w:space="0" w:color="D9D9D9"/>
              <w:right w:val="single" w:sz="8" w:space="0" w:color="FFFFFF"/>
            </w:tcBorders>
            <w:shd w:val="clear" w:color="000000" w:fill="F2F2F2"/>
            <w:vAlign w:val="center"/>
            <w:hideMark/>
          </w:tcPr>
          <w:p w14:paraId="373159C1" w14:textId="400D19E8"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75,662 </w:t>
            </w:r>
          </w:p>
        </w:tc>
        <w:tc>
          <w:tcPr>
            <w:tcW w:w="915" w:type="dxa"/>
            <w:tcBorders>
              <w:top w:val="single" w:sz="8" w:space="0" w:color="D9D9D9"/>
              <w:left w:val="nil"/>
              <w:bottom w:val="single" w:sz="8" w:space="0" w:color="D9D9D9"/>
              <w:right w:val="single" w:sz="8" w:space="0" w:color="FFFFFF"/>
            </w:tcBorders>
            <w:shd w:val="clear" w:color="000000" w:fill="F2F2F2"/>
            <w:vAlign w:val="center"/>
            <w:hideMark/>
          </w:tcPr>
          <w:p w14:paraId="7B4CFF3A" w14:textId="51A7B3B8"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16" w:type="dxa"/>
            <w:tcBorders>
              <w:top w:val="single" w:sz="8" w:space="0" w:color="D9D9D9"/>
              <w:left w:val="nil"/>
              <w:bottom w:val="single" w:sz="8" w:space="0" w:color="D9D9D9"/>
              <w:right w:val="single" w:sz="8" w:space="0" w:color="FFFFFF"/>
            </w:tcBorders>
            <w:shd w:val="clear" w:color="000000" w:fill="F2F2F2"/>
            <w:vAlign w:val="center"/>
            <w:hideMark/>
          </w:tcPr>
          <w:p w14:paraId="53E8442A" w14:textId="29A67CE7"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1070" w:type="dxa"/>
            <w:tcBorders>
              <w:top w:val="single" w:sz="8" w:space="0" w:color="D9D9D9"/>
              <w:left w:val="nil"/>
              <w:bottom w:val="single" w:sz="8" w:space="0" w:color="D9D9D9"/>
              <w:right w:val="single" w:sz="8" w:space="0" w:color="FFFFFF"/>
            </w:tcBorders>
            <w:shd w:val="clear" w:color="000000" w:fill="F2F2F2"/>
            <w:vAlign w:val="center"/>
            <w:hideMark/>
          </w:tcPr>
          <w:p w14:paraId="108BCEE9" w14:textId="73126256"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r>
      <w:tr w:rsidR="00C3787D" w:rsidRPr="00090465" w14:paraId="03114159" w14:textId="77777777" w:rsidTr="00091DB9">
        <w:trPr>
          <w:trHeight w:val="313"/>
        </w:trPr>
        <w:tc>
          <w:tcPr>
            <w:tcW w:w="1212" w:type="dxa"/>
            <w:tcBorders>
              <w:top w:val="single" w:sz="8" w:space="0" w:color="D9D9D9"/>
              <w:left w:val="nil"/>
              <w:bottom w:val="single" w:sz="8" w:space="0" w:color="D9D9D9"/>
              <w:right w:val="single" w:sz="8" w:space="0" w:color="FFFFFF"/>
            </w:tcBorders>
            <w:shd w:val="clear" w:color="auto" w:fill="auto"/>
            <w:vAlign w:val="center"/>
            <w:hideMark/>
          </w:tcPr>
          <w:p w14:paraId="7428355F" w14:textId="77777777" w:rsidR="00C3787D" w:rsidRPr="00CE5513" w:rsidRDefault="00C3787D" w:rsidP="00C3787D">
            <w:pPr>
              <w:spacing w:before="40" w:after="40" w:line="240" w:lineRule="auto"/>
              <w:rPr>
                <w:rFonts w:eastAsia="Times New Roman" w:cs="Arial"/>
                <w:color w:val="1C1C1C"/>
                <w:sz w:val="16"/>
                <w:szCs w:val="16"/>
                <w:lang w:eastAsia="en-AU"/>
              </w:rPr>
            </w:pPr>
            <w:r w:rsidRPr="00CE5513">
              <w:rPr>
                <w:rFonts w:eastAsia="Times New Roman" w:cs="Arial"/>
                <w:color w:val="1C1C1C"/>
                <w:sz w:val="16"/>
                <w:szCs w:val="16"/>
                <w:lang w:eastAsia="en-AU"/>
              </w:rPr>
              <w:t>Tas</w:t>
            </w:r>
          </w:p>
        </w:tc>
        <w:tc>
          <w:tcPr>
            <w:tcW w:w="926" w:type="dxa"/>
            <w:tcBorders>
              <w:top w:val="nil"/>
              <w:left w:val="nil"/>
              <w:bottom w:val="single" w:sz="8" w:space="0" w:color="D9D9D9"/>
              <w:right w:val="single" w:sz="8" w:space="0" w:color="FFFFFF"/>
            </w:tcBorders>
            <w:shd w:val="clear" w:color="000000" w:fill="F2F2F2"/>
            <w:vAlign w:val="center"/>
            <w:hideMark/>
          </w:tcPr>
          <w:p w14:paraId="45946583" w14:textId="235374D4"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2,884 </w:t>
            </w:r>
          </w:p>
        </w:tc>
        <w:tc>
          <w:tcPr>
            <w:tcW w:w="915" w:type="dxa"/>
            <w:tcBorders>
              <w:top w:val="nil"/>
              <w:left w:val="nil"/>
              <w:bottom w:val="single" w:sz="8" w:space="0" w:color="D9D9D9"/>
              <w:right w:val="single" w:sz="8" w:space="0" w:color="FFFFFF"/>
            </w:tcBorders>
            <w:shd w:val="clear" w:color="000000" w:fill="F2F2F2"/>
            <w:vAlign w:val="center"/>
            <w:hideMark/>
          </w:tcPr>
          <w:p w14:paraId="690730EC" w14:textId="53B5BEF5"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3,983 </w:t>
            </w:r>
          </w:p>
        </w:tc>
        <w:tc>
          <w:tcPr>
            <w:tcW w:w="1073" w:type="dxa"/>
            <w:tcBorders>
              <w:top w:val="nil"/>
              <w:left w:val="nil"/>
              <w:bottom w:val="single" w:sz="8" w:space="0" w:color="D9D9D9"/>
              <w:right w:val="single" w:sz="8" w:space="0" w:color="FFFFFF"/>
            </w:tcBorders>
            <w:shd w:val="clear" w:color="000000" w:fill="F2F2F2"/>
            <w:vAlign w:val="center"/>
            <w:hideMark/>
          </w:tcPr>
          <w:p w14:paraId="53ECC1DF" w14:textId="7E6BA3F4"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3,584 </w:t>
            </w:r>
          </w:p>
        </w:tc>
        <w:tc>
          <w:tcPr>
            <w:tcW w:w="915" w:type="dxa"/>
            <w:tcBorders>
              <w:top w:val="nil"/>
              <w:left w:val="nil"/>
              <w:bottom w:val="single" w:sz="8" w:space="0" w:color="D9D9D9"/>
              <w:right w:val="single" w:sz="8" w:space="0" w:color="FFFFFF"/>
            </w:tcBorders>
            <w:shd w:val="clear" w:color="000000" w:fill="F2F2F2"/>
            <w:vAlign w:val="center"/>
            <w:hideMark/>
          </w:tcPr>
          <w:p w14:paraId="3CD676AE" w14:textId="027DB783"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8,707 </w:t>
            </w:r>
          </w:p>
        </w:tc>
        <w:tc>
          <w:tcPr>
            <w:tcW w:w="1069" w:type="dxa"/>
            <w:tcBorders>
              <w:top w:val="nil"/>
              <w:left w:val="nil"/>
              <w:bottom w:val="single" w:sz="8" w:space="0" w:color="D9D9D9"/>
              <w:right w:val="single" w:sz="8" w:space="0" w:color="FFFFFF"/>
            </w:tcBorders>
            <w:shd w:val="clear" w:color="000000" w:fill="F2F2F2"/>
            <w:vAlign w:val="center"/>
            <w:hideMark/>
          </w:tcPr>
          <w:p w14:paraId="0A93D5EB" w14:textId="2BF5D769"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5,849 </w:t>
            </w:r>
          </w:p>
        </w:tc>
        <w:tc>
          <w:tcPr>
            <w:tcW w:w="928" w:type="dxa"/>
            <w:tcBorders>
              <w:top w:val="nil"/>
              <w:left w:val="nil"/>
              <w:bottom w:val="single" w:sz="8" w:space="0" w:color="D9D9D9"/>
              <w:right w:val="single" w:sz="8" w:space="0" w:color="FFFFFF"/>
            </w:tcBorders>
            <w:shd w:val="clear" w:color="000000" w:fill="F2F2F2"/>
            <w:vAlign w:val="center"/>
            <w:hideMark/>
          </w:tcPr>
          <w:p w14:paraId="648250A4" w14:textId="1155A12E"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5,499 </w:t>
            </w:r>
          </w:p>
        </w:tc>
        <w:tc>
          <w:tcPr>
            <w:tcW w:w="915" w:type="dxa"/>
            <w:tcBorders>
              <w:top w:val="nil"/>
              <w:left w:val="nil"/>
              <w:bottom w:val="single" w:sz="8" w:space="0" w:color="D9D9D9"/>
              <w:right w:val="single" w:sz="8" w:space="0" w:color="FFFFFF"/>
            </w:tcBorders>
            <w:shd w:val="clear" w:color="000000" w:fill="F2F2F2"/>
            <w:vAlign w:val="center"/>
            <w:hideMark/>
          </w:tcPr>
          <w:p w14:paraId="765C8D39" w14:textId="1D151783"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33 </w:t>
            </w:r>
          </w:p>
        </w:tc>
        <w:tc>
          <w:tcPr>
            <w:tcW w:w="916" w:type="dxa"/>
            <w:tcBorders>
              <w:top w:val="nil"/>
              <w:left w:val="nil"/>
              <w:bottom w:val="single" w:sz="8" w:space="0" w:color="D9D9D9"/>
              <w:right w:val="single" w:sz="8" w:space="0" w:color="FFFFFF"/>
            </w:tcBorders>
            <w:shd w:val="clear" w:color="000000" w:fill="F2F2F2"/>
            <w:vAlign w:val="center"/>
            <w:hideMark/>
          </w:tcPr>
          <w:p w14:paraId="57A2C841" w14:textId="4D33C01A"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68 </w:t>
            </w:r>
          </w:p>
        </w:tc>
        <w:tc>
          <w:tcPr>
            <w:tcW w:w="1070" w:type="dxa"/>
            <w:tcBorders>
              <w:top w:val="nil"/>
              <w:left w:val="nil"/>
              <w:bottom w:val="single" w:sz="8" w:space="0" w:color="D9D9D9"/>
              <w:right w:val="single" w:sz="8" w:space="0" w:color="FFFFFF"/>
            </w:tcBorders>
            <w:shd w:val="clear" w:color="000000" w:fill="F2F2F2"/>
            <w:vAlign w:val="center"/>
            <w:hideMark/>
          </w:tcPr>
          <w:p w14:paraId="1AE94BE5" w14:textId="555D722C"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65 </w:t>
            </w:r>
          </w:p>
        </w:tc>
      </w:tr>
      <w:tr w:rsidR="002064DE" w:rsidRPr="00090465" w14:paraId="4FAFB399" w14:textId="77777777" w:rsidTr="00C3787D">
        <w:trPr>
          <w:trHeight w:val="313"/>
        </w:trPr>
        <w:tc>
          <w:tcPr>
            <w:tcW w:w="1212" w:type="dxa"/>
            <w:tcBorders>
              <w:top w:val="nil"/>
              <w:left w:val="nil"/>
              <w:bottom w:val="nil"/>
              <w:right w:val="single" w:sz="8" w:space="0" w:color="FFFFFF"/>
            </w:tcBorders>
            <w:shd w:val="clear" w:color="auto" w:fill="auto"/>
            <w:vAlign w:val="center"/>
            <w:hideMark/>
          </w:tcPr>
          <w:p w14:paraId="4804ACCD" w14:textId="77777777" w:rsidR="00C3787D" w:rsidRPr="00CE5513" w:rsidRDefault="00C3787D" w:rsidP="00C3787D">
            <w:pPr>
              <w:spacing w:before="40" w:after="40" w:line="240" w:lineRule="auto"/>
              <w:rPr>
                <w:rFonts w:eastAsia="Times New Roman" w:cs="Arial"/>
                <w:color w:val="1C1C1C"/>
                <w:sz w:val="16"/>
                <w:szCs w:val="16"/>
                <w:lang w:eastAsia="en-AU"/>
              </w:rPr>
            </w:pPr>
            <w:r w:rsidRPr="00CE5513">
              <w:rPr>
                <w:rFonts w:eastAsia="Times New Roman" w:cs="Arial"/>
                <w:color w:val="1C1C1C"/>
                <w:sz w:val="16"/>
                <w:szCs w:val="16"/>
                <w:lang w:eastAsia="en-AU"/>
              </w:rPr>
              <w:t>NT</w:t>
            </w:r>
          </w:p>
        </w:tc>
        <w:tc>
          <w:tcPr>
            <w:tcW w:w="926" w:type="dxa"/>
            <w:tcBorders>
              <w:top w:val="nil"/>
              <w:left w:val="nil"/>
              <w:bottom w:val="nil"/>
              <w:right w:val="single" w:sz="8" w:space="0" w:color="FFFFFF"/>
            </w:tcBorders>
            <w:shd w:val="clear" w:color="000000" w:fill="F2F2F2"/>
            <w:vAlign w:val="center"/>
            <w:hideMark/>
          </w:tcPr>
          <w:p w14:paraId="76661A86" w14:textId="7CF1DBD2"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15" w:type="dxa"/>
            <w:tcBorders>
              <w:top w:val="nil"/>
              <w:left w:val="nil"/>
              <w:bottom w:val="nil"/>
              <w:right w:val="single" w:sz="8" w:space="0" w:color="FFFFFF"/>
            </w:tcBorders>
            <w:shd w:val="clear" w:color="000000" w:fill="F2F2F2"/>
            <w:vAlign w:val="center"/>
            <w:hideMark/>
          </w:tcPr>
          <w:p w14:paraId="461486A8" w14:textId="658AFF52"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1073" w:type="dxa"/>
            <w:tcBorders>
              <w:top w:val="nil"/>
              <w:left w:val="nil"/>
              <w:bottom w:val="single" w:sz="8" w:space="0" w:color="D9D9D9"/>
              <w:right w:val="single" w:sz="8" w:space="0" w:color="FFFFFF"/>
            </w:tcBorders>
            <w:shd w:val="clear" w:color="000000" w:fill="F2F2F2"/>
            <w:vAlign w:val="center"/>
            <w:hideMark/>
          </w:tcPr>
          <w:p w14:paraId="1C7EBE2A" w14:textId="2071ECB2"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15" w:type="dxa"/>
            <w:tcBorders>
              <w:top w:val="nil"/>
              <w:left w:val="nil"/>
              <w:bottom w:val="nil"/>
              <w:right w:val="single" w:sz="8" w:space="0" w:color="FFFFFF"/>
            </w:tcBorders>
            <w:shd w:val="clear" w:color="000000" w:fill="F2F2F2"/>
            <w:vAlign w:val="center"/>
            <w:hideMark/>
          </w:tcPr>
          <w:p w14:paraId="455210A6" w14:textId="4D921E76"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5,323 </w:t>
            </w:r>
          </w:p>
        </w:tc>
        <w:tc>
          <w:tcPr>
            <w:tcW w:w="1069" w:type="dxa"/>
            <w:tcBorders>
              <w:top w:val="nil"/>
              <w:left w:val="nil"/>
              <w:bottom w:val="nil"/>
              <w:right w:val="single" w:sz="8" w:space="0" w:color="FFFFFF"/>
            </w:tcBorders>
            <w:shd w:val="clear" w:color="000000" w:fill="F2F2F2"/>
            <w:vAlign w:val="center"/>
            <w:hideMark/>
          </w:tcPr>
          <w:p w14:paraId="78557D67" w14:textId="79A77EBD"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4,284 </w:t>
            </w:r>
          </w:p>
        </w:tc>
        <w:tc>
          <w:tcPr>
            <w:tcW w:w="928" w:type="dxa"/>
            <w:tcBorders>
              <w:top w:val="nil"/>
              <w:left w:val="nil"/>
              <w:bottom w:val="single" w:sz="8" w:space="0" w:color="D9D9D9"/>
              <w:right w:val="single" w:sz="8" w:space="0" w:color="FFFFFF"/>
            </w:tcBorders>
            <w:shd w:val="clear" w:color="000000" w:fill="F2F2F2"/>
            <w:vAlign w:val="center"/>
            <w:hideMark/>
          </w:tcPr>
          <w:p w14:paraId="02B8D51A" w14:textId="29B60BC0"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7,993 </w:t>
            </w:r>
          </w:p>
        </w:tc>
        <w:tc>
          <w:tcPr>
            <w:tcW w:w="915" w:type="dxa"/>
            <w:tcBorders>
              <w:top w:val="nil"/>
              <w:left w:val="nil"/>
              <w:bottom w:val="nil"/>
              <w:right w:val="single" w:sz="8" w:space="0" w:color="FFFFFF"/>
            </w:tcBorders>
            <w:shd w:val="clear" w:color="000000" w:fill="F2F2F2"/>
            <w:vAlign w:val="center"/>
            <w:hideMark/>
          </w:tcPr>
          <w:p w14:paraId="07D40384" w14:textId="47ED9E97"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16" w:type="dxa"/>
            <w:tcBorders>
              <w:top w:val="nil"/>
              <w:left w:val="nil"/>
              <w:bottom w:val="nil"/>
              <w:right w:val="single" w:sz="8" w:space="0" w:color="FFFFFF"/>
            </w:tcBorders>
            <w:shd w:val="clear" w:color="000000" w:fill="F2F2F2"/>
            <w:vAlign w:val="center"/>
            <w:hideMark/>
          </w:tcPr>
          <w:p w14:paraId="6B9793DA" w14:textId="01E9D888"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1070" w:type="dxa"/>
            <w:tcBorders>
              <w:top w:val="nil"/>
              <w:left w:val="nil"/>
              <w:bottom w:val="single" w:sz="8" w:space="0" w:color="D9D9D9"/>
              <w:right w:val="single" w:sz="8" w:space="0" w:color="FFFFFF"/>
            </w:tcBorders>
            <w:shd w:val="clear" w:color="000000" w:fill="F2F2F2"/>
            <w:vAlign w:val="center"/>
            <w:hideMark/>
          </w:tcPr>
          <w:p w14:paraId="31100C2C" w14:textId="03248C70"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r>
      <w:tr w:rsidR="002064DE" w:rsidRPr="00090465" w14:paraId="4B165ECD" w14:textId="77777777" w:rsidTr="00C3787D">
        <w:trPr>
          <w:trHeight w:val="313"/>
        </w:trPr>
        <w:tc>
          <w:tcPr>
            <w:tcW w:w="1212" w:type="dxa"/>
            <w:tcBorders>
              <w:top w:val="single" w:sz="8" w:space="0" w:color="D9D9D9"/>
              <w:left w:val="nil"/>
              <w:bottom w:val="single" w:sz="8" w:space="0" w:color="D9D9D9"/>
              <w:right w:val="single" w:sz="8" w:space="0" w:color="FFFFFF"/>
            </w:tcBorders>
            <w:shd w:val="clear" w:color="auto" w:fill="auto"/>
            <w:vAlign w:val="center"/>
            <w:hideMark/>
          </w:tcPr>
          <w:p w14:paraId="2289D697" w14:textId="77777777" w:rsidR="00C3787D" w:rsidRPr="00CE5513" w:rsidRDefault="00C3787D" w:rsidP="00C3787D">
            <w:pPr>
              <w:spacing w:before="40" w:after="40" w:line="240" w:lineRule="auto"/>
              <w:rPr>
                <w:rFonts w:eastAsia="Times New Roman" w:cs="Arial"/>
                <w:color w:val="1C1C1C"/>
                <w:sz w:val="16"/>
                <w:szCs w:val="16"/>
                <w:lang w:eastAsia="en-AU"/>
              </w:rPr>
            </w:pPr>
            <w:r w:rsidRPr="00CE5513">
              <w:rPr>
                <w:rFonts w:eastAsia="Times New Roman" w:cs="Arial"/>
                <w:color w:val="1C1C1C"/>
                <w:sz w:val="16"/>
                <w:szCs w:val="16"/>
                <w:lang w:eastAsia="en-AU"/>
              </w:rPr>
              <w:t>ACT</w:t>
            </w:r>
          </w:p>
        </w:tc>
        <w:tc>
          <w:tcPr>
            <w:tcW w:w="926" w:type="dxa"/>
            <w:tcBorders>
              <w:top w:val="single" w:sz="8" w:space="0" w:color="D9D9D9"/>
              <w:left w:val="nil"/>
              <w:bottom w:val="single" w:sz="8" w:space="0" w:color="D9D9D9"/>
              <w:right w:val="single" w:sz="8" w:space="0" w:color="FFFFFF"/>
            </w:tcBorders>
            <w:shd w:val="clear" w:color="000000" w:fill="F2F2F2"/>
            <w:vAlign w:val="center"/>
            <w:hideMark/>
          </w:tcPr>
          <w:p w14:paraId="1CFA28D0" w14:textId="2C2C4C8E"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15" w:type="dxa"/>
            <w:tcBorders>
              <w:top w:val="single" w:sz="8" w:space="0" w:color="D9D9D9"/>
              <w:left w:val="nil"/>
              <w:bottom w:val="single" w:sz="8" w:space="0" w:color="D9D9D9"/>
              <w:right w:val="single" w:sz="8" w:space="0" w:color="FFFFFF"/>
            </w:tcBorders>
            <w:shd w:val="clear" w:color="000000" w:fill="F2F2F2"/>
            <w:vAlign w:val="center"/>
            <w:hideMark/>
          </w:tcPr>
          <w:p w14:paraId="43FC71C1" w14:textId="3A819FF9"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1073" w:type="dxa"/>
            <w:tcBorders>
              <w:top w:val="nil"/>
              <w:left w:val="nil"/>
              <w:bottom w:val="single" w:sz="8" w:space="0" w:color="D9D9D9"/>
              <w:right w:val="single" w:sz="8" w:space="0" w:color="FFFFFF"/>
            </w:tcBorders>
            <w:shd w:val="clear" w:color="000000" w:fill="F2F2F2"/>
            <w:vAlign w:val="center"/>
            <w:hideMark/>
          </w:tcPr>
          <w:p w14:paraId="46A4C9D0" w14:textId="19E2F517"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15" w:type="dxa"/>
            <w:tcBorders>
              <w:top w:val="single" w:sz="8" w:space="0" w:color="D9D9D9"/>
              <w:left w:val="nil"/>
              <w:bottom w:val="single" w:sz="8" w:space="0" w:color="D9D9D9"/>
              <w:right w:val="single" w:sz="8" w:space="0" w:color="FFFFFF"/>
            </w:tcBorders>
            <w:shd w:val="clear" w:color="000000" w:fill="F2F2F2"/>
            <w:vAlign w:val="center"/>
            <w:hideMark/>
          </w:tcPr>
          <w:p w14:paraId="3ADEFC17" w14:textId="32E140D5"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11,921 </w:t>
            </w:r>
          </w:p>
        </w:tc>
        <w:tc>
          <w:tcPr>
            <w:tcW w:w="1069" w:type="dxa"/>
            <w:tcBorders>
              <w:top w:val="single" w:sz="8" w:space="0" w:color="D9D9D9"/>
              <w:left w:val="nil"/>
              <w:bottom w:val="single" w:sz="8" w:space="0" w:color="D9D9D9"/>
              <w:right w:val="single" w:sz="8" w:space="0" w:color="FFFFFF"/>
            </w:tcBorders>
            <w:shd w:val="clear" w:color="000000" w:fill="F2F2F2"/>
            <w:vAlign w:val="center"/>
            <w:hideMark/>
          </w:tcPr>
          <w:p w14:paraId="1779DBCB" w14:textId="0680FE2E"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32,999 </w:t>
            </w:r>
          </w:p>
        </w:tc>
        <w:tc>
          <w:tcPr>
            <w:tcW w:w="928" w:type="dxa"/>
            <w:tcBorders>
              <w:top w:val="nil"/>
              <w:left w:val="nil"/>
              <w:bottom w:val="single" w:sz="8" w:space="0" w:color="D9D9D9"/>
              <w:right w:val="single" w:sz="8" w:space="0" w:color="FFFFFF"/>
            </w:tcBorders>
            <w:shd w:val="clear" w:color="000000" w:fill="F2F2F2"/>
            <w:vAlign w:val="center"/>
            <w:hideMark/>
          </w:tcPr>
          <w:p w14:paraId="38F1C1A1" w14:textId="1DA3D32D"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21,831 </w:t>
            </w:r>
          </w:p>
        </w:tc>
        <w:tc>
          <w:tcPr>
            <w:tcW w:w="915" w:type="dxa"/>
            <w:tcBorders>
              <w:top w:val="single" w:sz="8" w:space="0" w:color="D9D9D9"/>
              <w:left w:val="nil"/>
              <w:bottom w:val="single" w:sz="8" w:space="0" w:color="D9D9D9"/>
              <w:right w:val="single" w:sz="8" w:space="0" w:color="FFFFFF"/>
            </w:tcBorders>
            <w:shd w:val="clear" w:color="000000" w:fill="F2F2F2"/>
            <w:vAlign w:val="center"/>
            <w:hideMark/>
          </w:tcPr>
          <w:p w14:paraId="2D9E10E3" w14:textId="30E91C1F"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916" w:type="dxa"/>
            <w:tcBorders>
              <w:top w:val="single" w:sz="8" w:space="0" w:color="D9D9D9"/>
              <w:left w:val="nil"/>
              <w:bottom w:val="single" w:sz="8" w:space="0" w:color="D9D9D9"/>
              <w:right w:val="single" w:sz="8" w:space="0" w:color="FFFFFF"/>
            </w:tcBorders>
            <w:shd w:val="clear" w:color="000000" w:fill="F2F2F2"/>
            <w:vAlign w:val="center"/>
            <w:hideMark/>
          </w:tcPr>
          <w:p w14:paraId="23FA8E50" w14:textId="79E8A2A1"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c>
          <w:tcPr>
            <w:tcW w:w="1070" w:type="dxa"/>
            <w:tcBorders>
              <w:top w:val="nil"/>
              <w:left w:val="nil"/>
              <w:bottom w:val="single" w:sz="8" w:space="0" w:color="D9D9D9"/>
              <w:right w:val="single" w:sz="8" w:space="0" w:color="FFFFFF"/>
            </w:tcBorders>
            <w:shd w:val="clear" w:color="000000" w:fill="F2F2F2"/>
            <w:vAlign w:val="center"/>
            <w:hideMark/>
          </w:tcPr>
          <w:p w14:paraId="5E324F3A" w14:textId="6CB404BB" w:rsidR="00C3787D" w:rsidRPr="00C3787D" w:rsidRDefault="00C3787D">
            <w:pPr>
              <w:spacing w:before="40" w:after="40" w:line="240" w:lineRule="auto"/>
              <w:jc w:val="right"/>
              <w:rPr>
                <w:rFonts w:eastAsia="Times New Roman" w:cs="Arial"/>
                <w:color w:val="000000"/>
                <w:sz w:val="16"/>
                <w:szCs w:val="16"/>
                <w:lang w:eastAsia="en-AU"/>
              </w:rPr>
            </w:pPr>
            <w:r w:rsidRPr="00091DB9">
              <w:rPr>
                <w:rFonts w:cs="Arial"/>
                <w:color w:val="15272F"/>
                <w:sz w:val="16"/>
                <w:szCs w:val="16"/>
              </w:rPr>
              <w:t xml:space="preserve">-   </w:t>
            </w:r>
          </w:p>
        </w:tc>
      </w:tr>
      <w:tr w:rsidR="00C3787D" w:rsidRPr="00090465" w14:paraId="41B3C340" w14:textId="77777777" w:rsidTr="00091DB9">
        <w:trPr>
          <w:trHeight w:val="298"/>
        </w:trPr>
        <w:tc>
          <w:tcPr>
            <w:tcW w:w="1212" w:type="dxa"/>
            <w:tcBorders>
              <w:top w:val="nil"/>
              <w:left w:val="nil"/>
              <w:bottom w:val="nil"/>
              <w:right w:val="single" w:sz="8" w:space="0" w:color="FFFFFF"/>
            </w:tcBorders>
            <w:shd w:val="clear" w:color="000000" w:fill="DFEBF1"/>
            <w:vAlign w:val="center"/>
            <w:hideMark/>
          </w:tcPr>
          <w:p w14:paraId="343FCC8B" w14:textId="77777777" w:rsidR="00C3787D" w:rsidRPr="00CE5513" w:rsidRDefault="00C3787D" w:rsidP="00C3787D">
            <w:pPr>
              <w:spacing w:before="40" w:after="40" w:line="240" w:lineRule="auto"/>
              <w:rPr>
                <w:rFonts w:eastAsia="Times New Roman" w:cs="Arial"/>
                <w:b/>
                <w:bCs/>
                <w:color w:val="1C1C1C"/>
                <w:sz w:val="16"/>
                <w:szCs w:val="16"/>
                <w:lang w:eastAsia="en-AU"/>
              </w:rPr>
            </w:pPr>
            <w:r w:rsidRPr="00CE5513">
              <w:rPr>
                <w:rFonts w:eastAsia="Times New Roman" w:cs="Arial"/>
                <w:b/>
                <w:bCs/>
                <w:color w:val="1C1C1C"/>
                <w:sz w:val="16"/>
                <w:szCs w:val="16"/>
                <w:lang w:eastAsia="en-AU"/>
              </w:rPr>
              <w:t>National</w:t>
            </w:r>
          </w:p>
        </w:tc>
        <w:tc>
          <w:tcPr>
            <w:tcW w:w="926" w:type="dxa"/>
            <w:tcBorders>
              <w:top w:val="nil"/>
              <w:left w:val="nil"/>
              <w:bottom w:val="nil"/>
              <w:right w:val="single" w:sz="8" w:space="0" w:color="FFFFFF"/>
            </w:tcBorders>
            <w:shd w:val="clear" w:color="000000" w:fill="DFEBF1"/>
            <w:vAlign w:val="center"/>
            <w:hideMark/>
          </w:tcPr>
          <w:p w14:paraId="0E96C3D2" w14:textId="512658B8" w:rsidR="00C3787D" w:rsidRPr="00C3787D" w:rsidRDefault="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405,815 </w:t>
            </w:r>
          </w:p>
        </w:tc>
        <w:tc>
          <w:tcPr>
            <w:tcW w:w="915" w:type="dxa"/>
            <w:tcBorders>
              <w:top w:val="nil"/>
              <w:left w:val="nil"/>
              <w:bottom w:val="nil"/>
              <w:right w:val="single" w:sz="8" w:space="0" w:color="FFFFFF"/>
            </w:tcBorders>
            <w:shd w:val="clear" w:color="000000" w:fill="DFEBF1"/>
            <w:vAlign w:val="center"/>
            <w:hideMark/>
          </w:tcPr>
          <w:p w14:paraId="48E3022A" w14:textId="47265C24" w:rsidR="00C3787D" w:rsidRPr="00C3787D" w:rsidRDefault="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555,828 </w:t>
            </w:r>
          </w:p>
        </w:tc>
        <w:tc>
          <w:tcPr>
            <w:tcW w:w="1073" w:type="dxa"/>
            <w:tcBorders>
              <w:top w:val="nil"/>
              <w:left w:val="nil"/>
              <w:bottom w:val="nil"/>
              <w:right w:val="single" w:sz="8" w:space="0" w:color="FFFFFF"/>
            </w:tcBorders>
            <w:shd w:val="clear" w:color="000000" w:fill="DFEBF1"/>
            <w:vAlign w:val="center"/>
            <w:hideMark/>
          </w:tcPr>
          <w:p w14:paraId="47D6EBE9" w14:textId="25A9ADFE" w:rsidR="00C3787D" w:rsidRPr="00C3787D" w:rsidRDefault="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729,442 </w:t>
            </w:r>
          </w:p>
        </w:tc>
        <w:tc>
          <w:tcPr>
            <w:tcW w:w="915" w:type="dxa"/>
            <w:tcBorders>
              <w:top w:val="nil"/>
              <w:left w:val="nil"/>
              <w:bottom w:val="nil"/>
              <w:right w:val="single" w:sz="8" w:space="0" w:color="FFFFFF"/>
            </w:tcBorders>
            <w:shd w:val="clear" w:color="000000" w:fill="DFEBF1"/>
            <w:vAlign w:val="center"/>
            <w:hideMark/>
          </w:tcPr>
          <w:p w14:paraId="1B251DA4" w14:textId="7984A5BD" w:rsidR="00C3787D" w:rsidRPr="00C3787D" w:rsidRDefault="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859,702 </w:t>
            </w:r>
          </w:p>
        </w:tc>
        <w:tc>
          <w:tcPr>
            <w:tcW w:w="1069" w:type="dxa"/>
            <w:tcBorders>
              <w:top w:val="nil"/>
              <w:left w:val="nil"/>
              <w:bottom w:val="nil"/>
              <w:right w:val="single" w:sz="8" w:space="0" w:color="FFFFFF"/>
            </w:tcBorders>
            <w:shd w:val="clear" w:color="000000" w:fill="DFEBF1"/>
            <w:vAlign w:val="center"/>
            <w:hideMark/>
          </w:tcPr>
          <w:p w14:paraId="79EEE7CE" w14:textId="70D733E6" w:rsidR="00C3787D" w:rsidRPr="00C3787D" w:rsidRDefault="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884,095 </w:t>
            </w:r>
          </w:p>
        </w:tc>
        <w:tc>
          <w:tcPr>
            <w:tcW w:w="928" w:type="dxa"/>
            <w:tcBorders>
              <w:top w:val="nil"/>
              <w:left w:val="nil"/>
              <w:bottom w:val="nil"/>
              <w:right w:val="single" w:sz="8" w:space="0" w:color="FFFFFF"/>
            </w:tcBorders>
            <w:shd w:val="clear" w:color="000000" w:fill="DFEBF1"/>
            <w:vAlign w:val="center"/>
            <w:hideMark/>
          </w:tcPr>
          <w:p w14:paraId="5D3FB1C3" w14:textId="0AEF02A8" w:rsidR="00C3787D" w:rsidRPr="00C3787D" w:rsidRDefault="00C3787D">
            <w:pPr>
              <w:spacing w:before="40" w:after="40" w:line="240" w:lineRule="auto"/>
              <w:jc w:val="right"/>
              <w:rPr>
                <w:rFonts w:eastAsia="Times New Roman" w:cs="Arial"/>
                <w:b/>
                <w:bCs/>
                <w:color w:val="1C1C1C"/>
                <w:sz w:val="16"/>
                <w:szCs w:val="16"/>
                <w:lang w:eastAsia="en-AU"/>
              </w:rPr>
            </w:pPr>
            <w:r w:rsidRPr="00091DB9">
              <w:rPr>
                <w:rFonts w:cs="Arial"/>
                <w:b/>
                <w:bCs/>
                <w:color w:val="15272F"/>
                <w:sz w:val="16"/>
                <w:szCs w:val="16"/>
              </w:rPr>
              <w:t xml:space="preserve">1,102,600 </w:t>
            </w:r>
          </w:p>
        </w:tc>
        <w:tc>
          <w:tcPr>
            <w:tcW w:w="915" w:type="dxa"/>
            <w:tcBorders>
              <w:top w:val="nil"/>
              <w:left w:val="nil"/>
              <w:bottom w:val="nil"/>
              <w:right w:val="single" w:sz="8" w:space="0" w:color="FFFFFF"/>
            </w:tcBorders>
            <w:shd w:val="clear" w:color="000000" w:fill="DFEBF1"/>
            <w:vAlign w:val="center"/>
            <w:hideMark/>
          </w:tcPr>
          <w:p w14:paraId="6F935D47" w14:textId="0E45A380" w:rsidR="00C3787D" w:rsidRPr="00C3787D" w:rsidRDefault="00C3787D">
            <w:pPr>
              <w:spacing w:before="40" w:after="40" w:line="240" w:lineRule="auto"/>
              <w:jc w:val="right"/>
              <w:rPr>
                <w:rFonts w:eastAsia="Times New Roman" w:cs="Arial"/>
                <w:b/>
                <w:bCs/>
                <w:color w:val="000000"/>
                <w:sz w:val="16"/>
                <w:szCs w:val="16"/>
                <w:lang w:eastAsia="en-AU"/>
              </w:rPr>
            </w:pPr>
            <w:r w:rsidRPr="00091DB9">
              <w:rPr>
                <w:rFonts w:cs="Arial"/>
                <w:b/>
                <w:bCs/>
                <w:color w:val="15272F"/>
                <w:sz w:val="16"/>
                <w:szCs w:val="16"/>
              </w:rPr>
              <w:t xml:space="preserve">47 </w:t>
            </w:r>
          </w:p>
        </w:tc>
        <w:tc>
          <w:tcPr>
            <w:tcW w:w="916" w:type="dxa"/>
            <w:tcBorders>
              <w:top w:val="nil"/>
              <w:left w:val="nil"/>
              <w:bottom w:val="nil"/>
              <w:right w:val="single" w:sz="8" w:space="0" w:color="FFFFFF"/>
            </w:tcBorders>
            <w:shd w:val="clear" w:color="000000" w:fill="DFEBF1"/>
            <w:vAlign w:val="center"/>
            <w:hideMark/>
          </w:tcPr>
          <w:p w14:paraId="036E6C06" w14:textId="209E2F62" w:rsidR="00C3787D" w:rsidRPr="00C3787D" w:rsidRDefault="00C3787D">
            <w:pPr>
              <w:spacing w:before="40" w:after="40" w:line="240" w:lineRule="auto"/>
              <w:jc w:val="right"/>
              <w:rPr>
                <w:rFonts w:eastAsia="Times New Roman" w:cs="Arial"/>
                <w:b/>
                <w:bCs/>
                <w:color w:val="000000"/>
                <w:sz w:val="16"/>
                <w:szCs w:val="16"/>
                <w:lang w:eastAsia="en-AU"/>
              </w:rPr>
            </w:pPr>
            <w:r w:rsidRPr="00091DB9">
              <w:rPr>
                <w:rFonts w:cs="Arial"/>
                <w:b/>
                <w:bCs/>
                <w:color w:val="15272F"/>
                <w:sz w:val="16"/>
                <w:szCs w:val="16"/>
              </w:rPr>
              <w:t xml:space="preserve">63 </w:t>
            </w:r>
          </w:p>
        </w:tc>
        <w:tc>
          <w:tcPr>
            <w:tcW w:w="1070" w:type="dxa"/>
            <w:tcBorders>
              <w:top w:val="nil"/>
              <w:left w:val="nil"/>
              <w:bottom w:val="nil"/>
              <w:right w:val="single" w:sz="8" w:space="0" w:color="FFFFFF"/>
            </w:tcBorders>
            <w:shd w:val="clear" w:color="000000" w:fill="DFEBF1"/>
            <w:vAlign w:val="center"/>
            <w:hideMark/>
          </w:tcPr>
          <w:p w14:paraId="3E32E624" w14:textId="6F8C79D2" w:rsidR="00C3787D" w:rsidRPr="00C3787D" w:rsidRDefault="00C3787D">
            <w:pPr>
              <w:spacing w:before="40" w:after="40" w:line="240" w:lineRule="auto"/>
              <w:jc w:val="right"/>
              <w:rPr>
                <w:rFonts w:eastAsia="Times New Roman" w:cs="Arial"/>
                <w:b/>
                <w:bCs/>
                <w:color w:val="000000"/>
                <w:sz w:val="16"/>
                <w:szCs w:val="16"/>
                <w:lang w:eastAsia="en-AU"/>
              </w:rPr>
            </w:pPr>
            <w:r w:rsidRPr="00091DB9">
              <w:rPr>
                <w:rFonts w:cs="Arial"/>
                <w:b/>
                <w:bCs/>
                <w:color w:val="15272F"/>
                <w:sz w:val="16"/>
                <w:szCs w:val="16"/>
              </w:rPr>
              <w:t xml:space="preserve">66 </w:t>
            </w:r>
          </w:p>
        </w:tc>
      </w:tr>
    </w:tbl>
    <w:p w14:paraId="34DC3A5B" w14:textId="6FD1D318" w:rsidR="00915A79" w:rsidRPr="00091DB9" w:rsidRDefault="00915A79" w:rsidP="00091DB9">
      <w:pPr>
        <w:pStyle w:val="Heading3"/>
        <w:rPr>
          <w:sz w:val="28"/>
          <w:szCs w:val="28"/>
        </w:rPr>
      </w:pPr>
      <w:r w:rsidRPr="00785EF8">
        <w:rPr>
          <w:sz w:val="28"/>
          <w:szCs w:val="28"/>
        </w:rPr>
        <w:t>Community mental health</w:t>
      </w:r>
      <w:r>
        <w:rPr>
          <w:sz w:val="28"/>
          <w:szCs w:val="28"/>
        </w:rPr>
        <w:t xml:space="preserve"> phases</w:t>
      </w:r>
    </w:p>
    <w:p w14:paraId="64FCE7F5" w14:textId="0BFAC5B2" w:rsidR="00621475" w:rsidRPr="00DA13A2" w:rsidRDefault="00741717" w:rsidP="00A47745">
      <w:pPr>
        <w:spacing w:line="276" w:lineRule="auto"/>
        <w:rPr>
          <w:rFonts w:cs="Arial"/>
        </w:rPr>
      </w:pPr>
      <w:r>
        <w:rPr>
          <w:rFonts w:cs="Arial"/>
        </w:rPr>
        <w:fldChar w:fldCharType="begin"/>
      </w:r>
      <w:r>
        <w:rPr>
          <w:rFonts w:cs="Arial"/>
        </w:rPr>
        <w:instrText xml:space="preserve"> REF _Ref185851740 \h </w:instrText>
      </w:r>
      <w:r>
        <w:rPr>
          <w:rFonts w:cs="Arial"/>
        </w:rPr>
      </w:r>
      <w:r>
        <w:rPr>
          <w:rFonts w:cs="Arial"/>
        </w:rPr>
        <w:fldChar w:fldCharType="separate"/>
      </w:r>
      <w:r w:rsidR="00253B18" w:rsidRPr="0093558C">
        <w:rPr>
          <w:lang w:val="en-PH"/>
        </w:rPr>
        <w:t xml:space="preserve">Figure </w:t>
      </w:r>
      <w:r w:rsidR="00253B18">
        <w:rPr>
          <w:noProof/>
          <w:lang w:val="en-PH"/>
        </w:rPr>
        <w:t>27</w:t>
      </w:r>
      <w:r>
        <w:rPr>
          <w:rFonts w:cs="Arial"/>
        </w:rPr>
        <w:fldChar w:fldCharType="end"/>
      </w:r>
      <w:r w:rsidR="005F5A2E" w:rsidRPr="00DA13A2">
        <w:rPr>
          <w:rFonts w:cs="Arial"/>
        </w:rPr>
        <w:t xml:space="preserve"> </w:t>
      </w:r>
      <w:r w:rsidR="00E72DAE" w:rsidRPr="00DA13A2">
        <w:rPr>
          <w:rFonts w:cs="Arial"/>
        </w:rPr>
        <w:t>shows the number of community mental health phases reported in the cost data</w:t>
      </w:r>
      <w:r w:rsidR="00755A06" w:rsidRPr="00DA13A2">
        <w:rPr>
          <w:rFonts w:cs="Arial"/>
        </w:rPr>
        <w:t xml:space="preserve"> against ABF data</w:t>
      </w:r>
      <w:r w:rsidR="00260A29">
        <w:rPr>
          <w:rFonts w:cs="Arial"/>
        </w:rPr>
        <w:t>,</w:t>
      </w:r>
      <w:r w:rsidR="00E72DAE" w:rsidRPr="00DA13A2">
        <w:rPr>
          <w:rFonts w:cs="Arial"/>
        </w:rPr>
        <w:t xml:space="preserve"> from </w:t>
      </w:r>
      <w:r w:rsidR="008578F3" w:rsidRPr="00DA13A2">
        <w:rPr>
          <w:rFonts w:cs="Arial"/>
        </w:rPr>
        <w:t>2020-21</w:t>
      </w:r>
      <w:r w:rsidR="00E72DAE" w:rsidRPr="00DA13A2">
        <w:rPr>
          <w:rFonts w:cs="Arial"/>
        </w:rPr>
        <w:t xml:space="preserve"> to </w:t>
      </w:r>
      <w:r w:rsidR="002E5011" w:rsidRPr="00DA13A2">
        <w:rPr>
          <w:rFonts w:cstheme="majorBidi"/>
          <w:lang w:val="en-PH"/>
        </w:rPr>
        <w:t>2022-23</w:t>
      </w:r>
      <w:r w:rsidR="00E72DAE" w:rsidRPr="00DA13A2">
        <w:rPr>
          <w:rFonts w:cs="Arial"/>
        </w:rPr>
        <w:t xml:space="preserve">. In </w:t>
      </w:r>
      <w:r w:rsidR="002E5011" w:rsidRPr="00DA13A2">
        <w:rPr>
          <w:rFonts w:cstheme="majorBidi"/>
          <w:lang w:val="en-PH"/>
        </w:rPr>
        <w:t>2022-23</w:t>
      </w:r>
      <w:r w:rsidR="00E72DAE" w:rsidRPr="00DA13A2">
        <w:rPr>
          <w:rFonts w:cs="Arial"/>
        </w:rPr>
        <w:t xml:space="preserve">, there were </w:t>
      </w:r>
      <w:r w:rsidR="0007638E" w:rsidRPr="00DA13A2">
        <w:rPr>
          <w:rFonts w:cs="Arial"/>
        </w:rPr>
        <w:t>729,442</w:t>
      </w:r>
      <w:r w:rsidR="00E72DAE" w:rsidRPr="00DA13A2">
        <w:rPr>
          <w:rFonts w:cs="Arial"/>
        </w:rPr>
        <w:t xml:space="preserve"> community mental health phases nationally, a </w:t>
      </w:r>
      <w:r w:rsidR="0023757F" w:rsidRPr="00DA13A2">
        <w:rPr>
          <w:rFonts w:cs="Arial"/>
        </w:rPr>
        <w:t>3</w:t>
      </w:r>
      <w:r w:rsidR="0007638E" w:rsidRPr="00DA13A2">
        <w:rPr>
          <w:rFonts w:cs="Arial"/>
        </w:rPr>
        <w:t>1</w:t>
      </w:r>
      <w:r w:rsidR="00897090" w:rsidRPr="00DA13A2">
        <w:rPr>
          <w:rFonts w:cs="Arial"/>
        </w:rPr>
        <w:t>%</w:t>
      </w:r>
      <w:r w:rsidR="00E72DAE" w:rsidRPr="00DA13A2">
        <w:rPr>
          <w:rFonts w:cs="Arial"/>
        </w:rPr>
        <w:t xml:space="preserve"> increase to the </w:t>
      </w:r>
      <w:r w:rsidR="00EE67A3" w:rsidRPr="00DA13A2">
        <w:rPr>
          <w:rFonts w:cs="Arial"/>
        </w:rPr>
        <w:t>2021-22</w:t>
      </w:r>
      <w:r w:rsidR="00E72DAE" w:rsidRPr="00DA13A2">
        <w:rPr>
          <w:rFonts w:cs="Arial"/>
        </w:rPr>
        <w:t xml:space="preserve"> figure of </w:t>
      </w:r>
      <w:r w:rsidR="0007638E" w:rsidRPr="00DA13A2">
        <w:rPr>
          <w:rFonts w:cs="Arial"/>
        </w:rPr>
        <w:t>555,828</w:t>
      </w:r>
      <w:r w:rsidR="00E72DAE" w:rsidRPr="00DA13A2">
        <w:rPr>
          <w:rFonts w:cs="Arial"/>
        </w:rPr>
        <w:t xml:space="preserve">. The national increase in community mental health phases was driven </w:t>
      </w:r>
      <w:r w:rsidR="0045132E" w:rsidRPr="00DA13A2">
        <w:rPr>
          <w:rFonts w:cs="Arial"/>
        </w:rPr>
        <w:t xml:space="preserve">by Victoria, increasing </w:t>
      </w:r>
      <w:r w:rsidR="001C2201" w:rsidRPr="00DA13A2">
        <w:rPr>
          <w:rFonts w:cs="Arial"/>
        </w:rPr>
        <w:t>254,978</w:t>
      </w:r>
      <w:r w:rsidR="0045132E" w:rsidRPr="00DA13A2">
        <w:rPr>
          <w:rFonts w:cs="Arial"/>
        </w:rPr>
        <w:t xml:space="preserve"> records (</w:t>
      </w:r>
      <w:r w:rsidR="001C2201" w:rsidRPr="00DA13A2">
        <w:rPr>
          <w:rFonts w:cs="Arial"/>
        </w:rPr>
        <w:t>114</w:t>
      </w:r>
      <w:r w:rsidR="00897090" w:rsidRPr="00DA13A2">
        <w:rPr>
          <w:rFonts w:cs="Arial"/>
        </w:rPr>
        <w:t>%</w:t>
      </w:r>
      <w:r w:rsidR="0045132E" w:rsidRPr="00DA13A2">
        <w:rPr>
          <w:rFonts w:cs="Arial"/>
        </w:rPr>
        <w:t xml:space="preserve">) </w:t>
      </w:r>
      <w:r w:rsidR="00E72DAE" w:rsidRPr="00DA13A2">
        <w:rPr>
          <w:rFonts w:cs="Arial"/>
        </w:rPr>
        <w:t xml:space="preserve">from </w:t>
      </w:r>
      <w:r w:rsidR="00EE67A3" w:rsidRPr="00DA13A2">
        <w:rPr>
          <w:rFonts w:cs="Arial"/>
        </w:rPr>
        <w:t>2021-22</w:t>
      </w:r>
      <w:r w:rsidR="00E72DAE" w:rsidRPr="00DA13A2">
        <w:rPr>
          <w:rFonts w:cs="Arial"/>
        </w:rPr>
        <w:t xml:space="preserve"> to </w:t>
      </w:r>
      <w:r w:rsidR="002E5011" w:rsidRPr="00DA13A2">
        <w:rPr>
          <w:rFonts w:cstheme="majorBidi"/>
          <w:lang w:val="en-PH"/>
        </w:rPr>
        <w:t>2022-23</w:t>
      </w:r>
      <w:r w:rsidR="00E72DAE" w:rsidRPr="00DA13A2">
        <w:rPr>
          <w:rFonts w:cs="Arial"/>
        </w:rPr>
        <w:t xml:space="preserve">. In </w:t>
      </w:r>
      <w:r w:rsidR="002E5011" w:rsidRPr="00DA13A2">
        <w:rPr>
          <w:rFonts w:cstheme="majorBidi"/>
          <w:lang w:val="en-PH"/>
        </w:rPr>
        <w:t>2022-23</w:t>
      </w:r>
      <w:r w:rsidR="00E72DAE" w:rsidRPr="00DA13A2">
        <w:rPr>
          <w:rFonts w:cs="Arial"/>
        </w:rPr>
        <w:t xml:space="preserve">, </w:t>
      </w:r>
      <w:r w:rsidR="00621475" w:rsidRPr="00DA13A2">
        <w:rPr>
          <w:rFonts w:cs="Arial"/>
          <w:bCs/>
        </w:rPr>
        <w:t>the jurisdictional level range</w:t>
      </w:r>
      <w:r w:rsidR="009A42CD" w:rsidRPr="00DA13A2">
        <w:rPr>
          <w:rFonts w:cs="Arial"/>
          <w:bCs/>
        </w:rPr>
        <w:t>d</w:t>
      </w:r>
      <w:r w:rsidR="00621475" w:rsidRPr="00DA13A2">
        <w:rPr>
          <w:rFonts w:cs="Arial"/>
          <w:bCs/>
        </w:rPr>
        <w:t xml:space="preserve"> from 3,</w:t>
      </w:r>
      <w:r w:rsidR="001C2201" w:rsidRPr="00DA13A2">
        <w:rPr>
          <w:rFonts w:cs="Arial"/>
          <w:bCs/>
        </w:rPr>
        <w:t>584</w:t>
      </w:r>
      <w:r w:rsidR="009A42CD" w:rsidRPr="00DA13A2">
        <w:rPr>
          <w:rFonts w:cs="Arial"/>
          <w:bCs/>
        </w:rPr>
        <w:t xml:space="preserve"> phases</w:t>
      </w:r>
      <w:r w:rsidR="001C2201" w:rsidRPr="00DA13A2">
        <w:rPr>
          <w:rFonts w:cs="Arial"/>
          <w:bCs/>
        </w:rPr>
        <w:t xml:space="preserve"> </w:t>
      </w:r>
      <w:r w:rsidR="00621475" w:rsidRPr="00DA13A2">
        <w:rPr>
          <w:rFonts w:cs="Arial"/>
          <w:bCs/>
        </w:rPr>
        <w:t xml:space="preserve">(Tasmania) to </w:t>
      </w:r>
      <w:r w:rsidR="001C2201" w:rsidRPr="00DA13A2">
        <w:rPr>
          <w:rFonts w:cs="Arial"/>
          <w:bCs/>
        </w:rPr>
        <w:t>478,974</w:t>
      </w:r>
      <w:r w:rsidR="00621475" w:rsidRPr="00DA13A2">
        <w:rPr>
          <w:rFonts w:cs="Arial"/>
          <w:bCs/>
        </w:rPr>
        <w:t xml:space="preserve"> </w:t>
      </w:r>
      <w:r w:rsidR="009A42CD" w:rsidRPr="00DA13A2">
        <w:rPr>
          <w:rFonts w:cs="Arial"/>
          <w:bCs/>
        </w:rPr>
        <w:t xml:space="preserve">phases </w:t>
      </w:r>
      <w:r w:rsidR="00621475" w:rsidRPr="00DA13A2">
        <w:rPr>
          <w:rFonts w:cs="Arial"/>
          <w:bCs/>
        </w:rPr>
        <w:t>(Victoria</w:t>
      </w:r>
      <w:r w:rsidR="00621475" w:rsidRPr="00303546">
        <w:rPr>
          <w:rFonts w:cs="Arial"/>
          <w:bCs/>
        </w:rPr>
        <w:t xml:space="preserve">). </w:t>
      </w:r>
      <w:r w:rsidR="009D2E00" w:rsidRPr="00303546">
        <w:rPr>
          <w:rFonts w:cs="Arial"/>
        </w:rPr>
        <w:t>It should be noted that</w:t>
      </w:r>
      <w:r w:rsidR="00CB391B" w:rsidRPr="00303546">
        <w:rPr>
          <w:rFonts w:cs="Arial"/>
        </w:rPr>
        <w:t xml:space="preserve"> South Australia (SA), Western Australia (WA), Northern Territory (NT), and the</w:t>
      </w:r>
      <w:r w:rsidR="00AA75FC">
        <w:rPr>
          <w:rFonts w:cs="Arial"/>
        </w:rPr>
        <w:t xml:space="preserve"> Australian Capital Territory</w:t>
      </w:r>
      <w:r w:rsidR="00CB391B" w:rsidRPr="00303546">
        <w:rPr>
          <w:rFonts w:cs="Arial"/>
        </w:rPr>
        <w:t xml:space="preserve"> </w:t>
      </w:r>
      <w:r w:rsidR="00AA75FC">
        <w:rPr>
          <w:rFonts w:cs="Arial"/>
        </w:rPr>
        <w:t>(</w:t>
      </w:r>
      <w:r w:rsidR="00CB391B" w:rsidRPr="00303546">
        <w:rPr>
          <w:rFonts w:cs="Arial"/>
        </w:rPr>
        <w:t>ACT</w:t>
      </w:r>
      <w:r w:rsidR="00AA75FC">
        <w:rPr>
          <w:rFonts w:cs="Arial"/>
        </w:rPr>
        <w:t>)</w:t>
      </w:r>
      <w:r w:rsidR="00CB391B" w:rsidRPr="00303546">
        <w:rPr>
          <w:rFonts w:cs="Arial"/>
        </w:rPr>
        <w:t xml:space="preserve"> </w:t>
      </w:r>
      <w:r w:rsidR="00CB391B" w:rsidRPr="00303546">
        <w:t>have not reported phase level cost data for the last 3 years.</w:t>
      </w:r>
    </w:p>
    <w:p w14:paraId="4665E5DA" w14:textId="26C8BBAE" w:rsidR="00A82091" w:rsidRPr="0093558C" w:rsidRDefault="00DD29C5" w:rsidP="00303546">
      <w:pPr>
        <w:pStyle w:val="TableFigureheading"/>
        <w:rPr>
          <w:lang w:val="en-PH"/>
        </w:rPr>
      </w:pPr>
      <w:bookmarkStart w:id="420" w:name="_Ref185851740"/>
      <w:bookmarkStart w:id="421" w:name="_Toc187312123"/>
      <w:r w:rsidRPr="0093558C">
        <w:rPr>
          <w:lang w:val="en-PH"/>
        </w:rPr>
        <w:lastRenderedPageBreak/>
        <w:t xml:space="preserve">Figure </w:t>
      </w:r>
      <w:r w:rsidRPr="0093558C">
        <w:rPr>
          <w:lang w:val="en-PH"/>
        </w:rPr>
        <w:fldChar w:fldCharType="begin"/>
      </w:r>
      <w:r w:rsidRPr="0093558C">
        <w:rPr>
          <w:lang w:val="en-PH"/>
        </w:rPr>
        <w:instrText xml:space="preserve"> SEQ Figure \* ARABIC </w:instrText>
      </w:r>
      <w:r w:rsidRPr="0093558C">
        <w:rPr>
          <w:lang w:val="en-PH"/>
        </w:rPr>
        <w:fldChar w:fldCharType="separate"/>
      </w:r>
      <w:r w:rsidR="00253B18">
        <w:rPr>
          <w:noProof/>
          <w:lang w:val="en-PH"/>
        </w:rPr>
        <w:t>27</w:t>
      </w:r>
      <w:r w:rsidRPr="0093558C">
        <w:rPr>
          <w:lang w:val="en-PH"/>
        </w:rPr>
        <w:fldChar w:fldCharType="end"/>
      </w:r>
      <w:bookmarkEnd w:id="420"/>
      <w:r w:rsidRPr="0093558C">
        <w:rPr>
          <w:lang w:val="en-PH"/>
        </w:rPr>
        <w:t>:</w:t>
      </w:r>
      <w:r w:rsidR="00A82091" w:rsidRPr="0093558C">
        <w:rPr>
          <w:lang w:val="en-PH"/>
        </w:rPr>
        <w:t xml:space="preserve"> Community </w:t>
      </w:r>
      <w:r w:rsidR="00183B32" w:rsidRPr="0093558C">
        <w:rPr>
          <w:lang w:val="en-PH"/>
        </w:rPr>
        <w:t>m</w:t>
      </w:r>
      <w:r w:rsidR="00A82091" w:rsidRPr="0093558C">
        <w:rPr>
          <w:lang w:val="en-PH"/>
        </w:rPr>
        <w:t xml:space="preserve">ental </w:t>
      </w:r>
      <w:r w:rsidR="00183B32" w:rsidRPr="0093558C">
        <w:rPr>
          <w:lang w:val="en-PH"/>
        </w:rPr>
        <w:t>h</w:t>
      </w:r>
      <w:r w:rsidR="00A82091" w:rsidRPr="0093558C">
        <w:rPr>
          <w:lang w:val="en-PH"/>
        </w:rPr>
        <w:t>ealth</w:t>
      </w:r>
      <w:r w:rsidR="00AC2824">
        <w:rPr>
          <w:lang w:val="en-PH"/>
        </w:rPr>
        <w:t xml:space="preserve"> phases</w:t>
      </w:r>
      <w:r w:rsidR="002656B9">
        <w:rPr>
          <w:lang w:val="en-PH"/>
        </w:rPr>
        <w:t xml:space="preserve"> in</w:t>
      </w:r>
      <w:r w:rsidR="00A82091" w:rsidRPr="0093558C">
        <w:rPr>
          <w:lang w:val="en-PH"/>
        </w:rPr>
        <w:t xml:space="preserve"> </w:t>
      </w:r>
      <w:r w:rsidR="008459A3">
        <w:rPr>
          <w:lang w:val="en-PH"/>
        </w:rPr>
        <w:t>ABF and NHCDC</w:t>
      </w:r>
      <w:r w:rsidR="00A82091" w:rsidRPr="0093558C">
        <w:rPr>
          <w:lang w:val="en-PH"/>
        </w:rPr>
        <w:t xml:space="preserve">, </w:t>
      </w:r>
      <w:r w:rsidR="008578F3" w:rsidRPr="00D73FCC">
        <w:rPr>
          <w:lang w:val="en-PH"/>
        </w:rPr>
        <w:t>2020-21</w:t>
      </w:r>
      <w:r w:rsidR="00A82091" w:rsidRPr="0093558C">
        <w:rPr>
          <w:lang w:val="en-PH"/>
        </w:rPr>
        <w:t xml:space="preserve"> to </w:t>
      </w:r>
      <w:r w:rsidR="002E5011" w:rsidRPr="008B2CD8">
        <w:rPr>
          <w:lang w:val="en-PH"/>
        </w:rPr>
        <w:t>202</w:t>
      </w:r>
      <w:r w:rsidR="002E5011">
        <w:rPr>
          <w:lang w:val="en-PH"/>
        </w:rPr>
        <w:t>2</w:t>
      </w:r>
      <w:r w:rsidR="002E5011" w:rsidRPr="008B2CD8">
        <w:rPr>
          <w:lang w:val="en-PH"/>
        </w:rPr>
        <w:t>-2</w:t>
      </w:r>
      <w:r w:rsidR="002E5011">
        <w:rPr>
          <w:lang w:val="en-PH"/>
        </w:rPr>
        <w:t>3</w:t>
      </w:r>
      <w:bookmarkEnd w:id="421"/>
    </w:p>
    <w:p w14:paraId="10A96E55" w14:textId="77777777" w:rsidR="00915A79" w:rsidRDefault="002973D8" w:rsidP="005F5A2E">
      <w:pPr>
        <w:spacing w:line="276" w:lineRule="auto"/>
        <w:rPr>
          <w:rFonts w:cs="Arial"/>
          <w:color w:val="auto"/>
        </w:rPr>
      </w:pPr>
      <w:r>
        <w:rPr>
          <w:noProof/>
        </w:rPr>
        <w:drawing>
          <wp:inline distT="0" distB="0" distL="0" distR="0" wp14:anchorId="7655725B" wp14:editId="46AC0F21">
            <wp:extent cx="6188710" cy="2160000"/>
            <wp:effectExtent l="0" t="0" r="0" b="0"/>
            <wp:docPr id="1672277704" name="Chart 1">
              <a:extLst xmlns:a="http://schemas.openxmlformats.org/drawingml/2006/main">
                <a:ext uri="{FF2B5EF4-FFF2-40B4-BE49-F238E27FC236}">
                  <a16:creationId xmlns:a16="http://schemas.microsoft.com/office/drawing/2014/main" id="{5F38BE58-4976-4015-836B-CF91972DF6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AC7DFB4" w14:textId="7FE09B44" w:rsidR="005A675E" w:rsidRPr="00091DB9" w:rsidRDefault="005A675E" w:rsidP="00091DB9">
      <w:pPr>
        <w:pStyle w:val="Heading3"/>
        <w:rPr>
          <w:sz w:val="28"/>
          <w:szCs w:val="28"/>
        </w:rPr>
      </w:pPr>
      <w:r w:rsidRPr="00785EF8">
        <w:rPr>
          <w:sz w:val="28"/>
          <w:szCs w:val="28"/>
        </w:rPr>
        <w:t>Community mental health</w:t>
      </w:r>
      <w:r>
        <w:rPr>
          <w:sz w:val="28"/>
          <w:szCs w:val="28"/>
        </w:rPr>
        <w:t xml:space="preserve"> phase </w:t>
      </w:r>
      <w:r w:rsidR="00627EB5">
        <w:rPr>
          <w:sz w:val="28"/>
          <w:szCs w:val="28"/>
        </w:rPr>
        <w:t>expenditure</w:t>
      </w:r>
    </w:p>
    <w:p w14:paraId="3A328F82" w14:textId="1C09D24A" w:rsidR="005A675E" w:rsidRPr="00DA13A2" w:rsidRDefault="00FD36AC" w:rsidP="005A675E">
      <w:pPr>
        <w:spacing w:line="276" w:lineRule="auto"/>
        <w:rPr>
          <w:rFonts w:cs="Arial"/>
        </w:rPr>
      </w:pPr>
      <w:r>
        <w:rPr>
          <w:rFonts w:cs="Arial"/>
        </w:rPr>
        <w:fldChar w:fldCharType="begin"/>
      </w:r>
      <w:r>
        <w:rPr>
          <w:rFonts w:cs="Arial"/>
        </w:rPr>
        <w:instrText xml:space="preserve"> REF _Ref185851571 \h </w:instrText>
      </w:r>
      <w:r>
        <w:rPr>
          <w:rFonts w:cs="Arial"/>
        </w:rPr>
      </w:r>
      <w:r>
        <w:rPr>
          <w:rFonts w:cs="Arial"/>
        </w:rPr>
        <w:fldChar w:fldCharType="separate"/>
      </w:r>
      <w:r w:rsidR="00253B18" w:rsidRPr="0093558C">
        <w:rPr>
          <w:lang w:val="en-PH"/>
        </w:rPr>
        <w:t xml:space="preserve">Figure </w:t>
      </w:r>
      <w:r w:rsidR="00253B18">
        <w:rPr>
          <w:noProof/>
          <w:lang w:val="en-PH"/>
        </w:rPr>
        <w:t>28</w:t>
      </w:r>
      <w:r>
        <w:rPr>
          <w:rFonts w:cs="Arial"/>
        </w:rPr>
        <w:fldChar w:fldCharType="end"/>
      </w:r>
      <w:r w:rsidR="005A675E" w:rsidRPr="00DA13A2">
        <w:rPr>
          <w:rFonts w:cs="Arial"/>
        </w:rPr>
        <w:t xml:space="preserve"> shows the cost of community mental health phases by jurisdiction from 2020-21 to </w:t>
      </w:r>
      <w:r w:rsidR="005A675E" w:rsidRPr="00DA13A2">
        <w:rPr>
          <w:rFonts w:cstheme="majorBidi"/>
          <w:lang w:val="en-PH"/>
        </w:rPr>
        <w:t>2022</w:t>
      </w:r>
      <w:r w:rsidR="005A675E" w:rsidRPr="00DA13A2">
        <w:rPr>
          <w:rFonts w:cstheme="majorBidi"/>
          <w:lang w:val="en-PH"/>
        </w:rPr>
        <w:noBreakHyphen/>
        <w:t>23</w:t>
      </w:r>
      <w:r w:rsidR="005A675E" w:rsidRPr="00DA13A2">
        <w:rPr>
          <w:rFonts w:cs="Arial"/>
        </w:rPr>
        <w:t xml:space="preserve">. From 2021-22 to </w:t>
      </w:r>
      <w:r w:rsidR="005A675E" w:rsidRPr="00DA13A2">
        <w:rPr>
          <w:rFonts w:cstheme="majorBidi"/>
          <w:lang w:val="en-PH"/>
        </w:rPr>
        <w:t>2022-23</w:t>
      </w:r>
      <w:r w:rsidR="005A675E" w:rsidRPr="00DA13A2">
        <w:rPr>
          <w:rFonts w:cs="Arial"/>
        </w:rPr>
        <w:t xml:space="preserve">, the cost of community mental health phases was approximately $1.7 billion nationally, a $147.1 million (or 10%) increase to the 2021-22 figure of $1.5 billion. The national increase was driven by Victoria, increasing costs by $134.6 million (or 25%). In </w:t>
      </w:r>
      <w:r w:rsidR="005A675E" w:rsidRPr="00DA13A2">
        <w:rPr>
          <w:rFonts w:cstheme="majorBidi"/>
          <w:lang w:val="en-PH"/>
        </w:rPr>
        <w:t>2022</w:t>
      </w:r>
      <w:r w:rsidR="005A675E" w:rsidRPr="00DA13A2">
        <w:rPr>
          <w:rFonts w:cstheme="majorBidi"/>
          <w:lang w:val="en-PH"/>
        </w:rPr>
        <w:noBreakHyphen/>
        <w:t>23</w:t>
      </w:r>
      <w:r w:rsidR="005A675E" w:rsidRPr="00DA13A2">
        <w:rPr>
          <w:rFonts w:cs="Arial"/>
        </w:rPr>
        <w:t xml:space="preserve">, the cost at the jurisdictional level ranged from $14.4 million (Tasmania) to </w:t>
      </w:r>
      <w:r w:rsidR="005A675E" w:rsidRPr="00DA13A2">
        <w:rPr>
          <w:rFonts w:eastAsia="Times New Roman" w:cs="Arial"/>
          <w:lang w:eastAsia="en-AU"/>
        </w:rPr>
        <w:t xml:space="preserve">$667.6 million </w:t>
      </w:r>
      <w:r w:rsidR="005A675E" w:rsidRPr="00DA13A2">
        <w:rPr>
          <w:rFonts w:cs="Arial"/>
        </w:rPr>
        <w:t xml:space="preserve">(Victoria). </w:t>
      </w:r>
      <w:r w:rsidR="009D2E00">
        <w:rPr>
          <w:rFonts w:cs="Arial"/>
          <w:color w:val="auto"/>
        </w:rPr>
        <w:t>It should be noted that</w:t>
      </w:r>
      <w:r w:rsidR="00CB391B" w:rsidRPr="00545C3A">
        <w:rPr>
          <w:rFonts w:cs="Arial"/>
          <w:color w:val="auto"/>
        </w:rPr>
        <w:t xml:space="preserve"> </w:t>
      </w:r>
      <w:r w:rsidR="00CB391B">
        <w:rPr>
          <w:rFonts w:cs="Arial"/>
          <w:color w:val="auto"/>
        </w:rPr>
        <w:t>SA, WA</w:t>
      </w:r>
      <w:r w:rsidR="00CB391B" w:rsidRPr="00545C3A">
        <w:rPr>
          <w:rFonts w:cs="Arial"/>
          <w:color w:val="auto"/>
        </w:rPr>
        <w:t xml:space="preserve">, </w:t>
      </w:r>
      <w:r w:rsidR="00CB391B">
        <w:rPr>
          <w:rFonts w:cs="Arial"/>
          <w:color w:val="auto"/>
        </w:rPr>
        <w:t xml:space="preserve">NT, and the ACT </w:t>
      </w:r>
      <w:r w:rsidR="00CB391B">
        <w:t>have</w:t>
      </w:r>
      <w:r w:rsidR="00CB391B" w:rsidRPr="00A42FF4">
        <w:t xml:space="preserve"> not reported phase level cost data for the last 3 years.</w:t>
      </w:r>
      <w:r w:rsidR="00CB391B">
        <w:t xml:space="preserve"> </w:t>
      </w:r>
      <w:r w:rsidR="009D2E00">
        <w:rPr>
          <w:rFonts w:cs="Arial"/>
        </w:rPr>
        <w:t>Further,</w:t>
      </w:r>
      <w:r w:rsidR="005A675E" w:rsidRPr="00DA13A2">
        <w:rPr>
          <w:rFonts w:cs="Arial"/>
        </w:rPr>
        <w:t xml:space="preserve"> the figure does not display Tasmania’s increase of 9,284% due to axis limits.</w:t>
      </w:r>
    </w:p>
    <w:p w14:paraId="4FB55E03" w14:textId="746BDC11" w:rsidR="00091DB9" w:rsidRPr="0093558C" w:rsidRDefault="00091DB9" w:rsidP="00303546">
      <w:pPr>
        <w:pStyle w:val="TableFigureheading"/>
        <w:rPr>
          <w:lang w:val="en-PH"/>
        </w:rPr>
      </w:pPr>
      <w:bookmarkStart w:id="422" w:name="_Ref185851571"/>
      <w:bookmarkStart w:id="423" w:name="_Toc187312124"/>
      <w:r w:rsidRPr="0093558C">
        <w:rPr>
          <w:lang w:val="en-PH"/>
        </w:rPr>
        <w:t xml:space="preserve">Figure </w:t>
      </w:r>
      <w:r w:rsidRPr="0093558C">
        <w:rPr>
          <w:lang w:val="en-PH"/>
        </w:rPr>
        <w:fldChar w:fldCharType="begin"/>
      </w:r>
      <w:r w:rsidRPr="0093558C">
        <w:rPr>
          <w:lang w:val="en-PH"/>
        </w:rPr>
        <w:instrText xml:space="preserve"> SEQ Figure \* ARABIC </w:instrText>
      </w:r>
      <w:r w:rsidRPr="0093558C">
        <w:rPr>
          <w:lang w:val="en-PH"/>
        </w:rPr>
        <w:fldChar w:fldCharType="separate"/>
      </w:r>
      <w:r w:rsidR="00253B18">
        <w:rPr>
          <w:noProof/>
          <w:lang w:val="en-PH"/>
        </w:rPr>
        <w:t>28</w:t>
      </w:r>
      <w:r w:rsidRPr="0093558C">
        <w:rPr>
          <w:lang w:val="en-PH"/>
        </w:rPr>
        <w:fldChar w:fldCharType="end"/>
      </w:r>
      <w:bookmarkEnd w:id="422"/>
      <w:r w:rsidRPr="0093558C">
        <w:rPr>
          <w:lang w:val="en-PH"/>
        </w:rPr>
        <w:t xml:space="preserve">: </w:t>
      </w:r>
      <w:r w:rsidR="00D30B85">
        <w:rPr>
          <w:lang w:val="en-PH"/>
        </w:rPr>
        <w:t>Cost of community mental health phases by jurisdiction</w:t>
      </w:r>
      <w:r w:rsidRPr="0093558C">
        <w:rPr>
          <w:lang w:val="en-PH"/>
        </w:rPr>
        <w:t xml:space="preserve">, </w:t>
      </w:r>
      <w:r w:rsidRPr="00D73FCC">
        <w:rPr>
          <w:lang w:val="en-PH"/>
        </w:rPr>
        <w:t>2020-21</w:t>
      </w:r>
      <w:r w:rsidRPr="0093558C">
        <w:rPr>
          <w:lang w:val="en-PH"/>
        </w:rPr>
        <w:t xml:space="preserve"> to </w:t>
      </w:r>
      <w:r w:rsidRPr="008B2CD8">
        <w:rPr>
          <w:lang w:val="en-PH"/>
        </w:rPr>
        <w:t>202</w:t>
      </w:r>
      <w:r>
        <w:rPr>
          <w:lang w:val="en-PH"/>
        </w:rPr>
        <w:t>2</w:t>
      </w:r>
      <w:r w:rsidRPr="008B2CD8">
        <w:rPr>
          <w:lang w:val="en-PH"/>
        </w:rPr>
        <w:t>-2</w:t>
      </w:r>
      <w:r>
        <w:rPr>
          <w:lang w:val="en-PH"/>
        </w:rPr>
        <w:t>3</w:t>
      </w:r>
      <w:bookmarkEnd w:id="423"/>
    </w:p>
    <w:p w14:paraId="7BE47E04" w14:textId="77777777" w:rsidR="00091DB9" w:rsidRPr="00CE058E" w:rsidRDefault="00091DB9" w:rsidP="00091DB9">
      <w:pPr>
        <w:spacing w:line="276" w:lineRule="auto"/>
        <w:rPr>
          <w:rFonts w:cs="Arial"/>
          <w:color w:val="auto"/>
        </w:rPr>
      </w:pPr>
      <w:r>
        <w:rPr>
          <w:noProof/>
        </w:rPr>
        <w:drawing>
          <wp:inline distT="0" distB="0" distL="0" distR="0" wp14:anchorId="07C352FF" wp14:editId="51CD4352">
            <wp:extent cx="6188710" cy="2304000"/>
            <wp:effectExtent l="0" t="0" r="0" b="0"/>
            <wp:docPr id="979004444" name="Chart 1">
              <a:extLst xmlns:a="http://schemas.openxmlformats.org/drawingml/2006/main">
                <a:ext uri="{FF2B5EF4-FFF2-40B4-BE49-F238E27FC236}">
                  <a16:creationId xmlns:a16="http://schemas.microsoft.com/office/drawing/2014/main" id="{00816BBA-19A3-4A33-9469-29FEE2D33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E9A527C" w14:textId="31E3300B" w:rsidR="005A675E" w:rsidRPr="00074B84" w:rsidRDefault="005A675E" w:rsidP="005A675E">
      <w:pPr>
        <w:pStyle w:val="Heading3"/>
        <w:rPr>
          <w:sz w:val="28"/>
          <w:szCs w:val="28"/>
        </w:rPr>
      </w:pPr>
      <w:r w:rsidRPr="00785EF8">
        <w:rPr>
          <w:sz w:val="28"/>
          <w:szCs w:val="28"/>
        </w:rPr>
        <w:t>Community mental health</w:t>
      </w:r>
      <w:r>
        <w:rPr>
          <w:sz w:val="28"/>
          <w:szCs w:val="28"/>
        </w:rPr>
        <w:t xml:space="preserve"> phase average cost</w:t>
      </w:r>
    </w:p>
    <w:p w14:paraId="482B8EBF" w14:textId="0B3AB73A" w:rsidR="005A675E" w:rsidRPr="00DA13A2" w:rsidRDefault="00FD36AC" w:rsidP="005A675E">
      <w:pPr>
        <w:spacing w:line="276" w:lineRule="auto"/>
        <w:rPr>
          <w:rFonts w:cs="Arial"/>
        </w:rPr>
      </w:pPr>
      <w:r>
        <w:rPr>
          <w:rFonts w:cs="Arial"/>
        </w:rPr>
        <w:fldChar w:fldCharType="begin"/>
      </w:r>
      <w:r>
        <w:rPr>
          <w:rFonts w:cs="Arial"/>
        </w:rPr>
        <w:instrText xml:space="preserve"> REF _Ref185851598 \h </w:instrText>
      </w:r>
      <w:r>
        <w:rPr>
          <w:rFonts w:cs="Arial"/>
        </w:rPr>
      </w:r>
      <w:r>
        <w:rPr>
          <w:rFonts w:cs="Arial"/>
        </w:rPr>
        <w:fldChar w:fldCharType="separate"/>
      </w:r>
      <w:r w:rsidR="00253B18" w:rsidRPr="002B5171">
        <w:rPr>
          <w:lang w:val="en-PH"/>
        </w:rPr>
        <w:t xml:space="preserve">Figure </w:t>
      </w:r>
      <w:r w:rsidR="00253B18">
        <w:rPr>
          <w:noProof/>
          <w:lang w:val="en-PH"/>
        </w:rPr>
        <w:t>29</w:t>
      </w:r>
      <w:r>
        <w:rPr>
          <w:rFonts w:cs="Arial"/>
        </w:rPr>
        <w:fldChar w:fldCharType="end"/>
      </w:r>
      <w:r w:rsidR="005A675E" w:rsidRPr="00DA13A2">
        <w:rPr>
          <w:rFonts w:cs="Arial"/>
        </w:rPr>
        <w:t xml:space="preserve"> shows the average cost of community mental health phases reported in the cost data from 2020</w:t>
      </w:r>
      <w:r w:rsidR="005A675E" w:rsidRPr="00DA13A2">
        <w:rPr>
          <w:rFonts w:cs="Arial"/>
        </w:rPr>
        <w:noBreakHyphen/>
        <w:t xml:space="preserve">21 to </w:t>
      </w:r>
      <w:r w:rsidR="005A675E" w:rsidRPr="00DA13A2">
        <w:rPr>
          <w:rFonts w:cstheme="majorBidi"/>
          <w:lang w:val="en-PH"/>
        </w:rPr>
        <w:t>2022-23</w:t>
      </w:r>
      <w:r w:rsidR="005A675E" w:rsidRPr="00DA13A2">
        <w:rPr>
          <w:rFonts w:cs="Arial"/>
        </w:rPr>
        <w:t xml:space="preserve">. In </w:t>
      </w:r>
      <w:r w:rsidR="005A675E" w:rsidRPr="00DA13A2">
        <w:rPr>
          <w:rFonts w:cstheme="majorBidi"/>
          <w:lang w:val="en-PH"/>
        </w:rPr>
        <w:t>2022-23</w:t>
      </w:r>
      <w:r w:rsidR="005A675E" w:rsidRPr="00DA13A2">
        <w:rPr>
          <w:rFonts w:cs="Arial"/>
        </w:rPr>
        <w:t xml:space="preserve">, the national average cost per phase was $2,273, a 16% decrease from the 2021-22 figure of $2,718. In </w:t>
      </w:r>
      <w:r w:rsidR="005A675E" w:rsidRPr="00DA13A2">
        <w:rPr>
          <w:rFonts w:cstheme="majorBidi"/>
          <w:lang w:val="en-PH"/>
        </w:rPr>
        <w:t>2022-23</w:t>
      </w:r>
      <w:r w:rsidR="005A675E" w:rsidRPr="00DA13A2">
        <w:rPr>
          <w:rFonts w:cs="Arial"/>
        </w:rPr>
        <w:t xml:space="preserve">, the average cost per phase at the jurisdictional level ranged from $1,394 (Victoria) to $4,983 (Queensland). Note the figure does not display Tasmania’s increase of 10,329% due to axis limits. </w:t>
      </w:r>
      <w:r w:rsidR="00CB391B" w:rsidRPr="00545C3A">
        <w:rPr>
          <w:rFonts w:cs="Arial"/>
          <w:color w:val="auto"/>
        </w:rPr>
        <w:t xml:space="preserve">Note </w:t>
      </w:r>
      <w:r w:rsidR="00CB391B">
        <w:rPr>
          <w:rFonts w:cs="Arial"/>
          <w:color w:val="auto"/>
        </w:rPr>
        <w:t>SA, WA</w:t>
      </w:r>
      <w:r w:rsidR="00CB391B" w:rsidRPr="00545C3A">
        <w:rPr>
          <w:rFonts w:cs="Arial"/>
          <w:color w:val="auto"/>
        </w:rPr>
        <w:t xml:space="preserve">, </w:t>
      </w:r>
      <w:r w:rsidR="00CB391B">
        <w:rPr>
          <w:rFonts w:cs="Arial"/>
          <w:color w:val="auto"/>
        </w:rPr>
        <w:t xml:space="preserve">NT, and the ACT </w:t>
      </w:r>
      <w:r w:rsidR="00CB391B">
        <w:t>have</w:t>
      </w:r>
      <w:r w:rsidR="00CB391B" w:rsidRPr="00A42FF4">
        <w:t xml:space="preserve"> not reported phase level cost data for the last 3 years.</w:t>
      </w:r>
    </w:p>
    <w:p w14:paraId="6EA154A1" w14:textId="0F451807" w:rsidR="00091DB9" w:rsidRPr="002B5171" w:rsidRDefault="00091DB9" w:rsidP="00303546">
      <w:pPr>
        <w:pStyle w:val="TableFigureheading"/>
        <w:rPr>
          <w:lang w:val="en-PH"/>
        </w:rPr>
      </w:pPr>
      <w:bookmarkStart w:id="424" w:name="_Ref185851598"/>
      <w:bookmarkStart w:id="425" w:name="_Toc187312125"/>
      <w:r w:rsidRPr="002B5171">
        <w:rPr>
          <w:lang w:val="en-PH"/>
        </w:rPr>
        <w:lastRenderedPageBreak/>
        <w:t xml:space="preserve">Figure </w:t>
      </w:r>
      <w:r w:rsidRPr="002B5171">
        <w:rPr>
          <w:lang w:val="en-PH"/>
        </w:rPr>
        <w:fldChar w:fldCharType="begin"/>
      </w:r>
      <w:r w:rsidRPr="002B5171">
        <w:rPr>
          <w:lang w:val="en-PH"/>
        </w:rPr>
        <w:instrText xml:space="preserve"> SEQ Figure \* ARABIC </w:instrText>
      </w:r>
      <w:r w:rsidRPr="002B5171">
        <w:rPr>
          <w:lang w:val="en-PH"/>
        </w:rPr>
        <w:fldChar w:fldCharType="separate"/>
      </w:r>
      <w:r w:rsidR="00253B18">
        <w:rPr>
          <w:noProof/>
          <w:lang w:val="en-PH"/>
        </w:rPr>
        <w:t>29</w:t>
      </w:r>
      <w:r w:rsidRPr="002B5171">
        <w:rPr>
          <w:lang w:val="en-PH"/>
        </w:rPr>
        <w:fldChar w:fldCharType="end"/>
      </w:r>
      <w:bookmarkEnd w:id="424"/>
      <w:r w:rsidRPr="002B5171">
        <w:rPr>
          <w:lang w:val="en-PH"/>
        </w:rPr>
        <w:t xml:space="preserve">: </w:t>
      </w:r>
      <w:r w:rsidR="00516F4A">
        <w:rPr>
          <w:lang w:val="en-PH"/>
        </w:rPr>
        <w:t>Average cost per c</w:t>
      </w:r>
      <w:r w:rsidRPr="002B5171">
        <w:rPr>
          <w:lang w:val="en-PH"/>
        </w:rPr>
        <w:t xml:space="preserve">ommunity mental health </w:t>
      </w:r>
      <w:r w:rsidR="00A82FF5">
        <w:rPr>
          <w:lang w:val="en-PH"/>
        </w:rPr>
        <w:t>phase</w:t>
      </w:r>
      <w:r w:rsidR="00516F4A">
        <w:rPr>
          <w:lang w:val="en-PH"/>
        </w:rPr>
        <w:t xml:space="preserve"> by jurisdiction</w:t>
      </w:r>
      <w:r w:rsidRPr="002B5171">
        <w:rPr>
          <w:lang w:val="en-PH"/>
        </w:rPr>
        <w:t>, 2020-21 to 2022-23</w:t>
      </w:r>
      <w:bookmarkEnd w:id="425"/>
    </w:p>
    <w:p w14:paraId="0F433393" w14:textId="57C780D9" w:rsidR="005A675E" w:rsidRDefault="00091DB9" w:rsidP="00091DB9">
      <w:pPr>
        <w:rPr>
          <w:rFonts w:cs="Arial"/>
          <w:color w:val="auto"/>
        </w:rPr>
      </w:pPr>
      <w:r>
        <w:rPr>
          <w:noProof/>
        </w:rPr>
        <w:drawing>
          <wp:inline distT="0" distB="0" distL="0" distR="0" wp14:anchorId="1E46A9B9" wp14:editId="4A9C94ED">
            <wp:extent cx="6188710" cy="2304000"/>
            <wp:effectExtent l="0" t="0" r="0" b="0"/>
            <wp:docPr id="649911069" name="Chart 1">
              <a:extLst xmlns:a="http://schemas.openxmlformats.org/drawingml/2006/main">
                <a:ext uri="{FF2B5EF4-FFF2-40B4-BE49-F238E27FC236}">
                  <a16:creationId xmlns:a16="http://schemas.microsoft.com/office/drawing/2014/main" id="{8AE4D41F-18EF-455B-A3C5-68ED20BBE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AB7F5E0" w14:textId="77777777" w:rsidR="00091DB9" w:rsidRPr="00785EF8" w:rsidRDefault="00091DB9" w:rsidP="00091DB9">
      <w:pPr>
        <w:pStyle w:val="Heading3"/>
        <w:rPr>
          <w:sz w:val="28"/>
          <w:szCs w:val="28"/>
        </w:rPr>
      </w:pPr>
      <w:r w:rsidRPr="00785EF8">
        <w:rPr>
          <w:sz w:val="28"/>
          <w:szCs w:val="28"/>
        </w:rPr>
        <w:t>Community mental health</w:t>
      </w:r>
      <w:r>
        <w:rPr>
          <w:sz w:val="28"/>
          <w:szCs w:val="28"/>
        </w:rPr>
        <w:t xml:space="preserve"> phase</w:t>
      </w:r>
      <w:r w:rsidRPr="00785EF8">
        <w:rPr>
          <w:sz w:val="28"/>
          <w:szCs w:val="28"/>
        </w:rPr>
        <w:t xml:space="preserve"> cost buckets</w:t>
      </w:r>
    </w:p>
    <w:p w14:paraId="5E60853D" w14:textId="67BC353E" w:rsidR="00091DB9" w:rsidRDefault="00FD36AC" w:rsidP="00091DB9">
      <w:pPr>
        <w:rPr>
          <w:rFonts w:cs="Arial"/>
          <w:color w:val="auto"/>
        </w:rPr>
      </w:pPr>
      <w:r>
        <w:rPr>
          <w:rFonts w:cs="Arial"/>
        </w:rPr>
        <w:fldChar w:fldCharType="begin"/>
      </w:r>
      <w:r>
        <w:rPr>
          <w:rFonts w:cs="Arial"/>
        </w:rPr>
        <w:instrText xml:space="preserve"> REF _Ref185851619 \h </w:instrText>
      </w:r>
      <w:r>
        <w:rPr>
          <w:rFonts w:cs="Arial"/>
        </w:rPr>
      </w:r>
      <w:r>
        <w:rPr>
          <w:rFonts w:cs="Arial"/>
        </w:rPr>
        <w:fldChar w:fldCharType="separate"/>
      </w:r>
      <w:r w:rsidR="00253B18" w:rsidRPr="0093558C">
        <w:rPr>
          <w:lang w:val="en-PH"/>
        </w:rPr>
        <w:t xml:space="preserve">Figure </w:t>
      </w:r>
      <w:r w:rsidR="00253B18">
        <w:rPr>
          <w:noProof/>
          <w:lang w:val="en-PH"/>
        </w:rPr>
        <w:t>30</w:t>
      </w:r>
      <w:r>
        <w:rPr>
          <w:rFonts w:cs="Arial"/>
        </w:rPr>
        <w:fldChar w:fldCharType="end"/>
      </w:r>
      <w:r w:rsidR="00091DB9" w:rsidRPr="00DA13A2">
        <w:rPr>
          <w:rFonts w:cs="Arial"/>
        </w:rPr>
        <w:t xml:space="preserve"> shows the </w:t>
      </w:r>
      <w:r w:rsidR="00FD35C1">
        <w:rPr>
          <w:rFonts w:cs="Arial"/>
        </w:rPr>
        <w:t xml:space="preserve">top 10 cost buckets </w:t>
      </w:r>
      <w:r w:rsidR="00C45549">
        <w:rPr>
          <w:rFonts w:cs="Arial"/>
        </w:rPr>
        <w:t>contributing to the national community</w:t>
      </w:r>
      <w:r w:rsidR="00C45549" w:rsidRPr="00FD6A0D">
        <w:rPr>
          <w:rFonts w:cs="Arial"/>
        </w:rPr>
        <w:t xml:space="preserve"> mental health </w:t>
      </w:r>
      <w:r w:rsidR="00C45549">
        <w:rPr>
          <w:rFonts w:cs="Arial"/>
        </w:rPr>
        <w:t xml:space="preserve">phase </w:t>
      </w:r>
      <w:r w:rsidR="00C45549" w:rsidRPr="00FD6A0D">
        <w:rPr>
          <w:rFonts w:cs="Arial"/>
        </w:rPr>
        <w:t xml:space="preserve">average cost </w:t>
      </w:r>
      <w:r w:rsidR="00C45549">
        <w:rPr>
          <w:rFonts w:cs="Arial"/>
        </w:rPr>
        <w:t xml:space="preserve">for </w:t>
      </w:r>
      <w:r w:rsidR="00C45549" w:rsidRPr="00FD6A0D">
        <w:rPr>
          <w:rFonts w:cs="Arial"/>
        </w:rPr>
        <w:t xml:space="preserve">2022-23, </w:t>
      </w:r>
      <w:r w:rsidR="00C45549">
        <w:rPr>
          <w:rFonts w:cs="Arial"/>
        </w:rPr>
        <w:t xml:space="preserve">in comparison to </w:t>
      </w:r>
      <w:r w:rsidR="00C45549" w:rsidRPr="00FD6A0D">
        <w:rPr>
          <w:rFonts w:cs="Arial"/>
        </w:rPr>
        <w:t xml:space="preserve">2020-21 to </w:t>
      </w:r>
      <w:r w:rsidR="00C45549" w:rsidRPr="00FD6A0D">
        <w:rPr>
          <w:rFonts w:cstheme="majorBidi"/>
          <w:lang w:val="en-PH"/>
        </w:rPr>
        <w:t>202</w:t>
      </w:r>
      <w:r w:rsidR="00C45549">
        <w:rPr>
          <w:rFonts w:cstheme="majorBidi"/>
          <w:lang w:val="en-PH"/>
        </w:rPr>
        <w:t>1</w:t>
      </w:r>
      <w:r w:rsidR="00C45549" w:rsidRPr="00FD6A0D">
        <w:rPr>
          <w:rFonts w:cstheme="majorBidi"/>
          <w:lang w:val="en-PH"/>
        </w:rPr>
        <w:t>-2</w:t>
      </w:r>
      <w:r w:rsidR="00C45549">
        <w:rPr>
          <w:rFonts w:cstheme="majorBidi"/>
          <w:lang w:val="en-PH"/>
        </w:rPr>
        <w:t>2</w:t>
      </w:r>
      <w:r w:rsidR="00091DB9" w:rsidRPr="00DA13A2">
        <w:rPr>
          <w:rFonts w:cs="Arial"/>
        </w:rPr>
        <w:t xml:space="preserve">. In </w:t>
      </w:r>
      <w:r w:rsidR="00091DB9" w:rsidRPr="00DA13A2">
        <w:rPr>
          <w:rFonts w:cstheme="majorBidi"/>
          <w:lang w:val="en-PH"/>
        </w:rPr>
        <w:t>2022-23</w:t>
      </w:r>
      <w:r w:rsidR="00091DB9" w:rsidRPr="00DA13A2">
        <w:rPr>
          <w:rFonts w:cs="Arial"/>
        </w:rPr>
        <w:t>, the national average cost per phase was $2,273, a 16% decrease from the 2021-22 figure of $2,718.</w:t>
      </w:r>
      <w:r w:rsidR="00AA0720" w:rsidRPr="00AA0720">
        <w:rPr>
          <w:rFonts w:cs="Arial"/>
          <w:color w:val="15272F"/>
        </w:rPr>
        <w:t xml:space="preserve"> </w:t>
      </w:r>
      <w:r w:rsidR="006F24F8">
        <w:rPr>
          <w:rFonts w:cs="Arial"/>
        </w:rPr>
        <w:t>Further detail on</w:t>
      </w:r>
      <w:r w:rsidR="00AA0720" w:rsidRPr="00AA0720">
        <w:rPr>
          <w:rFonts w:cs="Arial"/>
        </w:rPr>
        <w:t xml:space="preserve"> all </w:t>
      </w:r>
      <w:r w:rsidR="00AA0720">
        <w:rPr>
          <w:rFonts w:cs="Arial"/>
        </w:rPr>
        <w:t>community mental health phase</w:t>
      </w:r>
      <w:r w:rsidR="00AA0720" w:rsidRPr="00AA0720">
        <w:rPr>
          <w:rFonts w:cs="Arial"/>
        </w:rPr>
        <w:t xml:space="preserve"> cost by cost bucket is available in the </w:t>
      </w:r>
      <w:hyperlink r:id="rId69" w:history="1">
        <w:r w:rsidR="00AA0720" w:rsidRPr="00AA0720">
          <w:rPr>
            <w:rStyle w:val="Hyperlink"/>
            <w:rFonts w:cs="Arial"/>
          </w:rPr>
          <w:t>Appendix Tables</w:t>
        </w:r>
      </w:hyperlink>
      <w:r w:rsidR="00AA0720" w:rsidRPr="00AA0720">
        <w:rPr>
          <w:rFonts w:cs="Arial"/>
        </w:rPr>
        <w:t>.</w:t>
      </w:r>
    </w:p>
    <w:p w14:paraId="37E46075" w14:textId="6D5C31BC" w:rsidR="00091DB9" w:rsidRDefault="00091DB9" w:rsidP="00303546">
      <w:pPr>
        <w:pStyle w:val="TableFigureheading"/>
        <w:rPr>
          <w:lang w:val="en-PH"/>
        </w:rPr>
      </w:pPr>
      <w:bookmarkStart w:id="426" w:name="_Ref185851619"/>
      <w:bookmarkStart w:id="427" w:name="_Toc187312126"/>
      <w:r w:rsidRPr="0093558C">
        <w:rPr>
          <w:lang w:val="en-PH"/>
        </w:rPr>
        <w:t xml:space="preserve">Figure </w:t>
      </w:r>
      <w:r w:rsidRPr="0093558C">
        <w:rPr>
          <w:iCs w:val="0"/>
          <w:lang w:val="en-PH"/>
        </w:rPr>
        <w:fldChar w:fldCharType="begin"/>
      </w:r>
      <w:r w:rsidRPr="0093558C">
        <w:rPr>
          <w:lang w:val="en-PH"/>
        </w:rPr>
        <w:instrText xml:space="preserve"> SEQ Figure \* ARABIC </w:instrText>
      </w:r>
      <w:r w:rsidRPr="0093558C">
        <w:rPr>
          <w:iCs w:val="0"/>
          <w:lang w:val="en-PH"/>
        </w:rPr>
        <w:fldChar w:fldCharType="separate"/>
      </w:r>
      <w:r w:rsidR="00253B18">
        <w:rPr>
          <w:noProof/>
          <w:lang w:val="en-PH"/>
        </w:rPr>
        <w:t>30</w:t>
      </w:r>
      <w:r w:rsidRPr="0093558C">
        <w:rPr>
          <w:iCs w:val="0"/>
          <w:lang w:val="en-PH"/>
        </w:rPr>
        <w:fldChar w:fldCharType="end"/>
      </w:r>
      <w:bookmarkEnd w:id="426"/>
      <w:r w:rsidRPr="0093558C">
        <w:rPr>
          <w:lang w:val="en-PH"/>
        </w:rPr>
        <w:t xml:space="preserve">: </w:t>
      </w:r>
      <w:r w:rsidR="003B35E0">
        <w:rPr>
          <w:lang w:val="en-PH"/>
        </w:rPr>
        <w:t>Top 10 cost buckets in c</w:t>
      </w:r>
      <w:r w:rsidRPr="0093558C">
        <w:rPr>
          <w:lang w:val="en-PH"/>
        </w:rPr>
        <w:t>ommunity mental health phase</w:t>
      </w:r>
      <w:r w:rsidR="00BE5D31">
        <w:rPr>
          <w:lang w:val="en-PH"/>
        </w:rPr>
        <w:t>s</w:t>
      </w:r>
      <w:r w:rsidRPr="0093558C">
        <w:rPr>
          <w:lang w:val="en-PH"/>
        </w:rPr>
        <w:t xml:space="preserve">, </w:t>
      </w:r>
      <w:r w:rsidRPr="00D73FCC">
        <w:rPr>
          <w:lang w:val="en-PH"/>
        </w:rPr>
        <w:t>2020-21</w:t>
      </w:r>
      <w:r w:rsidRPr="0093558C">
        <w:rPr>
          <w:lang w:val="en-PH"/>
        </w:rPr>
        <w:t xml:space="preserve"> to </w:t>
      </w:r>
      <w:r w:rsidRPr="008B2CD8">
        <w:rPr>
          <w:lang w:val="en-PH"/>
        </w:rPr>
        <w:t>202</w:t>
      </w:r>
      <w:r>
        <w:rPr>
          <w:lang w:val="en-PH"/>
        </w:rPr>
        <w:t>2</w:t>
      </w:r>
      <w:r w:rsidRPr="008B2CD8">
        <w:rPr>
          <w:lang w:val="en-PH"/>
        </w:rPr>
        <w:t>-2</w:t>
      </w:r>
      <w:r>
        <w:rPr>
          <w:lang w:val="en-PH"/>
        </w:rPr>
        <w:t>3</w:t>
      </w:r>
      <w:bookmarkEnd w:id="427"/>
    </w:p>
    <w:p w14:paraId="3EC8305D" w14:textId="4F55468A" w:rsidR="00091DB9" w:rsidRDefault="00091DB9" w:rsidP="00091DB9">
      <w:pPr>
        <w:rPr>
          <w:sz w:val="28"/>
          <w:szCs w:val="28"/>
        </w:rPr>
      </w:pPr>
      <w:r>
        <w:rPr>
          <w:noProof/>
        </w:rPr>
        <w:drawing>
          <wp:inline distT="0" distB="0" distL="0" distR="0" wp14:anchorId="157FF467" wp14:editId="740A36C4">
            <wp:extent cx="6045835" cy="2619375"/>
            <wp:effectExtent l="0" t="0" r="0" b="0"/>
            <wp:docPr id="411567325" name="Chart 1">
              <a:extLst xmlns:a="http://schemas.openxmlformats.org/drawingml/2006/main">
                <a:ext uri="{FF2B5EF4-FFF2-40B4-BE49-F238E27FC236}">
                  <a16:creationId xmlns:a16="http://schemas.microsoft.com/office/drawing/2014/main" id="{092BAB4D-E3DF-4F1D-86F3-E1BC494F3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1F0F6C8" w14:textId="164AE298" w:rsidR="00005059" w:rsidRDefault="00FD36AC" w:rsidP="00005059">
      <w:r>
        <w:fldChar w:fldCharType="begin"/>
      </w:r>
      <w:r>
        <w:instrText xml:space="preserve"> REF _Ref185851634 \h </w:instrText>
      </w:r>
      <w:r>
        <w:fldChar w:fldCharType="separate"/>
      </w:r>
      <w:r w:rsidR="00253B18">
        <w:rPr>
          <w:lang w:val="en-PH"/>
        </w:rPr>
        <w:t>Table</w:t>
      </w:r>
      <w:r w:rsidR="00253B18" w:rsidRPr="0093558C">
        <w:rPr>
          <w:lang w:val="en-PH"/>
        </w:rPr>
        <w:t xml:space="preserve"> </w:t>
      </w:r>
      <w:r w:rsidR="00253B18">
        <w:rPr>
          <w:noProof/>
          <w:lang w:val="en-PH"/>
        </w:rPr>
        <w:t>33</w:t>
      </w:r>
      <w:r>
        <w:fldChar w:fldCharType="end"/>
      </w:r>
      <w:r w:rsidR="00005059">
        <w:t xml:space="preserve"> shows </w:t>
      </w:r>
      <w:r w:rsidR="00005059" w:rsidRPr="00005059">
        <w:t xml:space="preserve">the average cost for 2021-22 and 2022-23, </w:t>
      </w:r>
      <w:r w:rsidR="009D4F22">
        <w:t xml:space="preserve">distribution of cost for </w:t>
      </w:r>
      <w:r w:rsidR="009D4F22" w:rsidRPr="00575789">
        <w:t>2022-23</w:t>
      </w:r>
      <w:r w:rsidR="00DD3D7B">
        <w:t>,</w:t>
      </w:r>
      <w:r w:rsidR="009D4F22" w:rsidRPr="00B4194D">
        <w:t xml:space="preserve"> </w:t>
      </w:r>
      <w:r w:rsidR="009D4F22">
        <w:t xml:space="preserve">percentage </w:t>
      </w:r>
      <w:r w:rsidR="009D4F22" w:rsidRPr="00E538CF">
        <w:t>change</w:t>
      </w:r>
      <w:r w:rsidR="009D4F22">
        <w:t xml:space="preserve"> and actual change by cost bucket</w:t>
      </w:r>
      <w:r w:rsidR="009D4F22" w:rsidRPr="00E538CF">
        <w:t xml:space="preserve"> from 2021-22 to 2022-23.</w:t>
      </w:r>
      <w:r w:rsidR="009D4F22">
        <w:t xml:space="preserve"> </w:t>
      </w:r>
      <w:r w:rsidR="003D208E">
        <w:t xml:space="preserve">Nursing, </w:t>
      </w:r>
      <w:r w:rsidR="00142973">
        <w:t xml:space="preserve">allied health, medical, non-clinical, and on-costs accounted for </w:t>
      </w:r>
      <w:r w:rsidR="00DF4F2B">
        <w:t>86</w:t>
      </w:r>
      <w:r w:rsidR="00142973">
        <w:t>% of the average cost per phase nationally</w:t>
      </w:r>
      <w:r w:rsidR="00DF4F2B">
        <w:t xml:space="preserve"> in 2022-23</w:t>
      </w:r>
      <w:r w:rsidR="00142973">
        <w:t xml:space="preserve">. </w:t>
      </w:r>
      <w:r w:rsidR="009D4F22">
        <w:rPr>
          <w:rFonts w:cs="Arial"/>
        </w:rPr>
        <w:t>The last column shows the proportion the actual change in each cost bucket contributes to the total actual change between 2021-22 and 2022-23</w:t>
      </w:r>
      <w:r w:rsidR="00005059" w:rsidRPr="00005059">
        <w:t>.</w:t>
      </w:r>
    </w:p>
    <w:p w14:paraId="2161994A" w14:textId="187009A8" w:rsidR="00AE1D4A" w:rsidRDefault="00E04435" w:rsidP="00303546">
      <w:pPr>
        <w:pStyle w:val="TableFigureheading"/>
        <w:rPr>
          <w:lang w:val="en-PH"/>
        </w:rPr>
      </w:pPr>
      <w:bookmarkStart w:id="428" w:name="_Ref185851634"/>
      <w:bookmarkStart w:id="429" w:name="_Toc185852241"/>
      <w:bookmarkStart w:id="430" w:name="_Toc187312159"/>
      <w:r>
        <w:rPr>
          <w:lang w:val="en-PH"/>
        </w:rPr>
        <w:lastRenderedPageBreak/>
        <w:t>Table</w:t>
      </w:r>
      <w:r w:rsidR="00AE1D4A" w:rsidRPr="0093558C">
        <w:rPr>
          <w:lang w:val="en-PH"/>
        </w:rPr>
        <w:t xml:space="preserve"> </w:t>
      </w:r>
      <w:r>
        <w:rPr>
          <w:lang w:val="en-PH"/>
        </w:rPr>
        <w:fldChar w:fldCharType="begin"/>
      </w:r>
      <w:r>
        <w:rPr>
          <w:lang w:val="en-PH"/>
        </w:rPr>
        <w:instrText xml:space="preserve"> SEQ Table \* ARABIC </w:instrText>
      </w:r>
      <w:r>
        <w:rPr>
          <w:lang w:val="en-PH"/>
        </w:rPr>
        <w:fldChar w:fldCharType="separate"/>
      </w:r>
      <w:r w:rsidR="00253B18">
        <w:rPr>
          <w:noProof/>
          <w:lang w:val="en-PH"/>
        </w:rPr>
        <w:t>33</w:t>
      </w:r>
      <w:r>
        <w:rPr>
          <w:lang w:val="en-PH"/>
        </w:rPr>
        <w:fldChar w:fldCharType="end"/>
      </w:r>
      <w:bookmarkEnd w:id="428"/>
      <w:r w:rsidR="00AE1D4A" w:rsidRPr="0093558C">
        <w:rPr>
          <w:lang w:val="en-PH"/>
        </w:rPr>
        <w:t xml:space="preserve">: </w:t>
      </w:r>
      <w:r w:rsidR="009D4F22">
        <w:rPr>
          <w:lang w:val="en-PH"/>
        </w:rPr>
        <w:t>National average cost per c</w:t>
      </w:r>
      <w:r w:rsidR="00AE1D4A" w:rsidRPr="0093558C">
        <w:rPr>
          <w:lang w:val="en-PH"/>
        </w:rPr>
        <w:t xml:space="preserve">ommunity mental health phase </w:t>
      </w:r>
      <w:r w:rsidR="009D4F22">
        <w:rPr>
          <w:lang w:val="en-PH"/>
        </w:rPr>
        <w:t xml:space="preserve">by </w:t>
      </w:r>
      <w:r w:rsidR="00AE1D4A" w:rsidRPr="00AE1D4A">
        <w:rPr>
          <w:lang w:val="en-PH"/>
        </w:rPr>
        <w:t>cost bucket, 2022-23</w:t>
      </w:r>
      <w:bookmarkEnd w:id="429"/>
      <w:bookmarkEnd w:id="430"/>
    </w:p>
    <w:p w14:paraId="6C1F80DC" w14:textId="6FF483A6" w:rsidR="00EC1063" w:rsidRPr="00037328" w:rsidRDefault="00EC1063" w:rsidP="00D16D7C">
      <w:pPr>
        <w:pStyle w:val="TableFigureheading"/>
        <w:jc w:val="center"/>
        <w:rPr>
          <w:iCs w:val="0"/>
          <w:highlight w:val="yellow"/>
        </w:rPr>
        <w:sectPr w:rsidR="00EC1063" w:rsidRPr="00037328" w:rsidSect="00B962E9">
          <w:headerReference w:type="even" r:id="rId71"/>
          <w:headerReference w:type="default" r:id="rId72"/>
          <w:footerReference w:type="default" r:id="rId73"/>
          <w:headerReference w:type="first" r:id="rId74"/>
          <w:pgSz w:w="11906" w:h="16838" w:code="9"/>
          <w:pgMar w:top="1418" w:right="1080" w:bottom="1134" w:left="1080" w:header="708" w:footer="708" w:gutter="0"/>
          <w:cols w:space="708"/>
          <w:docGrid w:linePitch="360"/>
        </w:sectPr>
      </w:pPr>
      <w:r>
        <w:rPr>
          <w:noProof/>
        </w:rPr>
        <w:drawing>
          <wp:inline distT="0" distB="0" distL="0" distR="0" wp14:anchorId="5B29B4D6" wp14:editId="57A90079">
            <wp:extent cx="6060017" cy="3392515"/>
            <wp:effectExtent l="0" t="0" r="0" b="0"/>
            <wp:docPr id="165886895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68958" name="Picture 1" descr="A screenshot of a graph&#10;&#10;Description automatically generated"/>
                    <pic:cNvPicPr/>
                  </pic:nvPicPr>
                  <pic:blipFill>
                    <a:blip r:embed="rId75"/>
                    <a:stretch>
                      <a:fillRect/>
                    </a:stretch>
                  </pic:blipFill>
                  <pic:spPr>
                    <a:xfrm>
                      <a:off x="0" y="0"/>
                      <a:ext cx="6063322" cy="3394365"/>
                    </a:xfrm>
                    <a:prstGeom prst="rect">
                      <a:avLst/>
                    </a:prstGeom>
                  </pic:spPr>
                </pic:pic>
              </a:graphicData>
            </a:graphic>
          </wp:inline>
        </w:drawing>
      </w:r>
    </w:p>
    <w:bookmarkEnd w:id="6"/>
    <w:p w14:paraId="6F9F6A4A" w14:textId="77777777" w:rsidR="00502A09" w:rsidRPr="00037328" w:rsidRDefault="00502A09" w:rsidP="00502A09">
      <w:pPr>
        <w:spacing w:after="360"/>
        <w:rPr>
          <w:rFonts w:cs="Arial"/>
          <w:color w:val="FFFFFF" w:themeColor="background2"/>
        </w:rPr>
      </w:pPr>
      <w:r w:rsidRPr="00037328">
        <w:rPr>
          <w:rFonts w:cs="Arial"/>
          <w:noProof/>
          <w:color w:val="FFFFFF" w:themeColor="background2"/>
        </w:rPr>
        <w:lastRenderedPageBreak/>
        <w:drawing>
          <wp:inline distT="0" distB="0" distL="0" distR="0" wp14:anchorId="454DB0C1" wp14:editId="5082B68D">
            <wp:extent cx="1764880" cy="396484"/>
            <wp:effectExtent l="0" t="0" r="6985"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bwMode="auto">
                    <a:xfrm>
                      <a:off x="0" y="0"/>
                      <a:ext cx="1764880" cy="396484"/>
                    </a:xfrm>
                    <a:prstGeom prst="rect">
                      <a:avLst/>
                    </a:prstGeom>
                  </pic:spPr>
                </pic:pic>
              </a:graphicData>
            </a:graphic>
          </wp:inline>
        </w:drawing>
      </w:r>
    </w:p>
    <w:p w14:paraId="51BD9D94" w14:textId="77777777" w:rsidR="00502A09" w:rsidRPr="00037328" w:rsidRDefault="00502A09" w:rsidP="00502A09">
      <w:pPr>
        <w:spacing w:after="360"/>
        <w:rPr>
          <w:rFonts w:cs="Arial"/>
        </w:rPr>
      </w:pPr>
      <w:r w:rsidRPr="00037328">
        <w:rPr>
          <w:rFonts w:cs="Arial"/>
        </w:rPr>
        <w:t>Independent Health and Aged Care Pricing Authority</w:t>
      </w:r>
    </w:p>
    <w:p w14:paraId="72532AFA" w14:textId="77777777" w:rsidR="00502A09" w:rsidRPr="00037328" w:rsidRDefault="00335758" w:rsidP="00502A09">
      <w:pPr>
        <w:spacing w:after="360"/>
        <w:rPr>
          <w:rFonts w:cs="Arial"/>
          <w:color w:val="104F99" w:themeColor="accent2"/>
        </w:rPr>
      </w:pPr>
      <w:r w:rsidRPr="00037328">
        <w:rPr>
          <w:rFonts w:cs="Arial"/>
          <w:color w:val="104F99" w:themeColor="accent2"/>
        </w:rPr>
        <w:t xml:space="preserve">Eora Nation, </w:t>
      </w:r>
      <w:r w:rsidR="00502A09" w:rsidRPr="00037328">
        <w:rPr>
          <w:rFonts w:cs="Arial"/>
          <w:color w:val="104F99" w:themeColor="accent2"/>
        </w:rPr>
        <w:t xml:space="preserve">Level </w:t>
      </w:r>
      <w:r w:rsidR="00B64398" w:rsidRPr="00037328">
        <w:rPr>
          <w:rFonts w:cs="Arial"/>
          <w:color w:val="104F99" w:themeColor="accent2"/>
        </w:rPr>
        <w:t>12</w:t>
      </w:r>
      <w:r w:rsidR="00502A09" w:rsidRPr="00037328">
        <w:rPr>
          <w:rFonts w:cs="Arial"/>
          <w:color w:val="104F99" w:themeColor="accent2"/>
        </w:rPr>
        <w:t>, 1 Oxford Street</w:t>
      </w:r>
      <w:r w:rsidR="00502A09" w:rsidRPr="00037328">
        <w:rPr>
          <w:rFonts w:cs="Arial"/>
          <w:color w:val="104F99" w:themeColor="accent2"/>
        </w:rPr>
        <w:br/>
        <w:t>Sydney NSW 2000</w:t>
      </w:r>
    </w:p>
    <w:p w14:paraId="7BA4AE74" w14:textId="3F77E9A6" w:rsidR="00502A09" w:rsidRPr="00037328" w:rsidRDefault="00502A09" w:rsidP="00502A09">
      <w:pPr>
        <w:spacing w:after="360"/>
        <w:rPr>
          <w:rFonts w:cs="Arial"/>
        </w:rPr>
      </w:pPr>
      <w:r w:rsidRPr="00037328">
        <w:rPr>
          <w:rFonts w:cs="Arial"/>
        </w:rPr>
        <w:t xml:space="preserve">Phone </w:t>
      </w:r>
      <w:r w:rsidRPr="00037328">
        <w:rPr>
          <w:rFonts w:cs="Arial"/>
          <w:color w:val="104F99" w:themeColor="accent2"/>
        </w:rPr>
        <w:t>02 8215 1100</w:t>
      </w:r>
      <w:r w:rsidRPr="00037328">
        <w:rPr>
          <w:rFonts w:cs="Arial"/>
        </w:rPr>
        <w:br/>
        <w:t xml:space="preserve">Email </w:t>
      </w:r>
      <w:hyperlink r:id="rId78" w:history="1">
        <w:r w:rsidR="00DF2CB4" w:rsidRPr="00037328">
          <w:rPr>
            <w:rStyle w:val="Hyperlink"/>
            <w:rFonts w:cs="Arial"/>
          </w:rPr>
          <w:t>enquiries.ihacpa@ihacpa.gov.au</w:t>
        </w:r>
      </w:hyperlink>
    </w:p>
    <w:p w14:paraId="737AADD1" w14:textId="490E4EF6" w:rsidR="00502A09" w:rsidRPr="00037328" w:rsidRDefault="00502A09" w:rsidP="00F95700">
      <w:pPr>
        <w:spacing w:after="360"/>
        <w:rPr>
          <w:rFonts w:cs="Arial"/>
          <w:color w:val="104F99" w:themeColor="accent2"/>
        </w:rPr>
      </w:pPr>
      <w:hyperlink r:id="rId79" w:history="1">
        <w:r w:rsidRPr="00037328">
          <w:rPr>
            <w:rStyle w:val="Hyperlink"/>
            <w:rFonts w:cs="Arial"/>
          </w:rPr>
          <w:t>www.ih</w:t>
        </w:r>
        <w:r w:rsidR="00B64398" w:rsidRPr="00037328">
          <w:rPr>
            <w:rStyle w:val="Hyperlink"/>
            <w:rFonts w:cs="Arial"/>
          </w:rPr>
          <w:t>ac</w:t>
        </w:r>
        <w:r w:rsidRPr="00037328">
          <w:rPr>
            <w:rStyle w:val="Hyperlink"/>
            <w:rFonts w:cs="Arial"/>
          </w:rPr>
          <w:t>pa.gov.au</w:t>
        </w:r>
      </w:hyperlink>
    </w:p>
    <w:sectPr w:rsidR="00502A09" w:rsidRPr="00037328" w:rsidSect="00C5503B">
      <w:headerReference w:type="even" r:id="rId80"/>
      <w:headerReference w:type="default" r:id="rId81"/>
      <w:footerReference w:type="default" r:id="rId82"/>
      <w:headerReference w:type="first" r:id="rId83"/>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1F281" w14:textId="77777777" w:rsidR="00614A8E" w:rsidRDefault="00614A8E" w:rsidP="00DC0458">
      <w:pPr>
        <w:spacing w:after="0" w:line="240" w:lineRule="auto"/>
      </w:pPr>
      <w:r>
        <w:separator/>
      </w:r>
    </w:p>
    <w:p w14:paraId="2CC13075" w14:textId="77777777" w:rsidR="00614A8E" w:rsidRDefault="00614A8E"/>
  </w:endnote>
  <w:endnote w:type="continuationSeparator" w:id="0">
    <w:p w14:paraId="082AF58C" w14:textId="77777777" w:rsidR="00614A8E" w:rsidRDefault="00614A8E" w:rsidP="00DC0458">
      <w:pPr>
        <w:spacing w:after="0" w:line="240" w:lineRule="auto"/>
      </w:pPr>
      <w:r>
        <w:continuationSeparator/>
      </w:r>
    </w:p>
    <w:p w14:paraId="731AA764" w14:textId="77777777" w:rsidR="00614A8E" w:rsidRDefault="00614A8E"/>
  </w:endnote>
  <w:endnote w:type="continuationNotice" w:id="1">
    <w:p w14:paraId="3F3CDCFD" w14:textId="77777777" w:rsidR="00614A8E" w:rsidRDefault="00614A8E">
      <w:pPr>
        <w:spacing w:after="0" w:line="240" w:lineRule="auto"/>
      </w:pPr>
    </w:p>
    <w:p w14:paraId="1CF6A2CA" w14:textId="77777777" w:rsidR="00614A8E" w:rsidRDefault="00614A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ira Sans regular">
    <w:altName w:val="Calibri"/>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Josefin Sans Bold">
    <w:charset w:val="00"/>
    <w:family w:val="auto"/>
    <w:pitch w:val="variable"/>
    <w:sig w:usb0="A00000FF" w:usb1="4000204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A36F1E" w14:paraId="0F3DA882" w14:textId="77777777">
      <w:tc>
        <w:tcPr>
          <w:tcW w:w="4868" w:type="dxa"/>
        </w:tcPr>
        <w:p w14:paraId="17E348F3" w14:textId="3AB9A473" w:rsidR="00A36F1E" w:rsidRDefault="00A36F1E">
          <w:pPr>
            <w:pStyle w:val="Footer"/>
          </w:pPr>
          <w:r>
            <w:br/>
          </w:r>
          <w:r>
            <w:br/>
          </w:r>
          <w:r w:rsidR="00397F5B">
            <w:t>May</w:t>
          </w:r>
          <w:r w:rsidR="000D47ED">
            <w:t xml:space="preserve"> </w:t>
          </w:r>
          <w:r w:rsidR="00C6226B">
            <w:t>2025</w:t>
          </w:r>
        </w:p>
      </w:tc>
      <w:tc>
        <w:tcPr>
          <w:tcW w:w="4868" w:type="dxa"/>
        </w:tcPr>
        <w:p w14:paraId="05725BF0" w14:textId="77777777" w:rsidR="00A36F1E" w:rsidRDefault="00A36F1E">
          <w:pPr>
            <w:pStyle w:val="Footer"/>
            <w:jc w:val="right"/>
          </w:pPr>
          <w:r>
            <w:rPr>
              <w:noProof/>
            </w:rPr>
            <w:drawing>
              <wp:inline distT="0" distB="0" distL="0" distR="0" wp14:anchorId="65EBD5CF" wp14:editId="2376668E">
                <wp:extent cx="1166400" cy="730800"/>
                <wp:effectExtent l="0" t="0" r="0" b="0"/>
                <wp:docPr id="543859523" name="Graphic 543859523" descr="Independent Health and Aged Care Pricing Authorit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dependent Health and Aged Care Pricing Authority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166400" cy="730800"/>
                        </a:xfrm>
                        <a:prstGeom prst="rect">
                          <a:avLst/>
                        </a:prstGeom>
                      </pic:spPr>
                    </pic:pic>
                  </a:graphicData>
                </a:graphic>
              </wp:inline>
            </w:drawing>
          </w:r>
        </w:p>
      </w:tc>
    </w:tr>
  </w:tbl>
  <w:p w14:paraId="4B763E0B" w14:textId="77777777" w:rsidR="00A36F1E" w:rsidRDefault="00A36F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365AB" w14:textId="03714718" w:rsidR="00A36F1E" w:rsidRDefault="00A36F1E" w:rsidP="00E24D0E">
    <w:pPr>
      <w:pStyle w:val="Footer"/>
      <w:tabs>
        <w:tab w:val="clear" w:pos="4680"/>
        <w:tab w:val="clear" w:pos="9360"/>
        <w:tab w:val="center" w:pos="9498"/>
        <w:tab w:val="right" w:pos="9746"/>
      </w:tabs>
    </w:pPr>
    <w:r w:rsidRPr="00D20B03">
      <w:rPr>
        <w:b/>
        <w:bCs/>
      </w:rPr>
      <w:t>IHACPA</w:t>
    </w:r>
    <w:r>
      <w:t xml:space="preserve"> </w:t>
    </w:r>
    <w:r w:rsidR="000304F3">
      <w:t>National Hospital Cost Data Collection Public Sector Report 2022-23</w:t>
    </w:r>
    <w: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B0A7D" w14:textId="259F71A3" w:rsidR="0058147F" w:rsidRDefault="001F2735" w:rsidP="006778AE">
    <w:pPr>
      <w:pStyle w:val="Footer"/>
      <w:tabs>
        <w:tab w:val="clear" w:pos="4680"/>
        <w:tab w:val="clear" w:pos="9360"/>
        <w:tab w:val="center" w:pos="9498"/>
        <w:tab w:val="right" w:pos="9746"/>
      </w:tabs>
    </w:pPr>
    <w:r w:rsidRPr="00D20B03">
      <w:rPr>
        <w:b/>
        <w:bCs/>
      </w:rPr>
      <w:t>IHACPA</w:t>
    </w:r>
    <w:r>
      <w:t xml:space="preserve"> </w:t>
    </w:r>
    <w:r w:rsidR="00251BAD" w:rsidRPr="00251BAD">
      <w:t>National Hospital Cost Data Collection Public Sector Report 202</w:t>
    </w:r>
    <w:r w:rsidR="004F6C82">
      <w:t>2</w:t>
    </w:r>
    <w:r w:rsidR="00251BAD" w:rsidRPr="00251BAD">
      <w:t>-2</w:t>
    </w:r>
    <w:r w:rsidR="004F6C82">
      <w:t>3</w:t>
    </w:r>
    <w:r>
      <w:tab/>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7AFB" w14:textId="1E5687B0" w:rsidR="00F94F72" w:rsidRDefault="00F94F72" w:rsidP="006778AE">
    <w:pPr>
      <w:pStyle w:val="Footer"/>
      <w:tabs>
        <w:tab w:val="clear" w:pos="4680"/>
        <w:tab w:val="clear" w:pos="9360"/>
        <w:tab w:val="center" w:pos="9498"/>
        <w:tab w:val="right" w:pos="974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02B51" w14:textId="77777777" w:rsidR="00614A8E" w:rsidRDefault="00614A8E" w:rsidP="00DC0458">
      <w:pPr>
        <w:spacing w:after="0" w:line="240" w:lineRule="auto"/>
      </w:pPr>
      <w:r>
        <w:separator/>
      </w:r>
    </w:p>
    <w:p w14:paraId="165AA1BD" w14:textId="77777777" w:rsidR="00614A8E" w:rsidRDefault="00614A8E"/>
  </w:footnote>
  <w:footnote w:type="continuationSeparator" w:id="0">
    <w:p w14:paraId="2527A449" w14:textId="77777777" w:rsidR="00614A8E" w:rsidRDefault="00614A8E" w:rsidP="00DC0458">
      <w:pPr>
        <w:spacing w:after="0" w:line="240" w:lineRule="auto"/>
      </w:pPr>
      <w:r>
        <w:continuationSeparator/>
      </w:r>
    </w:p>
    <w:p w14:paraId="7CD647BA" w14:textId="77777777" w:rsidR="00614A8E" w:rsidRDefault="00614A8E"/>
  </w:footnote>
  <w:footnote w:type="continuationNotice" w:id="1">
    <w:p w14:paraId="3961A421" w14:textId="77777777" w:rsidR="00614A8E" w:rsidRDefault="00614A8E">
      <w:pPr>
        <w:spacing w:after="0" w:line="240" w:lineRule="auto"/>
      </w:pPr>
    </w:p>
    <w:p w14:paraId="71E25629" w14:textId="77777777" w:rsidR="00614A8E" w:rsidRDefault="00614A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B3CE" w14:textId="77777777" w:rsidR="00A36F1E" w:rsidRDefault="00A36F1E">
    <w:pPr>
      <w:pStyle w:val="Header"/>
    </w:pPr>
    <w:r>
      <w:rPr>
        <w:noProof/>
      </w:rPr>
      <w:drawing>
        <wp:anchor distT="0" distB="0" distL="114300" distR="114300" simplePos="0" relativeHeight="251657728" behindDoc="1" locked="0" layoutInCell="1" allowOverlap="1" wp14:anchorId="6748ED7C" wp14:editId="73CBA0FC">
          <wp:simplePos x="0" y="0"/>
          <wp:positionH relativeFrom="margin">
            <wp:posOffset>-685800</wp:posOffset>
          </wp:positionH>
          <wp:positionV relativeFrom="paragraph">
            <wp:posOffset>-451738</wp:posOffset>
          </wp:positionV>
          <wp:extent cx="7573925" cy="10712174"/>
          <wp:effectExtent l="0" t="0" r="8255" b="0"/>
          <wp:wrapNone/>
          <wp:docPr id="235793657" name="Picture 235793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1217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94F39" w14:textId="77A2EE6F" w:rsidR="00A36F1E" w:rsidRDefault="00A36F1E" w:rsidP="00D556D4">
    <w:pPr>
      <w:pStyle w:val="Header"/>
      <w:numPr>
        <w:ilvl w:val="0"/>
        <w:numId w:val="0"/>
      </w:numPr>
      <w:ind w:left="1080" w:hanging="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EA7B" w14:textId="5C699D7C" w:rsidR="00251BAD" w:rsidRDefault="00251BAD">
    <w:pPr>
      <w:pStyle w:val="Header"/>
    </w:pPr>
  </w:p>
  <w:p w14:paraId="23418441" w14:textId="77777777" w:rsidR="0058147F" w:rsidRDefault="0058147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2135B" w14:textId="60116CB7" w:rsidR="0058147F" w:rsidRDefault="0058147F" w:rsidP="006778AE">
    <w:pPr>
      <w:pStyle w:val="Header"/>
      <w:numPr>
        <w:ilvl w:val="0"/>
        <w:numId w:val="0"/>
      </w:num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2DE58" w14:textId="3751E922" w:rsidR="00251BAD" w:rsidRDefault="00251BA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E89BE" w14:textId="20C8C897" w:rsidR="00251BAD" w:rsidRDefault="00251B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18B15" w14:textId="51C41FB2" w:rsidR="00502A09" w:rsidRDefault="00502A09" w:rsidP="005D33AD">
    <w:pPr>
      <w:pStyle w:val="Header"/>
      <w:numPr>
        <w:ilvl w:val="0"/>
        <w:numId w:val="0"/>
      </w:numPr>
    </w:pPr>
    <w:r>
      <w:rPr>
        <w:noProof/>
      </w:rPr>
      <w:drawing>
        <wp:anchor distT="0" distB="0" distL="114300" distR="114300" simplePos="0" relativeHeight="251656704" behindDoc="1" locked="0" layoutInCell="1" allowOverlap="1" wp14:anchorId="6E5DA513" wp14:editId="4551A9E3">
          <wp:simplePos x="0" y="0"/>
          <wp:positionH relativeFrom="column">
            <wp:posOffset>-684722</wp:posOffset>
          </wp:positionH>
          <wp:positionV relativeFrom="paragraph">
            <wp:posOffset>-449580</wp:posOffset>
          </wp:positionV>
          <wp:extent cx="7565082" cy="10699668"/>
          <wp:effectExtent l="0" t="0" r="0" b="698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082"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75838" w14:textId="4B052E29" w:rsidR="00251BAD" w:rsidRDefault="00251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2A15"/>
    <w:multiLevelType w:val="hybridMultilevel"/>
    <w:tmpl w:val="CA5CA7E4"/>
    <w:lvl w:ilvl="0" w:tplc="FFFFFFFF">
      <w:numFmt w:val="bullet"/>
      <w:lvlText w:val="–"/>
      <w:lvlJc w:val="left"/>
      <w:pPr>
        <w:ind w:left="928" w:hanging="720"/>
      </w:pPr>
      <w:rPr>
        <w:rFonts w:ascii="Fira Sans regular" w:eastAsiaTheme="minorHAnsi" w:hAnsi="Fira Sans regular" w:cstheme="minorBidi" w:hint="default"/>
      </w:rPr>
    </w:lvl>
    <w:lvl w:ilvl="1" w:tplc="5E622CB2">
      <w:numFmt w:val="bullet"/>
      <w:lvlText w:val="–"/>
      <w:lvlJc w:val="left"/>
      <w:pPr>
        <w:ind w:left="1288" w:hanging="360"/>
      </w:pPr>
      <w:rPr>
        <w:rFonts w:ascii="Fira Sans regular" w:eastAsiaTheme="minorHAnsi" w:hAnsi="Fira Sans regular" w:cstheme="minorBidi" w:hint="default"/>
      </w:rPr>
    </w:lvl>
    <w:lvl w:ilvl="2" w:tplc="FFFFFFFF" w:tentative="1">
      <w:start w:val="1"/>
      <w:numFmt w:val="bullet"/>
      <w:lvlText w:val=""/>
      <w:lvlJc w:val="left"/>
      <w:pPr>
        <w:ind w:left="2008" w:hanging="360"/>
      </w:pPr>
      <w:rPr>
        <w:rFonts w:ascii="Wingdings" w:hAnsi="Wingdings" w:hint="default"/>
      </w:rPr>
    </w:lvl>
    <w:lvl w:ilvl="3" w:tplc="FFFFFFFF" w:tentative="1">
      <w:start w:val="1"/>
      <w:numFmt w:val="bullet"/>
      <w:lvlText w:val=""/>
      <w:lvlJc w:val="left"/>
      <w:pPr>
        <w:ind w:left="2728" w:hanging="360"/>
      </w:pPr>
      <w:rPr>
        <w:rFonts w:ascii="Symbol" w:hAnsi="Symbol" w:hint="default"/>
      </w:rPr>
    </w:lvl>
    <w:lvl w:ilvl="4" w:tplc="FFFFFFFF" w:tentative="1">
      <w:start w:val="1"/>
      <w:numFmt w:val="bullet"/>
      <w:lvlText w:val="o"/>
      <w:lvlJc w:val="left"/>
      <w:pPr>
        <w:ind w:left="3448" w:hanging="360"/>
      </w:pPr>
      <w:rPr>
        <w:rFonts w:ascii="Courier New" w:hAnsi="Courier New" w:cs="Courier New" w:hint="default"/>
      </w:rPr>
    </w:lvl>
    <w:lvl w:ilvl="5" w:tplc="FFFFFFFF" w:tentative="1">
      <w:start w:val="1"/>
      <w:numFmt w:val="bullet"/>
      <w:lvlText w:val=""/>
      <w:lvlJc w:val="left"/>
      <w:pPr>
        <w:ind w:left="4168" w:hanging="360"/>
      </w:pPr>
      <w:rPr>
        <w:rFonts w:ascii="Wingdings" w:hAnsi="Wingdings" w:hint="default"/>
      </w:rPr>
    </w:lvl>
    <w:lvl w:ilvl="6" w:tplc="FFFFFFFF" w:tentative="1">
      <w:start w:val="1"/>
      <w:numFmt w:val="bullet"/>
      <w:lvlText w:val=""/>
      <w:lvlJc w:val="left"/>
      <w:pPr>
        <w:ind w:left="4888" w:hanging="360"/>
      </w:pPr>
      <w:rPr>
        <w:rFonts w:ascii="Symbol" w:hAnsi="Symbol" w:hint="default"/>
      </w:rPr>
    </w:lvl>
    <w:lvl w:ilvl="7" w:tplc="FFFFFFFF" w:tentative="1">
      <w:start w:val="1"/>
      <w:numFmt w:val="bullet"/>
      <w:lvlText w:val="o"/>
      <w:lvlJc w:val="left"/>
      <w:pPr>
        <w:ind w:left="5608" w:hanging="360"/>
      </w:pPr>
      <w:rPr>
        <w:rFonts w:ascii="Courier New" w:hAnsi="Courier New" w:cs="Courier New" w:hint="default"/>
      </w:rPr>
    </w:lvl>
    <w:lvl w:ilvl="8" w:tplc="FFFFFFFF" w:tentative="1">
      <w:start w:val="1"/>
      <w:numFmt w:val="bullet"/>
      <w:lvlText w:val=""/>
      <w:lvlJc w:val="left"/>
      <w:pPr>
        <w:ind w:left="6328" w:hanging="360"/>
      </w:pPr>
      <w:rPr>
        <w:rFonts w:ascii="Wingdings" w:hAnsi="Wingdings" w:hint="default"/>
      </w:rPr>
    </w:lvl>
  </w:abstractNum>
  <w:abstractNum w:abstractNumId="1" w15:restartNumberingAfterBreak="0">
    <w:nsid w:val="004746B8"/>
    <w:multiLevelType w:val="hybridMultilevel"/>
    <w:tmpl w:val="9484F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3497D"/>
    <w:multiLevelType w:val="hybridMultilevel"/>
    <w:tmpl w:val="BA42ED8C"/>
    <w:lvl w:ilvl="0" w:tplc="EA3A3A22">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0943FC"/>
    <w:multiLevelType w:val="hybridMultilevel"/>
    <w:tmpl w:val="B992B0A6"/>
    <w:lvl w:ilvl="0" w:tplc="FFFFFFFF">
      <w:numFmt w:val="bullet"/>
      <w:lvlText w:val="–"/>
      <w:lvlJc w:val="left"/>
      <w:pPr>
        <w:ind w:left="720" w:hanging="360"/>
      </w:pPr>
      <w:rPr>
        <w:rFonts w:ascii="Fira Sans regular" w:eastAsiaTheme="minorHAnsi" w:hAnsi="Fira Sans regula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B15A88"/>
    <w:multiLevelType w:val="hybridMultilevel"/>
    <w:tmpl w:val="B42E0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356900"/>
    <w:multiLevelType w:val="hybridMultilevel"/>
    <w:tmpl w:val="1974CA4C"/>
    <w:lvl w:ilvl="0" w:tplc="FFFFFFFF">
      <w:numFmt w:val="bullet"/>
      <w:lvlText w:val="–"/>
      <w:lvlJc w:val="left"/>
      <w:pPr>
        <w:ind w:left="720" w:hanging="360"/>
      </w:pPr>
      <w:rPr>
        <w:rFonts w:ascii="Fira Sans regular" w:eastAsiaTheme="minorHAnsi" w:hAnsi="Fira Sans regular"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775C68"/>
    <w:multiLevelType w:val="hybridMultilevel"/>
    <w:tmpl w:val="C4E63D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D55225C"/>
    <w:multiLevelType w:val="hybridMultilevel"/>
    <w:tmpl w:val="96443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5A27E0"/>
    <w:multiLevelType w:val="hybridMultilevel"/>
    <w:tmpl w:val="CC6E3CBE"/>
    <w:lvl w:ilvl="0" w:tplc="AB6E4BD8">
      <w:start w:val="1"/>
      <w:numFmt w:val="bullet"/>
      <w:lvlText w:val="•"/>
      <w:lvlJc w:val="left"/>
      <w:pPr>
        <w:tabs>
          <w:tab w:val="num" w:pos="720"/>
        </w:tabs>
        <w:ind w:left="720" w:hanging="360"/>
      </w:pPr>
      <w:rPr>
        <w:rFonts w:ascii="Arial" w:hAnsi="Arial" w:hint="default"/>
      </w:rPr>
    </w:lvl>
    <w:lvl w:ilvl="1" w:tplc="185E1D04" w:tentative="1">
      <w:start w:val="1"/>
      <w:numFmt w:val="bullet"/>
      <w:lvlText w:val="•"/>
      <w:lvlJc w:val="left"/>
      <w:pPr>
        <w:tabs>
          <w:tab w:val="num" w:pos="1440"/>
        </w:tabs>
        <w:ind w:left="1440" w:hanging="360"/>
      </w:pPr>
      <w:rPr>
        <w:rFonts w:ascii="Arial" w:hAnsi="Arial" w:hint="default"/>
      </w:rPr>
    </w:lvl>
    <w:lvl w:ilvl="2" w:tplc="83F84274" w:tentative="1">
      <w:start w:val="1"/>
      <w:numFmt w:val="bullet"/>
      <w:lvlText w:val="•"/>
      <w:lvlJc w:val="left"/>
      <w:pPr>
        <w:tabs>
          <w:tab w:val="num" w:pos="2160"/>
        </w:tabs>
        <w:ind w:left="2160" w:hanging="360"/>
      </w:pPr>
      <w:rPr>
        <w:rFonts w:ascii="Arial" w:hAnsi="Arial" w:hint="default"/>
      </w:rPr>
    </w:lvl>
    <w:lvl w:ilvl="3" w:tplc="DA44E3F6" w:tentative="1">
      <w:start w:val="1"/>
      <w:numFmt w:val="bullet"/>
      <w:lvlText w:val="•"/>
      <w:lvlJc w:val="left"/>
      <w:pPr>
        <w:tabs>
          <w:tab w:val="num" w:pos="2880"/>
        </w:tabs>
        <w:ind w:left="2880" w:hanging="360"/>
      </w:pPr>
      <w:rPr>
        <w:rFonts w:ascii="Arial" w:hAnsi="Arial" w:hint="default"/>
      </w:rPr>
    </w:lvl>
    <w:lvl w:ilvl="4" w:tplc="DE9201E6" w:tentative="1">
      <w:start w:val="1"/>
      <w:numFmt w:val="bullet"/>
      <w:lvlText w:val="•"/>
      <w:lvlJc w:val="left"/>
      <w:pPr>
        <w:tabs>
          <w:tab w:val="num" w:pos="3600"/>
        </w:tabs>
        <w:ind w:left="3600" w:hanging="360"/>
      </w:pPr>
      <w:rPr>
        <w:rFonts w:ascii="Arial" w:hAnsi="Arial" w:hint="default"/>
      </w:rPr>
    </w:lvl>
    <w:lvl w:ilvl="5" w:tplc="2F3C7182" w:tentative="1">
      <w:start w:val="1"/>
      <w:numFmt w:val="bullet"/>
      <w:lvlText w:val="•"/>
      <w:lvlJc w:val="left"/>
      <w:pPr>
        <w:tabs>
          <w:tab w:val="num" w:pos="4320"/>
        </w:tabs>
        <w:ind w:left="4320" w:hanging="360"/>
      </w:pPr>
      <w:rPr>
        <w:rFonts w:ascii="Arial" w:hAnsi="Arial" w:hint="default"/>
      </w:rPr>
    </w:lvl>
    <w:lvl w:ilvl="6" w:tplc="219EF16E" w:tentative="1">
      <w:start w:val="1"/>
      <w:numFmt w:val="bullet"/>
      <w:lvlText w:val="•"/>
      <w:lvlJc w:val="left"/>
      <w:pPr>
        <w:tabs>
          <w:tab w:val="num" w:pos="5040"/>
        </w:tabs>
        <w:ind w:left="5040" w:hanging="360"/>
      </w:pPr>
      <w:rPr>
        <w:rFonts w:ascii="Arial" w:hAnsi="Arial" w:hint="default"/>
      </w:rPr>
    </w:lvl>
    <w:lvl w:ilvl="7" w:tplc="A82A074C" w:tentative="1">
      <w:start w:val="1"/>
      <w:numFmt w:val="bullet"/>
      <w:lvlText w:val="•"/>
      <w:lvlJc w:val="left"/>
      <w:pPr>
        <w:tabs>
          <w:tab w:val="num" w:pos="5760"/>
        </w:tabs>
        <w:ind w:left="5760" w:hanging="360"/>
      </w:pPr>
      <w:rPr>
        <w:rFonts w:ascii="Arial" w:hAnsi="Arial" w:hint="default"/>
      </w:rPr>
    </w:lvl>
    <w:lvl w:ilvl="8" w:tplc="5B9252F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DC062E"/>
    <w:multiLevelType w:val="hybridMultilevel"/>
    <w:tmpl w:val="7C46F0AE"/>
    <w:lvl w:ilvl="0" w:tplc="D9F40B28">
      <w:start w:val="1"/>
      <w:numFmt w:val="decimal"/>
      <w:lvlText w:val="%1."/>
      <w:lvlJc w:val="left"/>
      <w:pPr>
        <w:ind w:left="1440" w:hanging="360"/>
      </w:pPr>
    </w:lvl>
    <w:lvl w:ilvl="1" w:tplc="53D0ACB8">
      <w:start w:val="1"/>
      <w:numFmt w:val="decimal"/>
      <w:lvlText w:val="%2."/>
      <w:lvlJc w:val="left"/>
      <w:pPr>
        <w:ind w:left="1440" w:hanging="360"/>
      </w:pPr>
    </w:lvl>
    <w:lvl w:ilvl="2" w:tplc="8C10AB48">
      <w:start w:val="1"/>
      <w:numFmt w:val="decimal"/>
      <w:lvlText w:val="%3."/>
      <w:lvlJc w:val="left"/>
      <w:pPr>
        <w:ind w:left="1440" w:hanging="360"/>
      </w:pPr>
    </w:lvl>
    <w:lvl w:ilvl="3" w:tplc="69D0F168">
      <w:start w:val="1"/>
      <w:numFmt w:val="decimal"/>
      <w:lvlText w:val="%4."/>
      <w:lvlJc w:val="left"/>
      <w:pPr>
        <w:ind w:left="1440" w:hanging="360"/>
      </w:pPr>
    </w:lvl>
    <w:lvl w:ilvl="4" w:tplc="A888F96A">
      <w:start w:val="1"/>
      <w:numFmt w:val="decimal"/>
      <w:lvlText w:val="%5."/>
      <w:lvlJc w:val="left"/>
      <w:pPr>
        <w:ind w:left="1440" w:hanging="360"/>
      </w:pPr>
    </w:lvl>
    <w:lvl w:ilvl="5" w:tplc="191A7B04">
      <w:start w:val="1"/>
      <w:numFmt w:val="decimal"/>
      <w:lvlText w:val="%6."/>
      <w:lvlJc w:val="left"/>
      <w:pPr>
        <w:ind w:left="1440" w:hanging="360"/>
      </w:pPr>
    </w:lvl>
    <w:lvl w:ilvl="6" w:tplc="D804B3F2">
      <w:start w:val="1"/>
      <w:numFmt w:val="decimal"/>
      <w:lvlText w:val="%7."/>
      <w:lvlJc w:val="left"/>
      <w:pPr>
        <w:ind w:left="1440" w:hanging="360"/>
      </w:pPr>
    </w:lvl>
    <w:lvl w:ilvl="7" w:tplc="EE7EFC72">
      <w:start w:val="1"/>
      <w:numFmt w:val="decimal"/>
      <w:lvlText w:val="%8."/>
      <w:lvlJc w:val="left"/>
      <w:pPr>
        <w:ind w:left="1440" w:hanging="360"/>
      </w:pPr>
    </w:lvl>
    <w:lvl w:ilvl="8" w:tplc="24787ED8">
      <w:start w:val="1"/>
      <w:numFmt w:val="decimal"/>
      <w:lvlText w:val="%9."/>
      <w:lvlJc w:val="left"/>
      <w:pPr>
        <w:ind w:left="1440" w:hanging="360"/>
      </w:pPr>
    </w:lvl>
  </w:abstractNum>
  <w:abstractNum w:abstractNumId="10" w15:restartNumberingAfterBreak="0">
    <w:nsid w:val="14907CC0"/>
    <w:multiLevelType w:val="hybridMultilevel"/>
    <w:tmpl w:val="1B666F22"/>
    <w:lvl w:ilvl="0" w:tplc="9CA625C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6C729D"/>
    <w:multiLevelType w:val="hybridMultilevel"/>
    <w:tmpl w:val="64B6F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82271"/>
    <w:multiLevelType w:val="hybridMultilevel"/>
    <w:tmpl w:val="E13C4B66"/>
    <w:lvl w:ilvl="0" w:tplc="ED2C76FA">
      <w:start w:val="1"/>
      <w:numFmt w:val="bullet"/>
      <w:lvlText w:val=""/>
      <w:lvlJc w:val="left"/>
      <w:pPr>
        <w:ind w:left="1440" w:hanging="360"/>
      </w:pPr>
      <w:rPr>
        <w:rFonts w:ascii="Symbol" w:hAnsi="Symbol"/>
      </w:rPr>
    </w:lvl>
    <w:lvl w:ilvl="1" w:tplc="DE3C5EC2">
      <w:start w:val="1"/>
      <w:numFmt w:val="bullet"/>
      <w:lvlText w:val=""/>
      <w:lvlJc w:val="left"/>
      <w:pPr>
        <w:ind w:left="1440" w:hanging="360"/>
      </w:pPr>
      <w:rPr>
        <w:rFonts w:ascii="Symbol" w:hAnsi="Symbol"/>
      </w:rPr>
    </w:lvl>
    <w:lvl w:ilvl="2" w:tplc="C3BA6350">
      <w:start w:val="1"/>
      <w:numFmt w:val="bullet"/>
      <w:lvlText w:val=""/>
      <w:lvlJc w:val="left"/>
      <w:pPr>
        <w:ind w:left="1440" w:hanging="360"/>
      </w:pPr>
      <w:rPr>
        <w:rFonts w:ascii="Symbol" w:hAnsi="Symbol"/>
      </w:rPr>
    </w:lvl>
    <w:lvl w:ilvl="3" w:tplc="8F80A3CE">
      <w:start w:val="1"/>
      <w:numFmt w:val="bullet"/>
      <w:lvlText w:val=""/>
      <w:lvlJc w:val="left"/>
      <w:pPr>
        <w:ind w:left="1440" w:hanging="360"/>
      </w:pPr>
      <w:rPr>
        <w:rFonts w:ascii="Symbol" w:hAnsi="Symbol"/>
      </w:rPr>
    </w:lvl>
    <w:lvl w:ilvl="4" w:tplc="867E2A8C">
      <w:start w:val="1"/>
      <w:numFmt w:val="bullet"/>
      <w:lvlText w:val=""/>
      <w:lvlJc w:val="left"/>
      <w:pPr>
        <w:ind w:left="1440" w:hanging="360"/>
      </w:pPr>
      <w:rPr>
        <w:rFonts w:ascii="Symbol" w:hAnsi="Symbol"/>
      </w:rPr>
    </w:lvl>
    <w:lvl w:ilvl="5" w:tplc="9A563F3C">
      <w:start w:val="1"/>
      <w:numFmt w:val="bullet"/>
      <w:lvlText w:val=""/>
      <w:lvlJc w:val="left"/>
      <w:pPr>
        <w:ind w:left="1440" w:hanging="360"/>
      </w:pPr>
      <w:rPr>
        <w:rFonts w:ascii="Symbol" w:hAnsi="Symbol"/>
      </w:rPr>
    </w:lvl>
    <w:lvl w:ilvl="6" w:tplc="4AFE88A6">
      <w:start w:val="1"/>
      <w:numFmt w:val="bullet"/>
      <w:lvlText w:val=""/>
      <w:lvlJc w:val="left"/>
      <w:pPr>
        <w:ind w:left="1440" w:hanging="360"/>
      </w:pPr>
      <w:rPr>
        <w:rFonts w:ascii="Symbol" w:hAnsi="Symbol"/>
      </w:rPr>
    </w:lvl>
    <w:lvl w:ilvl="7" w:tplc="F244AC30">
      <w:start w:val="1"/>
      <w:numFmt w:val="bullet"/>
      <w:lvlText w:val=""/>
      <w:lvlJc w:val="left"/>
      <w:pPr>
        <w:ind w:left="1440" w:hanging="360"/>
      </w:pPr>
      <w:rPr>
        <w:rFonts w:ascii="Symbol" w:hAnsi="Symbol"/>
      </w:rPr>
    </w:lvl>
    <w:lvl w:ilvl="8" w:tplc="20A6E7F4">
      <w:start w:val="1"/>
      <w:numFmt w:val="bullet"/>
      <w:lvlText w:val=""/>
      <w:lvlJc w:val="left"/>
      <w:pPr>
        <w:ind w:left="1440" w:hanging="360"/>
      </w:pPr>
      <w:rPr>
        <w:rFonts w:ascii="Symbol" w:hAnsi="Symbol"/>
      </w:rPr>
    </w:lvl>
  </w:abstractNum>
  <w:abstractNum w:abstractNumId="13" w15:restartNumberingAfterBreak="0">
    <w:nsid w:val="1F750E58"/>
    <w:multiLevelType w:val="hybridMultilevel"/>
    <w:tmpl w:val="FE221D2A"/>
    <w:lvl w:ilvl="0" w:tplc="68A84FAC">
      <w:start w:val="1"/>
      <w:numFmt w:val="decimal"/>
      <w:lvlText w:val="%1"/>
      <w:lvlJc w:val="left"/>
      <w:pPr>
        <w:ind w:left="360" w:hanging="360"/>
      </w:pPr>
      <w:rPr>
        <w:rFonts w:ascii="Arial" w:eastAsiaTheme="minorHAnsi" w:hAnsi="Arial" w:cs="Arial"/>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0FE6337"/>
    <w:multiLevelType w:val="hybridMultilevel"/>
    <w:tmpl w:val="282A5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765072"/>
    <w:multiLevelType w:val="hybridMultilevel"/>
    <w:tmpl w:val="BE6A7D48"/>
    <w:lvl w:ilvl="0" w:tplc="9B1E6446">
      <w:start w:val="1"/>
      <w:numFmt w:val="bullet"/>
      <w:lvlText w:val=""/>
      <w:lvlJc w:val="left"/>
      <w:pPr>
        <w:ind w:left="2160" w:hanging="360"/>
      </w:pPr>
      <w:rPr>
        <w:rFonts w:ascii="Symbol" w:hAnsi="Symbol"/>
      </w:rPr>
    </w:lvl>
    <w:lvl w:ilvl="1" w:tplc="390292B2">
      <w:start w:val="1"/>
      <w:numFmt w:val="bullet"/>
      <w:lvlText w:val=""/>
      <w:lvlJc w:val="left"/>
      <w:pPr>
        <w:ind w:left="2160" w:hanging="360"/>
      </w:pPr>
      <w:rPr>
        <w:rFonts w:ascii="Symbol" w:hAnsi="Symbol"/>
      </w:rPr>
    </w:lvl>
    <w:lvl w:ilvl="2" w:tplc="406A8326">
      <w:start w:val="1"/>
      <w:numFmt w:val="bullet"/>
      <w:lvlText w:val=""/>
      <w:lvlJc w:val="left"/>
      <w:pPr>
        <w:ind w:left="2160" w:hanging="360"/>
      </w:pPr>
      <w:rPr>
        <w:rFonts w:ascii="Symbol" w:hAnsi="Symbol"/>
      </w:rPr>
    </w:lvl>
    <w:lvl w:ilvl="3" w:tplc="EC24DC5A">
      <w:start w:val="1"/>
      <w:numFmt w:val="bullet"/>
      <w:lvlText w:val=""/>
      <w:lvlJc w:val="left"/>
      <w:pPr>
        <w:ind w:left="2160" w:hanging="360"/>
      </w:pPr>
      <w:rPr>
        <w:rFonts w:ascii="Symbol" w:hAnsi="Symbol"/>
      </w:rPr>
    </w:lvl>
    <w:lvl w:ilvl="4" w:tplc="11EA7A66">
      <w:start w:val="1"/>
      <w:numFmt w:val="bullet"/>
      <w:lvlText w:val=""/>
      <w:lvlJc w:val="left"/>
      <w:pPr>
        <w:ind w:left="2160" w:hanging="360"/>
      </w:pPr>
      <w:rPr>
        <w:rFonts w:ascii="Symbol" w:hAnsi="Symbol"/>
      </w:rPr>
    </w:lvl>
    <w:lvl w:ilvl="5" w:tplc="3EE8B770">
      <w:start w:val="1"/>
      <w:numFmt w:val="bullet"/>
      <w:lvlText w:val=""/>
      <w:lvlJc w:val="left"/>
      <w:pPr>
        <w:ind w:left="2160" w:hanging="360"/>
      </w:pPr>
      <w:rPr>
        <w:rFonts w:ascii="Symbol" w:hAnsi="Symbol"/>
      </w:rPr>
    </w:lvl>
    <w:lvl w:ilvl="6" w:tplc="D728A9A6">
      <w:start w:val="1"/>
      <w:numFmt w:val="bullet"/>
      <w:lvlText w:val=""/>
      <w:lvlJc w:val="left"/>
      <w:pPr>
        <w:ind w:left="2160" w:hanging="360"/>
      </w:pPr>
      <w:rPr>
        <w:rFonts w:ascii="Symbol" w:hAnsi="Symbol"/>
      </w:rPr>
    </w:lvl>
    <w:lvl w:ilvl="7" w:tplc="F5986D48">
      <w:start w:val="1"/>
      <w:numFmt w:val="bullet"/>
      <w:lvlText w:val=""/>
      <w:lvlJc w:val="left"/>
      <w:pPr>
        <w:ind w:left="2160" w:hanging="360"/>
      </w:pPr>
      <w:rPr>
        <w:rFonts w:ascii="Symbol" w:hAnsi="Symbol"/>
      </w:rPr>
    </w:lvl>
    <w:lvl w:ilvl="8" w:tplc="C3726D88">
      <w:start w:val="1"/>
      <w:numFmt w:val="bullet"/>
      <w:lvlText w:val=""/>
      <w:lvlJc w:val="left"/>
      <w:pPr>
        <w:ind w:left="2160" w:hanging="360"/>
      </w:pPr>
      <w:rPr>
        <w:rFonts w:ascii="Symbol" w:hAnsi="Symbol"/>
      </w:rPr>
    </w:lvl>
  </w:abstractNum>
  <w:abstractNum w:abstractNumId="16" w15:restartNumberingAfterBreak="0">
    <w:nsid w:val="235C406A"/>
    <w:multiLevelType w:val="hybridMultilevel"/>
    <w:tmpl w:val="E3CEF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913E50"/>
    <w:multiLevelType w:val="hybridMultilevel"/>
    <w:tmpl w:val="359E7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77077F"/>
    <w:multiLevelType w:val="hybridMultilevel"/>
    <w:tmpl w:val="73D891E4"/>
    <w:lvl w:ilvl="0" w:tplc="5AB6879A">
      <w:start w:val="1"/>
      <w:numFmt w:val="bullet"/>
      <w:lvlText w:val="•"/>
      <w:lvlJc w:val="left"/>
      <w:pPr>
        <w:tabs>
          <w:tab w:val="num" w:pos="720"/>
        </w:tabs>
        <w:ind w:left="720" w:hanging="360"/>
      </w:pPr>
      <w:rPr>
        <w:rFonts w:ascii="Arial" w:hAnsi="Arial" w:hint="default"/>
      </w:rPr>
    </w:lvl>
    <w:lvl w:ilvl="1" w:tplc="9020A200" w:tentative="1">
      <w:start w:val="1"/>
      <w:numFmt w:val="bullet"/>
      <w:lvlText w:val="•"/>
      <w:lvlJc w:val="left"/>
      <w:pPr>
        <w:tabs>
          <w:tab w:val="num" w:pos="1440"/>
        </w:tabs>
        <w:ind w:left="1440" w:hanging="360"/>
      </w:pPr>
      <w:rPr>
        <w:rFonts w:ascii="Arial" w:hAnsi="Arial" w:hint="default"/>
      </w:rPr>
    </w:lvl>
    <w:lvl w:ilvl="2" w:tplc="4FCE2438" w:tentative="1">
      <w:start w:val="1"/>
      <w:numFmt w:val="bullet"/>
      <w:lvlText w:val="•"/>
      <w:lvlJc w:val="left"/>
      <w:pPr>
        <w:tabs>
          <w:tab w:val="num" w:pos="2160"/>
        </w:tabs>
        <w:ind w:left="2160" w:hanging="360"/>
      </w:pPr>
      <w:rPr>
        <w:rFonts w:ascii="Arial" w:hAnsi="Arial" w:hint="default"/>
      </w:rPr>
    </w:lvl>
    <w:lvl w:ilvl="3" w:tplc="D66A53CE" w:tentative="1">
      <w:start w:val="1"/>
      <w:numFmt w:val="bullet"/>
      <w:lvlText w:val="•"/>
      <w:lvlJc w:val="left"/>
      <w:pPr>
        <w:tabs>
          <w:tab w:val="num" w:pos="2880"/>
        </w:tabs>
        <w:ind w:left="2880" w:hanging="360"/>
      </w:pPr>
      <w:rPr>
        <w:rFonts w:ascii="Arial" w:hAnsi="Arial" w:hint="default"/>
      </w:rPr>
    </w:lvl>
    <w:lvl w:ilvl="4" w:tplc="90AA39F8" w:tentative="1">
      <w:start w:val="1"/>
      <w:numFmt w:val="bullet"/>
      <w:lvlText w:val="•"/>
      <w:lvlJc w:val="left"/>
      <w:pPr>
        <w:tabs>
          <w:tab w:val="num" w:pos="3600"/>
        </w:tabs>
        <w:ind w:left="3600" w:hanging="360"/>
      </w:pPr>
      <w:rPr>
        <w:rFonts w:ascii="Arial" w:hAnsi="Arial" w:hint="default"/>
      </w:rPr>
    </w:lvl>
    <w:lvl w:ilvl="5" w:tplc="5932432E" w:tentative="1">
      <w:start w:val="1"/>
      <w:numFmt w:val="bullet"/>
      <w:lvlText w:val="•"/>
      <w:lvlJc w:val="left"/>
      <w:pPr>
        <w:tabs>
          <w:tab w:val="num" w:pos="4320"/>
        </w:tabs>
        <w:ind w:left="4320" w:hanging="360"/>
      </w:pPr>
      <w:rPr>
        <w:rFonts w:ascii="Arial" w:hAnsi="Arial" w:hint="default"/>
      </w:rPr>
    </w:lvl>
    <w:lvl w:ilvl="6" w:tplc="BE4629E2" w:tentative="1">
      <w:start w:val="1"/>
      <w:numFmt w:val="bullet"/>
      <w:lvlText w:val="•"/>
      <w:lvlJc w:val="left"/>
      <w:pPr>
        <w:tabs>
          <w:tab w:val="num" w:pos="5040"/>
        </w:tabs>
        <w:ind w:left="5040" w:hanging="360"/>
      </w:pPr>
      <w:rPr>
        <w:rFonts w:ascii="Arial" w:hAnsi="Arial" w:hint="default"/>
      </w:rPr>
    </w:lvl>
    <w:lvl w:ilvl="7" w:tplc="0DDC1F5E" w:tentative="1">
      <w:start w:val="1"/>
      <w:numFmt w:val="bullet"/>
      <w:lvlText w:val="•"/>
      <w:lvlJc w:val="left"/>
      <w:pPr>
        <w:tabs>
          <w:tab w:val="num" w:pos="5760"/>
        </w:tabs>
        <w:ind w:left="5760" w:hanging="360"/>
      </w:pPr>
      <w:rPr>
        <w:rFonts w:ascii="Arial" w:hAnsi="Arial" w:hint="default"/>
      </w:rPr>
    </w:lvl>
    <w:lvl w:ilvl="8" w:tplc="E0D87CA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89643EA"/>
    <w:multiLevelType w:val="hybridMultilevel"/>
    <w:tmpl w:val="36F23992"/>
    <w:lvl w:ilvl="0" w:tplc="FFFFFFFF">
      <w:numFmt w:val="bullet"/>
      <w:lvlText w:val="–"/>
      <w:lvlJc w:val="left"/>
      <w:pPr>
        <w:ind w:left="720" w:hanging="360"/>
      </w:pPr>
      <w:rPr>
        <w:rFonts w:ascii="Fira Sans regular" w:eastAsiaTheme="minorHAnsi" w:hAnsi="Fira Sans regula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266314"/>
    <w:multiLevelType w:val="hybridMultilevel"/>
    <w:tmpl w:val="8DE4C9CA"/>
    <w:lvl w:ilvl="0" w:tplc="271E386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EA2A44"/>
    <w:multiLevelType w:val="hybridMultilevel"/>
    <w:tmpl w:val="59987902"/>
    <w:lvl w:ilvl="0" w:tplc="33721364">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A925486"/>
    <w:multiLevelType w:val="hybridMultilevel"/>
    <w:tmpl w:val="D9C4C1AE"/>
    <w:lvl w:ilvl="0" w:tplc="4EF0A476">
      <w:start w:val="1"/>
      <w:numFmt w:val="decimal"/>
      <w:lvlText w:val="%1"/>
      <w:lvlJc w:val="left"/>
      <w:pPr>
        <w:ind w:left="360" w:hanging="360"/>
      </w:pPr>
      <w:rPr>
        <w:rFonts w:ascii="Arial" w:eastAsiaTheme="minorHAnsi"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D1A68EE"/>
    <w:multiLevelType w:val="hybridMultilevel"/>
    <w:tmpl w:val="BF221AE2"/>
    <w:lvl w:ilvl="0" w:tplc="22602102">
      <w:start w:val="202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8A50E7"/>
    <w:multiLevelType w:val="hybridMultilevel"/>
    <w:tmpl w:val="B696124C"/>
    <w:lvl w:ilvl="0" w:tplc="4FE09E7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525125"/>
    <w:multiLevelType w:val="hybridMultilevel"/>
    <w:tmpl w:val="86DACE5E"/>
    <w:lvl w:ilvl="0" w:tplc="FFFFFFFF">
      <w:numFmt w:val="bullet"/>
      <w:lvlText w:val="–"/>
      <w:lvlJc w:val="left"/>
      <w:pPr>
        <w:ind w:left="360" w:hanging="360"/>
      </w:pPr>
      <w:rPr>
        <w:rFonts w:ascii="Fira Sans regular" w:eastAsiaTheme="minorHAnsi" w:hAnsi="Fira Sans regular"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80C7001"/>
    <w:multiLevelType w:val="hybridMultilevel"/>
    <w:tmpl w:val="8D92B16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8D04F02"/>
    <w:multiLevelType w:val="hybridMultilevel"/>
    <w:tmpl w:val="7F28C8DE"/>
    <w:lvl w:ilvl="0" w:tplc="93082726">
      <w:start w:val="1"/>
      <w:numFmt w:val="bullet"/>
      <w:lvlText w:val="•"/>
      <w:lvlJc w:val="left"/>
      <w:pPr>
        <w:tabs>
          <w:tab w:val="num" w:pos="720"/>
        </w:tabs>
        <w:ind w:left="720" w:hanging="360"/>
      </w:pPr>
      <w:rPr>
        <w:rFonts w:ascii="Arial" w:hAnsi="Arial" w:hint="default"/>
      </w:rPr>
    </w:lvl>
    <w:lvl w:ilvl="1" w:tplc="316EA936" w:tentative="1">
      <w:start w:val="1"/>
      <w:numFmt w:val="bullet"/>
      <w:lvlText w:val="•"/>
      <w:lvlJc w:val="left"/>
      <w:pPr>
        <w:tabs>
          <w:tab w:val="num" w:pos="1440"/>
        </w:tabs>
        <w:ind w:left="1440" w:hanging="360"/>
      </w:pPr>
      <w:rPr>
        <w:rFonts w:ascii="Arial" w:hAnsi="Arial" w:hint="default"/>
      </w:rPr>
    </w:lvl>
    <w:lvl w:ilvl="2" w:tplc="E87C9BF8" w:tentative="1">
      <w:start w:val="1"/>
      <w:numFmt w:val="bullet"/>
      <w:lvlText w:val="•"/>
      <w:lvlJc w:val="left"/>
      <w:pPr>
        <w:tabs>
          <w:tab w:val="num" w:pos="2160"/>
        </w:tabs>
        <w:ind w:left="2160" w:hanging="360"/>
      </w:pPr>
      <w:rPr>
        <w:rFonts w:ascii="Arial" w:hAnsi="Arial" w:hint="default"/>
      </w:rPr>
    </w:lvl>
    <w:lvl w:ilvl="3" w:tplc="21227716" w:tentative="1">
      <w:start w:val="1"/>
      <w:numFmt w:val="bullet"/>
      <w:lvlText w:val="•"/>
      <w:lvlJc w:val="left"/>
      <w:pPr>
        <w:tabs>
          <w:tab w:val="num" w:pos="2880"/>
        </w:tabs>
        <w:ind w:left="2880" w:hanging="360"/>
      </w:pPr>
      <w:rPr>
        <w:rFonts w:ascii="Arial" w:hAnsi="Arial" w:hint="default"/>
      </w:rPr>
    </w:lvl>
    <w:lvl w:ilvl="4" w:tplc="F3FCA5D8" w:tentative="1">
      <w:start w:val="1"/>
      <w:numFmt w:val="bullet"/>
      <w:lvlText w:val="•"/>
      <w:lvlJc w:val="left"/>
      <w:pPr>
        <w:tabs>
          <w:tab w:val="num" w:pos="3600"/>
        </w:tabs>
        <w:ind w:left="3600" w:hanging="360"/>
      </w:pPr>
      <w:rPr>
        <w:rFonts w:ascii="Arial" w:hAnsi="Arial" w:hint="default"/>
      </w:rPr>
    </w:lvl>
    <w:lvl w:ilvl="5" w:tplc="E4F29CA4" w:tentative="1">
      <w:start w:val="1"/>
      <w:numFmt w:val="bullet"/>
      <w:lvlText w:val="•"/>
      <w:lvlJc w:val="left"/>
      <w:pPr>
        <w:tabs>
          <w:tab w:val="num" w:pos="4320"/>
        </w:tabs>
        <w:ind w:left="4320" w:hanging="360"/>
      </w:pPr>
      <w:rPr>
        <w:rFonts w:ascii="Arial" w:hAnsi="Arial" w:hint="default"/>
      </w:rPr>
    </w:lvl>
    <w:lvl w:ilvl="6" w:tplc="E09070C6" w:tentative="1">
      <w:start w:val="1"/>
      <w:numFmt w:val="bullet"/>
      <w:lvlText w:val="•"/>
      <w:lvlJc w:val="left"/>
      <w:pPr>
        <w:tabs>
          <w:tab w:val="num" w:pos="5040"/>
        </w:tabs>
        <w:ind w:left="5040" w:hanging="360"/>
      </w:pPr>
      <w:rPr>
        <w:rFonts w:ascii="Arial" w:hAnsi="Arial" w:hint="default"/>
      </w:rPr>
    </w:lvl>
    <w:lvl w:ilvl="7" w:tplc="C6D0D4EE" w:tentative="1">
      <w:start w:val="1"/>
      <w:numFmt w:val="bullet"/>
      <w:lvlText w:val="•"/>
      <w:lvlJc w:val="left"/>
      <w:pPr>
        <w:tabs>
          <w:tab w:val="num" w:pos="5760"/>
        </w:tabs>
        <w:ind w:left="5760" w:hanging="360"/>
      </w:pPr>
      <w:rPr>
        <w:rFonts w:ascii="Arial" w:hAnsi="Arial" w:hint="default"/>
      </w:rPr>
    </w:lvl>
    <w:lvl w:ilvl="8" w:tplc="4792072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8D44C09"/>
    <w:multiLevelType w:val="hybridMultilevel"/>
    <w:tmpl w:val="7652B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8FD0885"/>
    <w:multiLevelType w:val="hybridMultilevel"/>
    <w:tmpl w:val="00C85DCA"/>
    <w:lvl w:ilvl="0" w:tplc="A484DBC0">
      <w:start w:val="1"/>
      <w:numFmt w:val="bullet"/>
      <w:lvlText w:val="•"/>
      <w:lvlJc w:val="left"/>
      <w:pPr>
        <w:tabs>
          <w:tab w:val="num" w:pos="720"/>
        </w:tabs>
        <w:ind w:left="720" w:hanging="360"/>
      </w:pPr>
      <w:rPr>
        <w:rFonts w:ascii="Arial" w:hAnsi="Arial" w:hint="default"/>
      </w:rPr>
    </w:lvl>
    <w:lvl w:ilvl="1" w:tplc="0D688D7C" w:tentative="1">
      <w:start w:val="1"/>
      <w:numFmt w:val="bullet"/>
      <w:lvlText w:val="•"/>
      <w:lvlJc w:val="left"/>
      <w:pPr>
        <w:tabs>
          <w:tab w:val="num" w:pos="1440"/>
        </w:tabs>
        <w:ind w:left="1440" w:hanging="360"/>
      </w:pPr>
      <w:rPr>
        <w:rFonts w:ascii="Arial" w:hAnsi="Arial" w:hint="default"/>
      </w:rPr>
    </w:lvl>
    <w:lvl w:ilvl="2" w:tplc="38D234F6" w:tentative="1">
      <w:start w:val="1"/>
      <w:numFmt w:val="bullet"/>
      <w:lvlText w:val="•"/>
      <w:lvlJc w:val="left"/>
      <w:pPr>
        <w:tabs>
          <w:tab w:val="num" w:pos="2160"/>
        </w:tabs>
        <w:ind w:left="2160" w:hanging="360"/>
      </w:pPr>
      <w:rPr>
        <w:rFonts w:ascii="Arial" w:hAnsi="Arial" w:hint="default"/>
      </w:rPr>
    </w:lvl>
    <w:lvl w:ilvl="3" w:tplc="4678C07E" w:tentative="1">
      <w:start w:val="1"/>
      <w:numFmt w:val="bullet"/>
      <w:lvlText w:val="•"/>
      <w:lvlJc w:val="left"/>
      <w:pPr>
        <w:tabs>
          <w:tab w:val="num" w:pos="2880"/>
        </w:tabs>
        <w:ind w:left="2880" w:hanging="360"/>
      </w:pPr>
      <w:rPr>
        <w:rFonts w:ascii="Arial" w:hAnsi="Arial" w:hint="default"/>
      </w:rPr>
    </w:lvl>
    <w:lvl w:ilvl="4" w:tplc="49D498BE" w:tentative="1">
      <w:start w:val="1"/>
      <w:numFmt w:val="bullet"/>
      <w:lvlText w:val="•"/>
      <w:lvlJc w:val="left"/>
      <w:pPr>
        <w:tabs>
          <w:tab w:val="num" w:pos="3600"/>
        </w:tabs>
        <w:ind w:left="3600" w:hanging="360"/>
      </w:pPr>
      <w:rPr>
        <w:rFonts w:ascii="Arial" w:hAnsi="Arial" w:hint="default"/>
      </w:rPr>
    </w:lvl>
    <w:lvl w:ilvl="5" w:tplc="4C18A4AE" w:tentative="1">
      <w:start w:val="1"/>
      <w:numFmt w:val="bullet"/>
      <w:lvlText w:val="•"/>
      <w:lvlJc w:val="left"/>
      <w:pPr>
        <w:tabs>
          <w:tab w:val="num" w:pos="4320"/>
        </w:tabs>
        <w:ind w:left="4320" w:hanging="360"/>
      </w:pPr>
      <w:rPr>
        <w:rFonts w:ascii="Arial" w:hAnsi="Arial" w:hint="default"/>
      </w:rPr>
    </w:lvl>
    <w:lvl w:ilvl="6" w:tplc="241A6CD8" w:tentative="1">
      <w:start w:val="1"/>
      <w:numFmt w:val="bullet"/>
      <w:lvlText w:val="•"/>
      <w:lvlJc w:val="left"/>
      <w:pPr>
        <w:tabs>
          <w:tab w:val="num" w:pos="5040"/>
        </w:tabs>
        <w:ind w:left="5040" w:hanging="360"/>
      </w:pPr>
      <w:rPr>
        <w:rFonts w:ascii="Arial" w:hAnsi="Arial" w:hint="default"/>
      </w:rPr>
    </w:lvl>
    <w:lvl w:ilvl="7" w:tplc="26225832" w:tentative="1">
      <w:start w:val="1"/>
      <w:numFmt w:val="bullet"/>
      <w:lvlText w:val="•"/>
      <w:lvlJc w:val="left"/>
      <w:pPr>
        <w:tabs>
          <w:tab w:val="num" w:pos="5760"/>
        </w:tabs>
        <w:ind w:left="5760" w:hanging="360"/>
      </w:pPr>
      <w:rPr>
        <w:rFonts w:ascii="Arial" w:hAnsi="Arial" w:hint="default"/>
      </w:rPr>
    </w:lvl>
    <w:lvl w:ilvl="8" w:tplc="FC4A2F6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9983834"/>
    <w:multiLevelType w:val="hybridMultilevel"/>
    <w:tmpl w:val="29E8077A"/>
    <w:lvl w:ilvl="0" w:tplc="EB3E590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E47EAC"/>
    <w:multiLevelType w:val="hybridMultilevel"/>
    <w:tmpl w:val="CE2E5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E8829C1"/>
    <w:multiLevelType w:val="hybridMultilevel"/>
    <w:tmpl w:val="F1FE21D2"/>
    <w:lvl w:ilvl="0" w:tplc="FFFFFFFF">
      <w:numFmt w:val="bullet"/>
      <w:lvlText w:val="–"/>
      <w:lvlJc w:val="left"/>
      <w:pPr>
        <w:ind w:left="720" w:hanging="360"/>
      </w:pPr>
      <w:rPr>
        <w:rFonts w:ascii="Fira Sans regular" w:eastAsiaTheme="minorHAnsi" w:hAnsi="Fira Sans regula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FAF5718"/>
    <w:multiLevelType w:val="hybridMultilevel"/>
    <w:tmpl w:val="2A10F8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06778F6"/>
    <w:multiLevelType w:val="hybridMultilevel"/>
    <w:tmpl w:val="A71A3D2A"/>
    <w:lvl w:ilvl="0" w:tplc="C64623CA">
      <w:start w:val="1"/>
      <w:numFmt w:val="bullet"/>
      <w:lvlText w:val=""/>
      <w:lvlJc w:val="left"/>
      <w:pPr>
        <w:ind w:left="1440" w:hanging="360"/>
      </w:pPr>
      <w:rPr>
        <w:rFonts w:ascii="Symbol" w:hAnsi="Symbol"/>
      </w:rPr>
    </w:lvl>
    <w:lvl w:ilvl="1" w:tplc="71E01AD2">
      <w:start w:val="1"/>
      <w:numFmt w:val="bullet"/>
      <w:lvlText w:val=""/>
      <w:lvlJc w:val="left"/>
      <w:pPr>
        <w:ind w:left="1440" w:hanging="360"/>
      </w:pPr>
      <w:rPr>
        <w:rFonts w:ascii="Symbol" w:hAnsi="Symbol"/>
      </w:rPr>
    </w:lvl>
    <w:lvl w:ilvl="2" w:tplc="2E280C7E">
      <w:start w:val="1"/>
      <w:numFmt w:val="bullet"/>
      <w:lvlText w:val=""/>
      <w:lvlJc w:val="left"/>
      <w:pPr>
        <w:ind w:left="1440" w:hanging="360"/>
      </w:pPr>
      <w:rPr>
        <w:rFonts w:ascii="Symbol" w:hAnsi="Symbol"/>
      </w:rPr>
    </w:lvl>
    <w:lvl w:ilvl="3" w:tplc="88C46AF0">
      <w:start w:val="1"/>
      <w:numFmt w:val="bullet"/>
      <w:lvlText w:val=""/>
      <w:lvlJc w:val="left"/>
      <w:pPr>
        <w:ind w:left="1440" w:hanging="360"/>
      </w:pPr>
      <w:rPr>
        <w:rFonts w:ascii="Symbol" w:hAnsi="Symbol"/>
      </w:rPr>
    </w:lvl>
    <w:lvl w:ilvl="4" w:tplc="0C2067DE">
      <w:start w:val="1"/>
      <w:numFmt w:val="bullet"/>
      <w:lvlText w:val=""/>
      <w:lvlJc w:val="left"/>
      <w:pPr>
        <w:ind w:left="1440" w:hanging="360"/>
      </w:pPr>
      <w:rPr>
        <w:rFonts w:ascii="Symbol" w:hAnsi="Symbol"/>
      </w:rPr>
    </w:lvl>
    <w:lvl w:ilvl="5" w:tplc="0CAC8A16">
      <w:start w:val="1"/>
      <w:numFmt w:val="bullet"/>
      <w:lvlText w:val=""/>
      <w:lvlJc w:val="left"/>
      <w:pPr>
        <w:ind w:left="1440" w:hanging="360"/>
      </w:pPr>
      <w:rPr>
        <w:rFonts w:ascii="Symbol" w:hAnsi="Symbol"/>
      </w:rPr>
    </w:lvl>
    <w:lvl w:ilvl="6" w:tplc="1488E918">
      <w:start w:val="1"/>
      <w:numFmt w:val="bullet"/>
      <w:lvlText w:val=""/>
      <w:lvlJc w:val="left"/>
      <w:pPr>
        <w:ind w:left="1440" w:hanging="360"/>
      </w:pPr>
      <w:rPr>
        <w:rFonts w:ascii="Symbol" w:hAnsi="Symbol"/>
      </w:rPr>
    </w:lvl>
    <w:lvl w:ilvl="7" w:tplc="DFCC38C2">
      <w:start w:val="1"/>
      <w:numFmt w:val="bullet"/>
      <w:lvlText w:val=""/>
      <w:lvlJc w:val="left"/>
      <w:pPr>
        <w:ind w:left="1440" w:hanging="360"/>
      </w:pPr>
      <w:rPr>
        <w:rFonts w:ascii="Symbol" w:hAnsi="Symbol"/>
      </w:rPr>
    </w:lvl>
    <w:lvl w:ilvl="8" w:tplc="CA2C9198">
      <w:start w:val="1"/>
      <w:numFmt w:val="bullet"/>
      <w:lvlText w:val=""/>
      <w:lvlJc w:val="left"/>
      <w:pPr>
        <w:ind w:left="1440" w:hanging="360"/>
      </w:pPr>
      <w:rPr>
        <w:rFonts w:ascii="Symbol" w:hAnsi="Symbol"/>
      </w:rPr>
    </w:lvl>
  </w:abstractNum>
  <w:abstractNum w:abstractNumId="35" w15:restartNumberingAfterBreak="0">
    <w:nsid w:val="41CC684A"/>
    <w:multiLevelType w:val="hybridMultilevel"/>
    <w:tmpl w:val="83ACC11A"/>
    <w:lvl w:ilvl="0" w:tplc="2DFEF62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7AE1ABE"/>
    <w:multiLevelType w:val="hybridMultilevel"/>
    <w:tmpl w:val="52FE714A"/>
    <w:lvl w:ilvl="0" w:tplc="7EF88A9C">
      <w:start w:val="1"/>
      <w:numFmt w:val="bullet"/>
      <w:lvlText w:val="•"/>
      <w:lvlJc w:val="left"/>
      <w:pPr>
        <w:tabs>
          <w:tab w:val="num" w:pos="720"/>
        </w:tabs>
        <w:ind w:left="720" w:hanging="360"/>
      </w:pPr>
      <w:rPr>
        <w:rFonts w:ascii="Arial" w:hAnsi="Arial" w:hint="default"/>
      </w:rPr>
    </w:lvl>
    <w:lvl w:ilvl="1" w:tplc="E81C297E" w:tentative="1">
      <w:start w:val="1"/>
      <w:numFmt w:val="bullet"/>
      <w:lvlText w:val="•"/>
      <w:lvlJc w:val="left"/>
      <w:pPr>
        <w:tabs>
          <w:tab w:val="num" w:pos="1440"/>
        </w:tabs>
        <w:ind w:left="1440" w:hanging="360"/>
      </w:pPr>
      <w:rPr>
        <w:rFonts w:ascii="Arial" w:hAnsi="Arial" w:hint="default"/>
      </w:rPr>
    </w:lvl>
    <w:lvl w:ilvl="2" w:tplc="462A0FAA" w:tentative="1">
      <w:start w:val="1"/>
      <w:numFmt w:val="bullet"/>
      <w:lvlText w:val="•"/>
      <w:lvlJc w:val="left"/>
      <w:pPr>
        <w:tabs>
          <w:tab w:val="num" w:pos="2160"/>
        </w:tabs>
        <w:ind w:left="2160" w:hanging="360"/>
      </w:pPr>
      <w:rPr>
        <w:rFonts w:ascii="Arial" w:hAnsi="Arial" w:hint="default"/>
      </w:rPr>
    </w:lvl>
    <w:lvl w:ilvl="3" w:tplc="6212E84C" w:tentative="1">
      <w:start w:val="1"/>
      <w:numFmt w:val="bullet"/>
      <w:lvlText w:val="•"/>
      <w:lvlJc w:val="left"/>
      <w:pPr>
        <w:tabs>
          <w:tab w:val="num" w:pos="2880"/>
        </w:tabs>
        <w:ind w:left="2880" w:hanging="360"/>
      </w:pPr>
      <w:rPr>
        <w:rFonts w:ascii="Arial" w:hAnsi="Arial" w:hint="default"/>
      </w:rPr>
    </w:lvl>
    <w:lvl w:ilvl="4" w:tplc="5874E9A8" w:tentative="1">
      <w:start w:val="1"/>
      <w:numFmt w:val="bullet"/>
      <w:lvlText w:val="•"/>
      <w:lvlJc w:val="left"/>
      <w:pPr>
        <w:tabs>
          <w:tab w:val="num" w:pos="3600"/>
        </w:tabs>
        <w:ind w:left="3600" w:hanging="360"/>
      </w:pPr>
      <w:rPr>
        <w:rFonts w:ascii="Arial" w:hAnsi="Arial" w:hint="default"/>
      </w:rPr>
    </w:lvl>
    <w:lvl w:ilvl="5" w:tplc="641ABE5E" w:tentative="1">
      <w:start w:val="1"/>
      <w:numFmt w:val="bullet"/>
      <w:lvlText w:val="•"/>
      <w:lvlJc w:val="left"/>
      <w:pPr>
        <w:tabs>
          <w:tab w:val="num" w:pos="4320"/>
        </w:tabs>
        <w:ind w:left="4320" w:hanging="360"/>
      </w:pPr>
      <w:rPr>
        <w:rFonts w:ascii="Arial" w:hAnsi="Arial" w:hint="default"/>
      </w:rPr>
    </w:lvl>
    <w:lvl w:ilvl="6" w:tplc="C908D768" w:tentative="1">
      <w:start w:val="1"/>
      <w:numFmt w:val="bullet"/>
      <w:lvlText w:val="•"/>
      <w:lvlJc w:val="left"/>
      <w:pPr>
        <w:tabs>
          <w:tab w:val="num" w:pos="5040"/>
        </w:tabs>
        <w:ind w:left="5040" w:hanging="360"/>
      </w:pPr>
      <w:rPr>
        <w:rFonts w:ascii="Arial" w:hAnsi="Arial" w:hint="default"/>
      </w:rPr>
    </w:lvl>
    <w:lvl w:ilvl="7" w:tplc="739467DA" w:tentative="1">
      <w:start w:val="1"/>
      <w:numFmt w:val="bullet"/>
      <w:lvlText w:val="•"/>
      <w:lvlJc w:val="left"/>
      <w:pPr>
        <w:tabs>
          <w:tab w:val="num" w:pos="5760"/>
        </w:tabs>
        <w:ind w:left="5760" w:hanging="360"/>
      </w:pPr>
      <w:rPr>
        <w:rFonts w:ascii="Arial" w:hAnsi="Arial" w:hint="default"/>
      </w:rPr>
    </w:lvl>
    <w:lvl w:ilvl="8" w:tplc="A5C4D18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8D00BA4"/>
    <w:multiLevelType w:val="hybridMultilevel"/>
    <w:tmpl w:val="797851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4B1B0811"/>
    <w:multiLevelType w:val="hybridMultilevel"/>
    <w:tmpl w:val="56044304"/>
    <w:lvl w:ilvl="0" w:tplc="6F20974A">
      <w:start w:val="2020"/>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4BB237DB"/>
    <w:multiLevelType w:val="hybridMultilevel"/>
    <w:tmpl w:val="213A1E22"/>
    <w:lvl w:ilvl="0" w:tplc="FFFFFFFF">
      <w:numFmt w:val="bullet"/>
      <w:lvlText w:val="–"/>
      <w:lvlJc w:val="left"/>
      <w:pPr>
        <w:ind w:left="720" w:hanging="360"/>
      </w:pPr>
      <w:rPr>
        <w:rFonts w:ascii="Fira Sans regular" w:eastAsiaTheme="minorHAnsi" w:hAnsi="Fira Sans regular"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D7F4591"/>
    <w:multiLevelType w:val="hybridMultilevel"/>
    <w:tmpl w:val="E806E546"/>
    <w:lvl w:ilvl="0" w:tplc="9EFA7C32">
      <w:start w:val="1"/>
      <w:numFmt w:val="decimal"/>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F484989"/>
    <w:multiLevelType w:val="hybridMultilevel"/>
    <w:tmpl w:val="16669AEA"/>
    <w:lvl w:ilvl="0" w:tplc="FFFFFFFF">
      <w:numFmt w:val="bullet"/>
      <w:lvlText w:val="–"/>
      <w:lvlJc w:val="left"/>
      <w:pPr>
        <w:ind w:left="360" w:hanging="360"/>
      </w:pPr>
      <w:rPr>
        <w:rFonts w:ascii="Fira Sans regular" w:eastAsiaTheme="minorHAnsi" w:hAnsi="Fira Sans regular"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FC746AC"/>
    <w:multiLevelType w:val="hybridMultilevel"/>
    <w:tmpl w:val="FE023CC0"/>
    <w:lvl w:ilvl="0" w:tplc="07EADA0C">
      <w:start w:val="1"/>
      <w:numFmt w:val="bullet"/>
      <w:lvlText w:val="•"/>
      <w:lvlJc w:val="left"/>
      <w:pPr>
        <w:tabs>
          <w:tab w:val="num" w:pos="720"/>
        </w:tabs>
        <w:ind w:left="720" w:hanging="360"/>
      </w:pPr>
      <w:rPr>
        <w:rFonts w:ascii="Arial" w:hAnsi="Arial" w:hint="default"/>
      </w:rPr>
    </w:lvl>
    <w:lvl w:ilvl="1" w:tplc="82EAB008" w:tentative="1">
      <w:start w:val="1"/>
      <w:numFmt w:val="bullet"/>
      <w:lvlText w:val="•"/>
      <w:lvlJc w:val="left"/>
      <w:pPr>
        <w:tabs>
          <w:tab w:val="num" w:pos="1440"/>
        </w:tabs>
        <w:ind w:left="1440" w:hanging="360"/>
      </w:pPr>
      <w:rPr>
        <w:rFonts w:ascii="Arial" w:hAnsi="Arial" w:hint="default"/>
      </w:rPr>
    </w:lvl>
    <w:lvl w:ilvl="2" w:tplc="D4B6F374" w:tentative="1">
      <w:start w:val="1"/>
      <w:numFmt w:val="bullet"/>
      <w:lvlText w:val="•"/>
      <w:lvlJc w:val="left"/>
      <w:pPr>
        <w:tabs>
          <w:tab w:val="num" w:pos="2160"/>
        </w:tabs>
        <w:ind w:left="2160" w:hanging="360"/>
      </w:pPr>
      <w:rPr>
        <w:rFonts w:ascii="Arial" w:hAnsi="Arial" w:hint="default"/>
      </w:rPr>
    </w:lvl>
    <w:lvl w:ilvl="3" w:tplc="3E0A790E" w:tentative="1">
      <w:start w:val="1"/>
      <w:numFmt w:val="bullet"/>
      <w:lvlText w:val="•"/>
      <w:lvlJc w:val="left"/>
      <w:pPr>
        <w:tabs>
          <w:tab w:val="num" w:pos="2880"/>
        </w:tabs>
        <w:ind w:left="2880" w:hanging="360"/>
      </w:pPr>
      <w:rPr>
        <w:rFonts w:ascii="Arial" w:hAnsi="Arial" w:hint="default"/>
      </w:rPr>
    </w:lvl>
    <w:lvl w:ilvl="4" w:tplc="AE243BFA" w:tentative="1">
      <w:start w:val="1"/>
      <w:numFmt w:val="bullet"/>
      <w:lvlText w:val="•"/>
      <w:lvlJc w:val="left"/>
      <w:pPr>
        <w:tabs>
          <w:tab w:val="num" w:pos="3600"/>
        </w:tabs>
        <w:ind w:left="3600" w:hanging="360"/>
      </w:pPr>
      <w:rPr>
        <w:rFonts w:ascii="Arial" w:hAnsi="Arial" w:hint="default"/>
      </w:rPr>
    </w:lvl>
    <w:lvl w:ilvl="5" w:tplc="399A3F6C" w:tentative="1">
      <w:start w:val="1"/>
      <w:numFmt w:val="bullet"/>
      <w:lvlText w:val="•"/>
      <w:lvlJc w:val="left"/>
      <w:pPr>
        <w:tabs>
          <w:tab w:val="num" w:pos="4320"/>
        </w:tabs>
        <w:ind w:left="4320" w:hanging="360"/>
      </w:pPr>
      <w:rPr>
        <w:rFonts w:ascii="Arial" w:hAnsi="Arial" w:hint="default"/>
      </w:rPr>
    </w:lvl>
    <w:lvl w:ilvl="6" w:tplc="93C8CC8C" w:tentative="1">
      <w:start w:val="1"/>
      <w:numFmt w:val="bullet"/>
      <w:lvlText w:val="•"/>
      <w:lvlJc w:val="left"/>
      <w:pPr>
        <w:tabs>
          <w:tab w:val="num" w:pos="5040"/>
        </w:tabs>
        <w:ind w:left="5040" w:hanging="360"/>
      </w:pPr>
      <w:rPr>
        <w:rFonts w:ascii="Arial" w:hAnsi="Arial" w:hint="default"/>
      </w:rPr>
    </w:lvl>
    <w:lvl w:ilvl="7" w:tplc="9EEE9C00" w:tentative="1">
      <w:start w:val="1"/>
      <w:numFmt w:val="bullet"/>
      <w:lvlText w:val="•"/>
      <w:lvlJc w:val="left"/>
      <w:pPr>
        <w:tabs>
          <w:tab w:val="num" w:pos="5760"/>
        </w:tabs>
        <w:ind w:left="5760" w:hanging="360"/>
      </w:pPr>
      <w:rPr>
        <w:rFonts w:ascii="Arial" w:hAnsi="Arial" w:hint="default"/>
      </w:rPr>
    </w:lvl>
    <w:lvl w:ilvl="8" w:tplc="28E8D1C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44A5030"/>
    <w:multiLevelType w:val="hybridMultilevel"/>
    <w:tmpl w:val="A4B428F8"/>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pStyle w:val="Header"/>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4" w15:restartNumberingAfterBreak="0">
    <w:nsid w:val="5BEF3970"/>
    <w:multiLevelType w:val="hybridMultilevel"/>
    <w:tmpl w:val="12907108"/>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5BC2F35"/>
    <w:multiLevelType w:val="hybridMultilevel"/>
    <w:tmpl w:val="A18E51AA"/>
    <w:lvl w:ilvl="0" w:tplc="FFFFFFFF">
      <w:numFmt w:val="bullet"/>
      <w:lvlText w:val="–"/>
      <w:lvlJc w:val="left"/>
      <w:pPr>
        <w:ind w:left="720" w:hanging="360"/>
      </w:pPr>
      <w:rPr>
        <w:rFonts w:ascii="Fira Sans regular" w:eastAsiaTheme="minorHAnsi" w:hAnsi="Fira Sans regula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8752E60"/>
    <w:multiLevelType w:val="hybridMultilevel"/>
    <w:tmpl w:val="7B32B0CE"/>
    <w:lvl w:ilvl="0" w:tplc="6F20974A">
      <w:start w:val="20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8F956E8"/>
    <w:multiLevelType w:val="hybridMultilevel"/>
    <w:tmpl w:val="8B167168"/>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8" w15:restartNumberingAfterBreak="0">
    <w:nsid w:val="717C6B39"/>
    <w:multiLevelType w:val="hybridMultilevel"/>
    <w:tmpl w:val="57BE9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1AE674E"/>
    <w:multiLevelType w:val="hybridMultilevel"/>
    <w:tmpl w:val="98161D06"/>
    <w:lvl w:ilvl="0" w:tplc="0C09000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0" w15:restartNumberingAfterBreak="0">
    <w:nsid w:val="785767DE"/>
    <w:multiLevelType w:val="hybridMultilevel"/>
    <w:tmpl w:val="8C983BC4"/>
    <w:lvl w:ilvl="0" w:tplc="63CE339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A364300"/>
    <w:multiLevelType w:val="hybridMultilevel"/>
    <w:tmpl w:val="15E451C8"/>
    <w:lvl w:ilvl="0" w:tplc="72F48DDE">
      <w:start w:val="2020"/>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7DEC0F3A"/>
    <w:multiLevelType w:val="hybridMultilevel"/>
    <w:tmpl w:val="149C2AE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ED34497"/>
    <w:multiLevelType w:val="hybridMultilevel"/>
    <w:tmpl w:val="2F7AAF9E"/>
    <w:lvl w:ilvl="0" w:tplc="C016BDA4">
      <w:start w:val="1"/>
      <w:numFmt w:val="bullet"/>
      <w:lvlText w:val=""/>
      <w:lvlJc w:val="left"/>
      <w:pPr>
        <w:ind w:left="1440" w:hanging="360"/>
      </w:pPr>
      <w:rPr>
        <w:rFonts w:ascii="Symbol" w:hAnsi="Symbol"/>
      </w:rPr>
    </w:lvl>
    <w:lvl w:ilvl="1" w:tplc="E0A83FB6">
      <w:start w:val="1"/>
      <w:numFmt w:val="bullet"/>
      <w:lvlText w:val=""/>
      <w:lvlJc w:val="left"/>
      <w:pPr>
        <w:ind w:left="1440" w:hanging="360"/>
      </w:pPr>
      <w:rPr>
        <w:rFonts w:ascii="Symbol" w:hAnsi="Symbol"/>
      </w:rPr>
    </w:lvl>
    <w:lvl w:ilvl="2" w:tplc="839A3D00">
      <w:start w:val="1"/>
      <w:numFmt w:val="bullet"/>
      <w:lvlText w:val=""/>
      <w:lvlJc w:val="left"/>
      <w:pPr>
        <w:ind w:left="1440" w:hanging="360"/>
      </w:pPr>
      <w:rPr>
        <w:rFonts w:ascii="Symbol" w:hAnsi="Symbol"/>
      </w:rPr>
    </w:lvl>
    <w:lvl w:ilvl="3" w:tplc="8BE8DA6C">
      <w:start w:val="1"/>
      <w:numFmt w:val="bullet"/>
      <w:lvlText w:val=""/>
      <w:lvlJc w:val="left"/>
      <w:pPr>
        <w:ind w:left="1440" w:hanging="360"/>
      </w:pPr>
      <w:rPr>
        <w:rFonts w:ascii="Symbol" w:hAnsi="Symbol"/>
      </w:rPr>
    </w:lvl>
    <w:lvl w:ilvl="4" w:tplc="11D4598E">
      <w:start w:val="1"/>
      <w:numFmt w:val="bullet"/>
      <w:lvlText w:val=""/>
      <w:lvlJc w:val="left"/>
      <w:pPr>
        <w:ind w:left="1440" w:hanging="360"/>
      </w:pPr>
      <w:rPr>
        <w:rFonts w:ascii="Symbol" w:hAnsi="Symbol"/>
      </w:rPr>
    </w:lvl>
    <w:lvl w:ilvl="5" w:tplc="28A47E3E">
      <w:start w:val="1"/>
      <w:numFmt w:val="bullet"/>
      <w:lvlText w:val=""/>
      <w:lvlJc w:val="left"/>
      <w:pPr>
        <w:ind w:left="1440" w:hanging="360"/>
      </w:pPr>
      <w:rPr>
        <w:rFonts w:ascii="Symbol" w:hAnsi="Symbol"/>
      </w:rPr>
    </w:lvl>
    <w:lvl w:ilvl="6" w:tplc="86ACEB62">
      <w:start w:val="1"/>
      <w:numFmt w:val="bullet"/>
      <w:lvlText w:val=""/>
      <w:lvlJc w:val="left"/>
      <w:pPr>
        <w:ind w:left="1440" w:hanging="360"/>
      </w:pPr>
      <w:rPr>
        <w:rFonts w:ascii="Symbol" w:hAnsi="Symbol"/>
      </w:rPr>
    </w:lvl>
    <w:lvl w:ilvl="7" w:tplc="D05C07AA">
      <w:start w:val="1"/>
      <w:numFmt w:val="bullet"/>
      <w:lvlText w:val=""/>
      <w:lvlJc w:val="left"/>
      <w:pPr>
        <w:ind w:left="1440" w:hanging="360"/>
      </w:pPr>
      <w:rPr>
        <w:rFonts w:ascii="Symbol" w:hAnsi="Symbol"/>
      </w:rPr>
    </w:lvl>
    <w:lvl w:ilvl="8" w:tplc="45DED92A">
      <w:start w:val="1"/>
      <w:numFmt w:val="bullet"/>
      <w:lvlText w:val=""/>
      <w:lvlJc w:val="left"/>
      <w:pPr>
        <w:ind w:left="1440" w:hanging="360"/>
      </w:pPr>
      <w:rPr>
        <w:rFonts w:ascii="Symbol" w:hAnsi="Symbol"/>
      </w:rPr>
    </w:lvl>
  </w:abstractNum>
  <w:num w:numId="1" w16cid:durableId="1930232719">
    <w:abstractNumId w:val="37"/>
  </w:num>
  <w:num w:numId="2" w16cid:durableId="2059232785">
    <w:abstractNumId w:val="43"/>
  </w:num>
  <w:num w:numId="3" w16cid:durableId="147526640">
    <w:abstractNumId w:val="0"/>
  </w:num>
  <w:num w:numId="4" w16cid:durableId="2094811010">
    <w:abstractNumId w:val="43"/>
  </w:num>
  <w:num w:numId="5" w16cid:durableId="558706306">
    <w:abstractNumId w:val="0"/>
  </w:num>
  <w:num w:numId="6" w16cid:durableId="1733650641">
    <w:abstractNumId w:val="43"/>
  </w:num>
  <w:num w:numId="7" w16cid:durableId="1407386415">
    <w:abstractNumId w:val="0"/>
  </w:num>
  <w:num w:numId="8" w16cid:durableId="59791492">
    <w:abstractNumId w:val="17"/>
  </w:num>
  <w:num w:numId="9" w16cid:durableId="14311764">
    <w:abstractNumId w:val="39"/>
  </w:num>
  <w:num w:numId="10" w16cid:durableId="1652638781">
    <w:abstractNumId w:val="19"/>
  </w:num>
  <w:num w:numId="11" w16cid:durableId="337392454">
    <w:abstractNumId w:val="25"/>
  </w:num>
  <w:num w:numId="12" w16cid:durableId="479200469">
    <w:abstractNumId w:val="6"/>
  </w:num>
  <w:num w:numId="13" w16cid:durableId="999381570">
    <w:abstractNumId w:val="45"/>
  </w:num>
  <w:num w:numId="14" w16cid:durableId="1790586584">
    <w:abstractNumId w:val="44"/>
  </w:num>
  <w:num w:numId="15" w16cid:durableId="1382288774">
    <w:abstractNumId w:val="1"/>
  </w:num>
  <w:num w:numId="16" w16cid:durableId="1865166957">
    <w:abstractNumId w:val="5"/>
  </w:num>
  <w:num w:numId="17" w16cid:durableId="1918124077">
    <w:abstractNumId w:val="41"/>
  </w:num>
  <w:num w:numId="18" w16cid:durableId="1599562613">
    <w:abstractNumId w:val="48"/>
  </w:num>
  <w:num w:numId="19" w16cid:durableId="1358190985">
    <w:abstractNumId w:val="50"/>
  </w:num>
  <w:num w:numId="20" w16cid:durableId="1888099856">
    <w:abstractNumId w:val="42"/>
  </w:num>
  <w:num w:numId="21" w16cid:durableId="624308001">
    <w:abstractNumId w:val="8"/>
  </w:num>
  <w:num w:numId="22" w16cid:durableId="257182724">
    <w:abstractNumId w:val="3"/>
  </w:num>
  <w:num w:numId="23" w16cid:durableId="1949658364">
    <w:abstractNumId w:val="40"/>
  </w:num>
  <w:num w:numId="24" w16cid:durableId="1579364368">
    <w:abstractNumId w:val="9"/>
  </w:num>
  <w:num w:numId="25" w16cid:durableId="1587609845">
    <w:abstractNumId w:val="30"/>
  </w:num>
  <w:num w:numId="26" w16cid:durableId="1737973933">
    <w:abstractNumId w:val="18"/>
  </w:num>
  <w:num w:numId="27" w16cid:durableId="488912903">
    <w:abstractNumId w:val="36"/>
  </w:num>
  <w:num w:numId="28" w16cid:durableId="2129395809">
    <w:abstractNumId w:val="29"/>
  </w:num>
  <w:num w:numId="29" w16cid:durableId="1432897803">
    <w:abstractNumId w:val="27"/>
  </w:num>
  <w:num w:numId="30" w16cid:durableId="859858223">
    <w:abstractNumId w:val="46"/>
  </w:num>
  <w:num w:numId="31" w16cid:durableId="941496259">
    <w:abstractNumId w:val="32"/>
  </w:num>
  <w:num w:numId="32" w16cid:durableId="1628319476">
    <w:abstractNumId w:val="23"/>
  </w:num>
  <w:num w:numId="33" w16cid:durableId="1105423812">
    <w:abstractNumId w:val="51"/>
  </w:num>
  <w:num w:numId="34" w16cid:durableId="1223980153">
    <w:abstractNumId w:val="35"/>
  </w:num>
  <w:num w:numId="35" w16cid:durableId="1611080971">
    <w:abstractNumId w:val="49"/>
  </w:num>
  <w:num w:numId="36" w16cid:durableId="73401590">
    <w:abstractNumId w:val="38"/>
  </w:num>
  <w:num w:numId="37" w16cid:durableId="997923766">
    <w:abstractNumId w:val="47"/>
  </w:num>
  <w:num w:numId="38" w16cid:durableId="1682119622">
    <w:abstractNumId w:val="24"/>
  </w:num>
  <w:num w:numId="39" w16cid:durableId="1077509254">
    <w:abstractNumId w:val="2"/>
  </w:num>
  <w:num w:numId="40" w16cid:durableId="156264568">
    <w:abstractNumId w:val="12"/>
  </w:num>
  <w:num w:numId="41" w16cid:durableId="1734044907">
    <w:abstractNumId w:val="53"/>
  </w:num>
  <w:num w:numId="42" w16cid:durableId="308441706">
    <w:abstractNumId w:val="11"/>
  </w:num>
  <w:num w:numId="43" w16cid:durableId="1266838859">
    <w:abstractNumId w:val="20"/>
  </w:num>
  <w:num w:numId="44" w16cid:durableId="2007322013">
    <w:abstractNumId w:val="13"/>
  </w:num>
  <w:num w:numId="45" w16cid:durableId="391975490">
    <w:abstractNumId w:val="22"/>
  </w:num>
  <w:num w:numId="46" w16cid:durableId="704601111">
    <w:abstractNumId w:val="31"/>
  </w:num>
  <w:num w:numId="47" w16cid:durableId="522594487">
    <w:abstractNumId w:val="28"/>
  </w:num>
  <w:num w:numId="48" w16cid:durableId="1476873467">
    <w:abstractNumId w:val="7"/>
  </w:num>
  <w:num w:numId="49" w16cid:durableId="73431953">
    <w:abstractNumId w:val="10"/>
  </w:num>
  <w:num w:numId="50" w16cid:durableId="1592935761">
    <w:abstractNumId w:val="52"/>
  </w:num>
  <w:num w:numId="51" w16cid:durableId="564608465">
    <w:abstractNumId w:val="26"/>
  </w:num>
  <w:num w:numId="52" w16cid:durableId="999847367">
    <w:abstractNumId w:val="21"/>
  </w:num>
  <w:num w:numId="53" w16cid:durableId="1340549276">
    <w:abstractNumId w:val="16"/>
  </w:num>
  <w:num w:numId="54" w16cid:durableId="613444896">
    <w:abstractNumId w:val="14"/>
  </w:num>
  <w:num w:numId="55" w16cid:durableId="1082990458">
    <w:abstractNumId w:val="15"/>
  </w:num>
  <w:num w:numId="56" w16cid:durableId="1642925850">
    <w:abstractNumId w:val="33"/>
  </w:num>
  <w:num w:numId="57" w16cid:durableId="1208222496">
    <w:abstractNumId w:val="4"/>
  </w:num>
  <w:num w:numId="58" w16cid:durableId="66542475">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538"/>
    <w:rsid w:val="000005FE"/>
    <w:rsid w:val="00000628"/>
    <w:rsid w:val="00000C47"/>
    <w:rsid w:val="00001148"/>
    <w:rsid w:val="000015DB"/>
    <w:rsid w:val="0000176D"/>
    <w:rsid w:val="00001864"/>
    <w:rsid w:val="00001F6C"/>
    <w:rsid w:val="00002016"/>
    <w:rsid w:val="00002239"/>
    <w:rsid w:val="000025F2"/>
    <w:rsid w:val="00002CBB"/>
    <w:rsid w:val="00002F99"/>
    <w:rsid w:val="000032D8"/>
    <w:rsid w:val="00003546"/>
    <w:rsid w:val="00003882"/>
    <w:rsid w:val="0000415E"/>
    <w:rsid w:val="0000428A"/>
    <w:rsid w:val="0000444A"/>
    <w:rsid w:val="0000473B"/>
    <w:rsid w:val="000047B1"/>
    <w:rsid w:val="00005059"/>
    <w:rsid w:val="000057D3"/>
    <w:rsid w:val="00005802"/>
    <w:rsid w:val="00005C0B"/>
    <w:rsid w:val="00005E8E"/>
    <w:rsid w:val="00006161"/>
    <w:rsid w:val="000063FC"/>
    <w:rsid w:val="00006444"/>
    <w:rsid w:val="00006557"/>
    <w:rsid w:val="00006AE7"/>
    <w:rsid w:val="00006AFD"/>
    <w:rsid w:val="00007302"/>
    <w:rsid w:val="00007488"/>
    <w:rsid w:val="00007621"/>
    <w:rsid w:val="00007CD8"/>
    <w:rsid w:val="00007FF4"/>
    <w:rsid w:val="00010011"/>
    <w:rsid w:val="000103A8"/>
    <w:rsid w:val="0001049B"/>
    <w:rsid w:val="000104DC"/>
    <w:rsid w:val="00010BE1"/>
    <w:rsid w:val="00010C0C"/>
    <w:rsid w:val="00010DBE"/>
    <w:rsid w:val="00010F9A"/>
    <w:rsid w:val="00011103"/>
    <w:rsid w:val="00011CEF"/>
    <w:rsid w:val="000126E7"/>
    <w:rsid w:val="00012BF3"/>
    <w:rsid w:val="00012C3A"/>
    <w:rsid w:val="00013027"/>
    <w:rsid w:val="00013133"/>
    <w:rsid w:val="000135B9"/>
    <w:rsid w:val="00013B91"/>
    <w:rsid w:val="00013C37"/>
    <w:rsid w:val="00013F15"/>
    <w:rsid w:val="00013FC1"/>
    <w:rsid w:val="000141D7"/>
    <w:rsid w:val="00014C1B"/>
    <w:rsid w:val="0001514C"/>
    <w:rsid w:val="00015400"/>
    <w:rsid w:val="00016291"/>
    <w:rsid w:val="00016346"/>
    <w:rsid w:val="00016572"/>
    <w:rsid w:val="00016799"/>
    <w:rsid w:val="00016E90"/>
    <w:rsid w:val="00017700"/>
    <w:rsid w:val="00017781"/>
    <w:rsid w:val="0001783C"/>
    <w:rsid w:val="00020100"/>
    <w:rsid w:val="000203E7"/>
    <w:rsid w:val="00020C8A"/>
    <w:rsid w:val="00020CD9"/>
    <w:rsid w:val="000210B7"/>
    <w:rsid w:val="0002150A"/>
    <w:rsid w:val="00021766"/>
    <w:rsid w:val="00021B23"/>
    <w:rsid w:val="00021F27"/>
    <w:rsid w:val="00022961"/>
    <w:rsid w:val="00023350"/>
    <w:rsid w:val="00023E8A"/>
    <w:rsid w:val="0002460E"/>
    <w:rsid w:val="00024613"/>
    <w:rsid w:val="000246BF"/>
    <w:rsid w:val="000257CC"/>
    <w:rsid w:val="00025A2A"/>
    <w:rsid w:val="00025E9A"/>
    <w:rsid w:val="000262AA"/>
    <w:rsid w:val="00026A8C"/>
    <w:rsid w:val="00026F45"/>
    <w:rsid w:val="00027427"/>
    <w:rsid w:val="000303D0"/>
    <w:rsid w:val="000304D4"/>
    <w:rsid w:val="000304F3"/>
    <w:rsid w:val="000306FE"/>
    <w:rsid w:val="00030B11"/>
    <w:rsid w:val="00030D49"/>
    <w:rsid w:val="00030D82"/>
    <w:rsid w:val="00031431"/>
    <w:rsid w:val="000317BA"/>
    <w:rsid w:val="00031831"/>
    <w:rsid w:val="00031E42"/>
    <w:rsid w:val="00031FD4"/>
    <w:rsid w:val="00032115"/>
    <w:rsid w:val="00032483"/>
    <w:rsid w:val="00032D62"/>
    <w:rsid w:val="00033467"/>
    <w:rsid w:val="00033497"/>
    <w:rsid w:val="000334B2"/>
    <w:rsid w:val="000334BC"/>
    <w:rsid w:val="000335DF"/>
    <w:rsid w:val="0003374A"/>
    <w:rsid w:val="00034191"/>
    <w:rsid w:val="0003435A"/>
    <w:rsid w:val="000343EE"/>
    <w:rsid w:val="0003445F"/>
    <w:rsid w:val="000346B4"/>
    <w:rsid w:val="0003476F"/>
    <w:rsid w:val="00034C84"/>
    <w:rsid w:val="00034DAF"/>
    <w:rsid w:val="00034E54"/>
    <w:rsid w:val="00034EDD"/>
    <w:rsid w:val="000352DE"/>
    <w:rsid w:val="000355FF"/>
    <w:rsid w:val="0003561E"/>
    <w:rsid w:val="000357A1"/>
    <w:rsid w:val="00035ECD"/>
    <w:rsid w:val="000360D1"/>
    <w:rsid w:val="00036741"/>
    <w:rsid w:val="00037328"/>
    <w:rsid w:val="0003758F"/>
    <w:rsid w:val="00037FB9"/>
    <w:rsid w:val="00040667"/>
    <w:rsid w:val="00040865"/>
    <w:rsid w:val="000420B0"/>
    <w:rsid w:val="00042BB2"/>
    <w:rsid w:val="000431E0"/>
    <w:rsid w:val="0004334D"/>
    <w:rsid w:val="000433A6"/>
    <w:rsid w:val="000433B4"/>
    <w:rsid w:val="0004362B"/>
    <w:rsid w:val="000436C9"/>
    <w:rsid w:val="00044692"/>
    <w:rsid w:val="00044B73"/>
    <w:rsid w:val="00044BAC"/>
    <w:rsid w:val="0004526A"/>
    <w:rsid w:val="00045587"/>
    <w:rsid w:val="0004598C"/>
    <w:rsid w:val="000459C8"/>
    <w:rsid w:val="00045D79"/>
    <w:rsid w:val="00045E37"/>
    <w:rsid w:val="000462AF"/>
    <w:rsid w:val="00046957"/>
    <w:rsid w:val="00046C70"/>
    <w:rsid w:val="00046D34"/>
    <w:rsid w:val="000472C8"/>
    <w:rsid w:val="000472EF"/>
    <w:rsid w:val="000474A1"/>
    <w:rsid w:val="0004763B"/>
    <w:rsid w:val="00047A6A"/>
    <w:rsid w:val="00047AD7"/>
    <w:rsid w:val="00047FBF"/>
    <w:rsid w:val="0005018E"/>
    <w:rsid w:val="000501AA"/>
    <w:rsid w:val="000501B8"/>
    <w:rsid w:val="0005025D"/>
    <w:rsid w:val="000502C4"/>
    <w:rsid w:val="00050609"/>
    <w:rsid w:val="00050A84"/>
    <w:rsid w:val="00050F9B"/>
    <w:rsid w:val="000516CE"/>
    <w:rsid w:val="00051C61"/>
    <w:rsid w:val="000529BD"/>
    <w:rsid w:val="000545F1"/>
    <w:rsid w:val="0005475D"/>
    <w:rsid w:val="00055772"/>
    <w:rsid w:val="000558CA"/>
    <w:rsid w:val="00055B27"/>
    <w:rsid w:val="00055E92"/>
    <w:rsid w:val="0005623B"/>
    <w:rsid w:val="0005691A"/>
    <w:rsid w:val="00056A8B"/>
    <w:rsid w:val="00056EE5"/>
    <w:rsid w:val="00057269"/>
    <w:rsid w:val="000575E9"/>
    <w:rsid w:val="000606E8"/>
    <w:rsid w:val="0006073D"/>
    <w:rsid w:val="00060AC3"/>
    <w:rsid w:val="00060C80"/>
    <w:rsid w:val="00060CB9"/>
    <w:rsid w:val="00060E45"/>
    <w:rsid w:val="000612C2"/>
    <w:rsid w:val="00061319"/>
    <w:rsid w:val="0006228D"/>
    <w:rsid w:val="00062409"/>
    <w:rsid w:val="0006247E"/>
    <w:rsid w:val="00062670"/>
    <w:rsid w:val="00062E0C"/>
    <w:rsid w:val="00064277"/>
    <w:rsid w:val="000643D3"/>
    <w:rsid w:val="0006444E"/>
    <w:rsid w:val="00064ABE"/>
    <w:rsid w:val="000656F4"/>
    <w:rsid w:val="000658C5"/>
    <w:rsid w:val="00065D4B"/>
    <w:rsid w:val="00065E01"/>
    <w:rsid w:val="00066198"/>
    <w:rsid w:val="0006634F"/>
    <w:rsid w:val="00066397"/>
    <w:rsid w:val="00066DAE"/>
    <w:rsid w:val="00066E3E"/>
    <w:rsid w:val="000671E4"/>
    <w:rsid w:val="000677C6"/>
    <w:rsid w:val="0007025A"/>
    <w:rsid w:val="00070481"/>
    <w:rsid w:val="00070896"/>
    <w:rsid w:val="00070F64"/>
    <w:rsid w:val="00071751"/>
    <w:rsid w:val="0007188A"/>
    <w:rsid w:val="000718FF"/>
    <w:rsid w:val="00071D2F"/>
    <w:rsid w:val="00072526"/>
    <w:rsid w:val="0007295E"/>
    <w:rsid w:val="00072E8F"/>
    <w:rsid w:val="00072FA8"/>
    <w:rsid w:val="00072FB4"/>
    <w:rsid w:val="00073D31"/>
    <w:rsid w:val="00073EB3"/>
    <w:rsid w:val="000740F3"/>
    <w:rsid w:val="00074217"/>
    <w:rsid w:val="000743D6"/>
    <w:rsid w:val="00074BA3"/>
    <w:rsid w:val="00074F4B"/>
    <w:rsid w:val="000750C0"/>
    <w:rsid w:val="00075916"/>
    <w:rsid w:val="00075E10"/>
    <w:rsid w:val="00075FA6"/>
    <w:rsid w:val="0007638E"/>
    <w:rsid w:val="00076FCF"/>
    <w:rsid w:val="00077119"/>
    <w:rsid w:val="00077CF5"/>
    <w:rsid w:val="00077E22"/>
    <w:rsid w:val="0007CE67"/>
    <w:rsid w:val="000809EF"/>
    <w:rsid w:val="00080C43"/>
    <w:rsid w:val="000816EB"/>
    <w:rsid w:val="00081A34"/>
    <w:rsid w:val="00081A41"/>
    <w:rsid w:val="00081D6C"/>
    <w:rsid w:val="00081F5C"/>
    <w:rsid w:val="000822F4"/>
    <w:rsid w:val="000829FE"/>
    <w:rsid w:val="00082E2A"/>
    <w:rsid w:val="000838DA"/>
    <w:rsid w:val="00083CF3"/>
    <w:rsid w:val="00083EE1"/>
    <w:rsid w:val="00083F3F"/>
    <w:rsid w:val="000841CB"/>
    <w:rsid w:val="00084A35"/>
    <w:rsid w:val="00084A81"/>
    <w:rsid w:val="00084C8B"/>
    <w:rsid w:val="00084FA0"/>
    <w:rsid w:val="00085C9A"/>
    <w:rsid w:val="000860CD"/>
    <w:rsid w:val="00086484"/>
    <w:rsid w:val="00086B18"/>
    <w:rsid w:val="00086B49"/>
    <w:rsid w:val="0008779B"/>
    <w:rsid w:val="0008798E"/>
    <w:rsid w:val="00087B82"/>
    <w:rsid w:val="00090465"/>
    <w:rsid w:val="00090825"/>
    <w:rsid w:val="0009092E"/>
    <w:rsid w:val="00090DB6"/>
    <w:rsid w:val="00091069"/>
    <w:rsid w:val="000910C8"/>
    <w:rsid w:val="00091452"/>
    <w:rsid w:val="00091B20"/>
    <w:rsid w:val="00091DB9"/>
    <w:rsid w:val="00092108"/>
    <w:rsid w:val="00092299"/>
    <w:rsid w:val="00092690"/>
    <w:rsid w:val="00092718"/>
    <w:rsid w:val="00092808"/>
    <w:rsid w:val="00092830"/>
    <w:rsid w:val="00092D16"/>
    <w:rsid w:val="00092F7E"/>
    <w:rsid w:val="00092FFA"/>
    <w:rsid w:val="00093300"/>
    <w:rsid w:val="00093362"/>
    <w:rsid w:val="00093445"/>
    <w:rsid w:val="0009351E"/>
    <w:rsid w:val="000940FF"/>
    <w:rsid w:val="000946FA"/>
    <w:rsid w:val="00094898"/>
    <w:rsid w:val="0009497D"/>
    <w:rsid w:val="000954E4"/>
    <w:rsid w:val="000955A9"/>
    <w:rsid w:val="000956C9"/>
    <w:rsid w:val="00095F47"/>
    <w:rsid w:val="000969F3"/>
    <w:rsid w:val="00096AE1"/>
    <w:rsid w:val="0009710D"/>
    <w:rsid w:val="0009741B"/>
    <w:rsid w:val="0009746D"/>
    <w:rsid w:val="0009795E"/>
    <w:rsid w:val="00097E08"/>
    <w:rsid w:val="000A01C6"/>
    <w:rsid w:val="000A079B"/>
    <w:rsid w:val="000A0AB5"/>
    <w:rsid w:val="000A0FD5"/>
    <w:rsid w:val="000A1964"/>
    <w:rsid w:val="000A214C"/>
    <w:rsid w:val="000A2E10"/>
    <w:rsid w:val="000A3A21"/>
    <w:rsid w:val="000A3BAE"/>
    <w:rsid w:val="000A40AA"/>
    <w:rsid w:val="000A40F7"/>
    <w:rsid w:val="000A45B6"/>
    <w:rsid w:val="000A59CB"/>
    <w:rsid w:val="000A5C96"/>
    <w:rsid w:val="000A6319"/>
    <w:rsid w:val="000A63CC"/>
    <w:rsid w:val="000A6687"/>
    <w:rsid w:val="000A74F5"/>
    <w:rsid w:val="000A7D68"/>
    <w:rsid w:val="000B0499"/>
    <w:rsid w:val="000B0F9F"/>
    <w:rsid w:val="000B137D"/>
    <w:rsid w:val="000B1BC7"/>
    <w:rsid w:val="000B1E90"/>
    <w:rsid w:val="000B249A"/>
    <w:rsid w:val="000B31EA"/>
    <w:rsid w:val="000B34D1"/>
    <w:rsid w:val="000B382B"/>
    <w:rsid w:val="000B3958"/>
    <w:rsid w:val="000B3A88"/>
    <w:rsid w:val="000B3C9B"/>
    <w:rsid w:val="000B3FF9"/>
    <w:rsid w:val="000B412F"/>
    <w:rsid w:val="000B44E3"/>
    <w:rsid w:val="000B4DD6"/>
    <w:rsid w:val="000B53E7"/>
    <w:rsid w:val="000B5951"/>
    <w:rsid w:val="000B5FB9"/>
    <w:rsid w:val="000B6151"/>
    <w:rsid w:val="000B7088"/>
    <w:rsid w:val="000C01BF"/>
    <w:rsid w:val="000C0450"/>
    <w:rsid w:val="000C056F"/>
    <w:rsid w:val="000C074C"/>
    <w:rsid w:val="000C10A9"/>
    <w:rsid w:val="000C12FF"/>
    <w:rsid w:val="000C1990"/>
    <w:rsid w:val="000C1CC4"/>
    <w:rsid w:val="000C2951"/>
    <w:rsid w:val="000C2A55"/>
    <w:rsid w:val="000C2E72"/>
    <w:rsid w:val="000C30EF"/>
    <w:rsid w:val="000C34F1"/>
    <w:rsid w:val="000C35A8"/>
    <w:rsid w:val="000C37A4"/>
    <w:rsid w:val="000C38C2"/>
    <w:rsid w:val="000C39D8"/>
    <w:rsid w:val="000C3A29"/>
    <w:rsid w:val="000C3BB8"/>
    <w:rsid w:val="000C3EEB"/>
    <w:rsid w:val="000C40FD"/>
    <w:rsid w:val="000C498B"/>
    <w:rsid w:val="000C4FAF"/>
    <w:rsid w:val="000C53AC"/>
    <w:rsid w:val="000C540A"/>
    <w:rsid w:val="000C5F63"/>
    <w:rsid w:val="000C6083"/>
    <w:rsid w:val="000C6673"/>
    <w:rsid w:val="000C6C31"/>
    <w:rsid w:val="000C703F"/>
    <w:rsid w:val="000C7E4F"/>
    <w:rsid w:val="000C7FA4"/>
    <w:rsid w:val="000D09D5"/>
    <w:rsid w:val="000D0A1F"/>
    <w:rsid w:val="000D0A62"/>
    <w:rsid w:val="000D0E0A"/>
    <w:rsid w:val="000D0E21"/>
    <w:rsid w:val="000D1048"/>
    <w:rsid w:val="000D14D6"/>
    <w:rsid w:val="000D1B0F"/>
    <w:rsid w:val="000D1BFF"/>
    <w:rsid w:val="000D2127"/>
    <w:rsid w:val="000D2367"/>
    <w:rsid w:val="000D242D"/>
    <w:rsid w:val="000D252A"/>
    <w:rsid w:val="000D2BCA"/>
    <w:rsid w:val="000D2D57"/>
    <w:rsid w:val="000D3463"/>
    <w:rsid w:val="000D383A"/>
    <w:rsid w:val="000D3B1E"/>
    <w:rsid w:val="000D3BD9"/>
    <w:rsid w:val="000D3EC3"/>
    <w:rsid w:val="000D3FE1"/>
    <w:rsid w:val="000D43DA"/>
    <w:rsid w:val="000D47ED"/>
    <w:rsid w:val="000D4C16"/>
    <w:rsid w:val="000D4C23"/>
    <w:rsid w:val="000D4CFB"/>
    <w:rsid w:val="000D4E7D"/>
    <w:rsid w:val="000D4ED5"/>
    <w:rsid w:val="000D525D"/>
    <w:rsid w:val="000D54F9"/>
    <w:rsid w:val="000D6040"/>
    <w:rsid w:val="000D63B3"/>
    <w:rsid w:val="000D6691"/>
    <w:rsid w:val="000D6AEC"/>
    <w:rsid w:val="000D7079"/>
    <w:rsid w:val="000D70C1"/>
    <w:rsid w:val="000D73A0"/>
    <w:rsid w:val="000D763E"/>
    <w:rsid w:val="000D7683"/>
    <w:rsid w:val="000E0CD5"/>
    <w:rsid w:val="000E129F"/>
    <w:rsid w:val="000E1396"/>
    <w:rsid w:val="000E13F9"/>
    <w:rsid w:val="000E148F"/>
    <w:rsid w:val="000E1AA0"/>
    <w:rsid w:val="000E248B"/>
    <w:rsid w:val="000E292D"/>
    <w:rsid w:val="000E2B0E"/>
    <w:rsid w:val="000E2D1A"/>
    <w:rsid w:val="000E3172"/>
    <w:rsid w:val="000E35D8"/>
    <w:rsid w:val="000E3675"/>
    <w:rsid w:val="000E3A0D"/>
    <w:rsid w:val="000E3EAA"/>
    <w:rsid w:val="000E41A7"/>
    <w:rsid w:val="000E481C"/>
    <w:rsid w:val="000E5332"/>
    <w:rsid w:val="000E543B"/>
    <w:rsid w:val="000E559E"/>
    <w:rsid w:val="000E5BF8"/>
    <w:rsid w:val="000E6087"/>
    <w:rsid w:val="000E63E9"/>
    <w:rsid w:val="000E659F"/>
    <w:rsid w:val="000E667B"/>
    <w:rsid w:val="000E6780"/>
    <w:rsid w:val="000E697A"/>
    <w:rsid w:val="000E6EAE"/>
    <w:rsid w:val="000E7098"/>
    <w:rsid w:val="000E71F1"/>
    <w:rsid w:val="000E7C08"/>
    <w:rsid w:val="000F0200"/>
    <w:rsid w:val="000F06EC"/>
    <w:rsid w:val="000F0CBD"/>
    <w:rsid w:val="000F1388"/>
    <w:rsid w:val="000F18DE"/>
    <w:rsid w:val="000F1D1E"/>
    <w:rsid w:val="000F2053"/>
    <w:rsid w:val="000F21B4"/>
    <w:rsid w:val="000F21D5"/>
    <w:rsid w:val="000F22E3"/>
    <w:rsid w:val="000F2C40"/>
    <w:rsid w:val="000F3DE8"/>
    <w:rsid w:val="000F401D"/>
    <w:rsid w:val="000F462B"/>
    <w:rsid w:val="000F4889"/>
    <w:rsid w:val="000F48D8"/>
    <w:rsid w:val="000F5771"/>
    <w:rsid w:val="000F650A"/>
    <w:rsid w:val="000F6830"/>
    <w:rsid w:val="000F683B"/>
    <w:rsid w:val="000F6E8B"/>
    <w:rsid w:val="000F7116"/>
    <w:rsid w:val="000F7C4C"/>
    <w:rsid w:val="00100239"/>
    <w:rsid w:val="001006DC"/>
    <w:rsid w:val="00100914"/>
    <w:rsid w:val="00100949"/>
    <w:rsid w:val="00100CAE"/>
    <w:rsid w:val="001014C4"/>
    <w:rsid w:val="0010159F"/>
    <w:rsid w:val="00102066"/>
    <w:rsid w:val="001024C5"/>
    <w:rsid w:val="0010284A"/>
    <w:rsid w:val="001029AE"/>
    <w:rsid w:val="00102F5E"/>
    <w:rsid w:val="001035A0"/>
    <w:rsid w:val="00103836"/>
    <w:rsid w:val="00103B4F"/>
    <w:rsid w:val="001047C8"/>
    <w:rsid w:val="0010487E"/>
    <w:rsid w:val="0010490F"/>
    <w:rsid w:val="00104AF0"/>
    <w:rsid w:val="00104B48"/>
    <w:rsid w:val="00104C61"/>
    <w:rsid w:val="00105574"/>
    <w:rsid w:val="00105913"/>
    <w:rsid w:val="001059B9"/>
    <w:rsid w:val="00105BAB"/>
    <w:rsid w:val="00105E9F"/>
    <w:rsid w:val="00106072"/>
    <w:rsid w:val="0010623F"/>
    <w:rsid w:val="00106583"/>
    <w:rsid w:val="001067E3"/>
    <w:rsid w:val="00106BDD"/>
    <w:rsid w:val="00107204"/>
    <w:rsid w:val="001075E4"/>
    <w:rsid w:val="0010795C"/>
    <w:rsid w:val="00107C2D"/>
    <w:rsid w:val="00107D0E"/>
    <w:rsid w:val="00107D95"/>
    <w:rsid w:val="00107DEC"/>
    <w:rsid w:val="001101A7"/>
    <w:rsid w:val="00111033"/>
    <w:rsid w:val="0011145D"/>
    <w:rsid w:val="001114CE"/>
    <w:rsid w:val="00111566"/>
    <w:rsid w:val="001118E1"/>
    <w:rsid w:val="00111FA9"/>
    <w:rsid w:val="0011253C"/>
    <w:rsid w:val="00112651"/>
    <w:rsid w:val="00112865"/>
    <w:rsid w:val="0011286B"/>
    <w:rsid w:val="001129CB"/>
    <w:rsid w:val="00112C58"/>
    <w:rsid w:val="00112D9F"/>
    <w:rsid w:val="0011333E"/>
    <w:rsid w:val="0011338A"/>
    <w:rsid w:val="001136E1"/>
    <w:rsid w:val="00113D27"/>
    <w:rsid w:val="001147F5"/>
    <w:rsid w:val="001148A8"/>
    <w:rsid w:val="0011499A"/>
    <w:rsid w:val="00115302"/>
    <w:rsid w:val="00115491"/>
    <w:rsid w:val="00115599"/>
    <w:rsid w:val="00115614"/>
    <w:rsid w:val="001157D5"/>
    <w:rsid w:val="00115B71"/>
    <w:rsid w:val="0011632F"/>
    <w:rsid w:val="001167DB"/>
    <w:rsid w:val="00116ADE"/>
    <w:rsid w:val="00116CD2"/>
    <w:rsid w:val="00116F97"/>
    <w:rsid w:val="00117455"/>
    <w:rsid w:val="001177F5"/>
    <w:rsid w:val="00117E70"/>
    <w:rsid w:val="00120199"/>
    <w:rsid w:val="00120739"/>
    <w:rsid w:val="00120880"/>
    <w:rsid w:val="0012094A"/>
    <w:rsid w:val="001213C3"/>
    <w:rsid w:val="0012168E"/>
    <w:rsid w:val="001216E2"/>
    <w:rsid w:val="0012197C"/>
    <w:rsid w:val="0012204D"/>
    <w:rsid w:val="00122551"/>
    <w:rsid w:val="001230BB"/>
    <w:rsid w:val="00123641"/>
    <w:rsid w:val="001236E5"/>
    <w:rsid w:val="00123CEC"/>
    <w:rsid w:val="00123D3A"/>
    <w:rsid w:val="00124044"/>
    <w:rsid w:val="001248A9"/>
    <w:rsid w:val="00124A1A"/>
    <w:rsid w:val="00124E1C"/>
    <w:rsid w:val="00124ED1"/>
    <w:rsid w:val="00125094"/>
    <w:rsid w:val="00125173"/>
    <w:rsid w:val="001255A2"/>
    <w:rsid w:val="0012595C"/>
    <w:rsid w:val="00125E21"/>
    <w:rsid w:val="00125FAB"/>
    <w:rsid w:val="00125FFF"/>
    <w:rsid w:val="00126BC8"/>
    <w:rsid w:val="00126D25"/>
    <w:rsid w:val="00126F59"/>
    <w:rsid w:val="00127901"/>
    <w:rsid w:val="001302F7"/>
    <w:rsid w:val="00130532"/>
    <w:rsid w:val="00130777"/>
    <w:rsid w:val="001316D2"/>
    <w:rsid w:val="00131A41"/>
    <w:rsid w:val="00131E1E"/>
    <w:rsid w:val="001326C2"/>
    <w:rsid w:val="0013284D"/>
    <w:rsid w:val="00132F5C"/>
    <w:rsid w:val="00133439"/>
    <w:rsid w:val="00133598"/>
    <w:rsid w:val="001337DD"/>
    <w:rsid w:val="00133DBF"/>
    <w:rsid w:val="00134528"/>
    <w:rsid w:val="00134875"/>
    <w:rsid w:val="00134A0F"/>
    <w:rsid w:val="00134A8C"/>
    <w:rsid w:val="00134B1F"/>
    <w:rsid w:val="00135A9F"/>
    <w:rsid w:val="0013674C"/>
    <w:rsid w:val="0013684F"/>
    <w:rsid w:val="00136A3A"/>
    <w:rsid w:val="001377C9"/>
    <w:rsid w:val="00140B8C"/>
    <w:rsid w:val="00140F94"/>
    <w:rsid w:val="00141835"/>
    <w:rsid w:val="00141D50"/>
    <w:rsid w:val="001421B1"/>
    <w:rsid w:val="00142451"/>
    <w:rsid w:val="00142711"/>
    <w:rsid w:val="0014284F"/>
    <w:rsid w:val="00142973"/>
    <w:rsid w:val="00143769"/>
    <w:rsid w:val="001439D2"/>
    <w:rsid w:val="00143B6B"/>
    <w:rsid w:val="00143DE4"/>
    <w:rsid w:val="00143E1E"/>
    <w:rsid w:val="00144011"/>
    <w:rsid w:val="00144212"/>
    <w:rsid w:val="00144323"/>
    <w:rsid w:val="0014435D"/>
    <w:rsid w:val="00144CE8"/>
    <w:rsid w:val="00145D59"/>
    <w:rsid w:val="0014619E"/>
    <w:rsid w:val="001463DA"/>
    <w:rsid w:val="001466BF"/>
    <w:rsid w:val="001469CC"/>
    <w:rsid w:val="00147179"/>
    <w:rsid w:val="00147964"/>
    <w:rsid w:val="00147AC2"/>
    <w:rsid w:val="001508A0"/>
    <w:rsid w:val="00150F18"/>
    <w:rsid w:val="00150FC2"/>
    <w:rsid w:val="00151235"/>
    <w:rsid w:val="00151262"/>
    <w:rsid w:val="00151513"/>
    <w:rsid w:val="00151825"/>
    <w:rsid w:val="001519EA"/>
    <w:rsid w:val="00151A26"/>
    <w:rsid w:val="00151FB4"/>
    <w:rsid w:val="001520CE"/>
    <w:rsid w:val="00152148"/>
    <w:rsid w:val="00152375"/>
    <w:rsid w:val="00152AE1"/>
    <w:rsid w:val="00153141"/>
    <w:rsid w:val="001531A6"/>
    <w:rsid w:val="001534F0"/>
    <w:rsid w:val="001535E2"/>
    <w:rsid w:val="001539F6"/>
    <w:rsid w:val="00153ED7"/>
    <w:rsid w:val="00153FC9"/>
    <w:rsid w:val="00154C2A"/>
    <w:rsid w:val="00154CB6"/>
    <w:rsid w:val="00154D7E"/>
    <w:rsid w:val="00155139"/>
    <w:rsid w:val="00155B40"/>
    <w:rsid w:val="00155E0E"/>
    <w:rsid w:val="001567E5"/>
    <w:rsid w:val="00156B1A"/>
    <w:rsid w:val="00157120"/>
    <w:rsid w:val="00157196"/>
    <w:rsid w:val="001578F0"/>
    <w:rsid w:val="001600CE"/>
    <w:rsid w:val="00160311"/>
    <w:rsid w:val="0016070F"/>
    <w:rsid w:val="00160BDA"/>
    <w:rsid w:val="00160C03"/>
    <w:rsid w:val="00160C3D"/>
    <w:rsid w:val="00160CE1"/>
    <w:rsid w:val="00161352"/>
    <w:rsid w:val="00161EDD"/>
    <w:rsid w:val="00161F26"/>
    <w:rsid w:val="0016203C"/>
    <w:rsid w:val="00162E39"/>
    <w:rsid w:val="001632C0"/>
    <w:rsid w:val="001650A8"/>
    <w:rsid w:val="0016545D"/>
    <w:rsid w:val="00165D3D"/>
    <w:rsid w:val="00166A2E"/>
    <w:rsid w:val="00166C2F"/>
    <w:rsid w:val="00166E04"/>
    <w:rsid w:val="001678BC"/>
    <w:rsid w:val="00170105"/>
    <w:rsid w:val="001701DB"/>
    <w:rsid w:val="0017023A"/>
    <w:rsid w:val="001706F8"/>
    <w:rsid w:val="00170864"/>
    <w:rsid w:val="0017097D"/>
    <w:rsid w:val="00170D15"/>
    <w:rsid w:val="00171066"/>
    <w:rsid w:val="00171437"/>
    <w:rsid w:val="001730C4"/>
    <w:rsid w:val="0017376D"/>
    <w:rsid w:val="0017416F"/>
    <w:rsid w:val="0017463B"/>
    <w:rsid w:val="001747F3"/>
    <w:rsid w:val="00174918"/>
    <w:rsid w:val="00174CBF"/>
    <w:rsid w:val="00174D8D"/>
    <w:rsid w:val="00174ED2"/>
    <w:rsid w:val="0017537F"/>
    <w:rsid w:val="0017557F"/>
    <w:rsid w:val="0017582D"/>
    <w:rsid w:val="0017599C"/>
    <w:rsid w:val="00176634"/>
    <w:rsid w:val="001767FF"/>
    <w:rsid w:val="001769F5"/>
    <w:rsid w:val="00176E27"/>
    <w:rsid w:val="00176E51"/>
    <w:rsid w:val="00176F41"/>
    <w:rsid w:val="00176F5F"/>
    <w:rsid w:val="00177F82"/>
    <w:rsid w:val="00180020"/>
    <w:rsid w:val="00180A15"/>
    <w:rsid w:val="0018106C"/>
    <w:rsid w:val="00181596"/>
    <w:rsid w:val="00181CD9"/>
    <w:rsid w:val="00182461"/>
    <w:rsid w:val="001825F3"/>
    <w:rsid w:val="001829AA"/>
    <w:rsid w:val="00182DFA"/>
    <w:rsid w:val="00182FBD"/>
    <w:rsid w:val="00182FD4"/>
    <w:rsid w:val="0018307E"/>
    <w:rsid w:val="00183417"/>
    <w:rsid w:val="00183B32"/>
    <w:rsid w:val="00183C52"/>
    <w:rsid w:val="00183FF9"/>
    <w:rsid w:val="00184066"/>
    <w:rsid w:val="001840F9"/>
    <w:rsid w:val="00184974"/>
    <w:rsid w:val="00184B28"/>
    <w:rsid w:val="00185C3D"/>
    <w:rsid w:val="001862CC"/>
    <w:rsid w:val="00186D2F"/>
    <w:rsid w:val="00186D79"/>
    <w:rsid w:val="00187273"/>
    <w:rsid w:val="00187704"/>
    <w:rsid w:val="00187758"/>
    <w:rsid w:val="001900A2"/>
    <w:rsid w:val="0019016C"/>
    <w:rsid w:val="00190282"/>
    <w:rsid w:val="0019045F"/>
    <w:rsid w:val="00190567"/>
    <w:rsid w:val="00190655"/>
    <w:rsid w:val="00191071"/>
    <w:rsid w:val="00191B3D"/>
    <w:rsid w:val="00191FD0"/>
    <w:rsid w:val="001920BF"/>
    <w:rsid w:val="0019277A"/>
    <w:rsid w:val="00192C9A"/>
    <w:rsid w:val="00193BCC"/>
    <w:rsid w:val="00193E41"/>
    <w:rsid w:val="00194CCF"/>
    <w:rsid w:val="001950A0"/>
    <w:rsid w:val="00195464"/>
    <w:rsid w:val="0019579D"/>
    <w:rsid w:val="001957F6"/>
    <w:rsid w:val="001959B2"/>
    <w:rsid w:val="00195CA3"/>
    <w:rsid w:val="00195DC0"/>
    <w:rsid w:val="00195F5D"/>
    <w:rsid w:val="001963C0"/>
    <w:rsid w:val="00196523"/>
    <w:rsid w:val="00196854"/>
    <w:rsid w:val="00196EE5"/>
    <w:rsid w:val="00196F75"/>
    <w:rsid w:val="001A03D8"/>
    <w:rsid w:val="001A06CA"/>
    <w:rsid w:val="001A075C"/>
    <w:rsid w:val="001A0B8C"/>
    <w:rsid w:val="001A10A0"/>
    <w:rsid w:val="001A1117"/>
    <w:rsid w:val="001A1D55"/>
    <w:rsid w:val="001A233E"/>
    <w:rsid w:val="001A2682"/>
    <w:rsid w:val="001A2714"/>
    <w:rsid w:val="001A353F"/>
    <w:rsid w:val="001A36B6"/>
    <w:rsid w:val="001A377A"/>
    <w:rsid w:val="001A3958"/>
    <w:rsid w:val="001A3B2F"/>
    <w:rsid w:val="001A3DC6"/>
    <w:rsid w:val="001A3ED8"/>
    <w:rsid w:val="001A3EF6"/>
    <w:rsid w:val="001A41A7"/>
    <w:rsid w:val="001A461A"/>
    <w:rsid w:val="001A4C46"/>
    <w:rsid w:val="001A4CBC"/>
    <w:rsid w:val="001A4D1E"/>
    <w:rsid w:val="001A4E73"/>
    <w:rsid w:val="001A4EB8"/>
    <w:rsid w:val="001A5034"/>
    <w:rsid w:val="001A6137"/>
    <w:rsid w:val="001A6F89"/>
    <w:rsid w:val="001A724B"/>
    <w:rsid w:val="001A7430"/>
    <w:rsid w:val="001A759A"/>
    <w:rsid w:val="001A775B"/>
    <w:rsid w:val="001A77FC"/>
    <w:rsid w:val="001A792D"/>
    <w:rsid w:val="001A7CAB"/>
    <w:rsid w:val="001A7FAF"/>
    <w:rsid w:val="001B0209"/>
    <w:rsid w:val="001B02B0"/>
    <w:rsid w:val="001B0448"/>
    <w:rsid w:val="001B08C4"/>
    <w:rsid w:val="001B0A2E"/>
    <w:rsid w:val="001B0D63"/>
    <w:rsid w:val="001B0FB1"/>
    <w:rsid w:val="001B15F0"/>
    <w:rsid w:val="001B20A4"/>
    <w:rsid w:val="001B261C"/>
    <w:rsid w:val="001B2753"/>
    <w:rsid w:val="001B29EE"/>
    <w:rsid w:val="001B2DB8"/>
    <w:rsid w:val="001B2DB9"/>
    <w:rsid w:val="001B2E41"/>
    <w:rsid w:val="001B35C7"/>
    <w:rsid w:val="001B3755"/>
    <w:rsid w:val="001B3DC4"/>
    <w:rsid w:val="001B40A3"/>
    <w:rsid w:val="001B40B9"/>
    <w:rsid w:val="001B4391"/>
    <w:rsid w:val="001B4993"/>
    <w:rsid w:val="001B4A76"/>
    <w:rsid w:val="001B4E61"/>
    <w:rsid w:val="001B5512"/>
    <w:rsid w:val="001B59C2"/>
    <w:rsid w:val="001B5B6A"/>
    <w:rsid w:val="001B5D1C"/>
    <w:rsid w:val="001B6A7F"/>
    <w:rsid w:val="001B6BBA"/>
    <w:rsid w:val="001B6FF3"/>
    <w:rsid w:val="001B7302"/>
    <w:rsid w:val="001B7746"/>
    <w:rsid w:val="001B7772"/>
    <w:rsid w:val="001B7B15"/>
    <w:rsid w:val="001C0025"/>
    <w:rsid w:val="001C0251"/>
    <w:rsid w:val="001C0285"/>
    <w:rsid w:val="001C065C"/>
    <w:rsid w:val="001C0710"/>
    <w:rsid w:val="001C0A7A"/>
    <w:rsid w:val="001C0D73"/>
    <w:rsid w:val="001C1474"/>
    <w:rsid w:val="001C1731"/>
    <w:rsid w:val="001C1A16"/>
    <w:rsid w:val="001C1FE6"/>
    <w:rsid w:val="001C2087"/>
    <w:rsid w:val="001C2201"/>
    <w:rsid w:val="001C25C6"/>
    <w:rsid w:val="001C26D2"/>
    <w:rsid w:val="001C2925"/>
    <w:rsid w:val="001C29D3"/>
    <w:rsid w:val="001C2B2A"/>
    <w:rsid w:val="001C2BF9"/>
    <w:rsid w:val="001C317D"/>
    <w:rsid w:val="001C34C4"/>
    <w:rsid w:val="001C3625"/>
    <w:rsid w:val="001C381B"/>
    <w:rsid w:val="001C3837"/>
    <w:rsid w:val="001C4035"/>
    <w:rsid w:val="001C46E6"/>
    <w:rsid w:val="001C487F"/>
    <w:rsid w:val="001C4AB8"/>
    <w:rsid w:val="001C4EE3"/>
    <w:rsid w:val="001C5189"/>
    <w:rsid w:val="001C51DA"/>
    <w:rsid w:val="001C5274"/>
    <w:rsid w:val="001C53FD"/>
    <w:rsid w:val="001C5F94"/>
    <w:rsid w:val="001C5FC6"/>
    <w:rsid w:val="001C5FD8"/>
    <w:rsid w:val="001C610A"/>
    <w:rsid w:val="001C610B"/>
    <w:rsid w:val="001C6410"/>
    <w:rsid w:val="001C6869"/>
    <w:rsid w:val="001C68C3"/>
    <w:rsid w:val="001C6A99"/>
    <w:rsid w:val="001C7BB5"/>
    <w:rsid w:val="001D013F"/>
    <w:rsid w:val="001D019E"/>
    <w:rsid w:val="001D059D"/>
    <w:rsid w:val="001D068B"/>
    <w:rsid w:val="001D09DD"/>
    <w:rsid w:val="001D0F17"/>
    <w:rsid w:val="001D16C6"/>
    <w:rsid w:val="001D1B12"/>
    <w:rsid w:val="001D1F7C"/>
    <w:rsid w:val="001D207F"/>
    <w:rsid w:val="001D2506"/>
    <w:rsid w:val="001D251E"/>
    <w:rsid w:val="001D30AC"/>
    <w:rsid w:val="001D317E"/>
    <w:rsid w:val="001D3C38"/>
    <w:rsid w:val="001D4641"/>
    <w:rsid w:val="001D4ADE"/>
    <w:rsid w:val="001D4C2E"/>
    <w:rsid w:val="001D4CD8"/>
    <w:rsid w:val="001D4F61"/>
    <w:rsid w:val="001D5BBA"/>
    <w:rsid w:val="001D6C8B"/>
    <w:rsid w:val="001D7C7D"/>
    <w:rsid w:val="001D7EE8"/>
    <w:rsid w:val="001E08F4"/>
    <w:rsid w:val="001E0E49"/>
    <w:rsid w:val="001E0FF6"/>
    <w:rsid w:val="001E11F3"/>
    <w:rsid w:val="001E12CC"/>
    <w:rsid w:val="001E1937"/>
    <w:rsid w:val="001E21BF"/>
    <w:rsid w:val="001E2B8A"/>
    <w:rsid w:val="001E2C93"/>
    <w:rsid w:val="001E2CFC"/>
    <w:rsid w:val="001E2FEF"/>
    <w:rsid w:val="001E39B6"/>
    <w:rsid w:val="001E3C6D"/>
    <w:rsid w:val="001E40E4"/>
    <w:rsid w:val="001E4642"/>
    <w:rsid w:val="001E4784"/>
    <w:rsid w:val="001E4995"/>
    <w:rsid w:val="001E4B9D"/>
    <w:rsid w:val="001E4C6A"/>
    <w:rsid w:val="001E4EF3"/>
    <w:rsid w:val="001E5841"/>
    <w:rsid w:val="001E64D8"/>
    <w:rsid w:val="001E675D"/>
    <w:rsid w:val="001E72BA"/>
    <w:rsid w:val="001E7621"/>
    <w:rsid w:val="001F009C"/>
    <w:rsid w:val="001F00FA"/>
    <w:rsid w:val="001F0568"/>
    <w:rsid w:val="001F05B1"/>
    <w:rsid w:val="001F079E"/>
    <w:rsid w:val="001F093A"/>
    <w:rsid w:val="001F0B0B"/>
    <w:rsid w:val="001F0D73"/>
    <w:rsid w:val="001F1037"/>
    <w:rsid w:val="001F1848"/>
    <w:rsid w:val="001F1DAE"/>
    <w:rsid w:val="001F1EBE"/>
    <w:rsid w:val="001F1F05"/>
    <w:rsid w:val="001F24CC"/>
    <w:rsid w:val="001F2735"/>
    <w:rsid w:val="001F2AF1"/>
    <w:rsid w:val="001F2F16"/>
    <w:rsid w:val="001F34B0"/>
    <w:rsid w:val="001F375E"/>
    <w:rsid w:val="001F3DB5"/>
    <w:rsid w:val="001F3FD7"/>
    <w:rsid w:val="001F4259"/>
    <w:rsid w:val="001F4298"/>
    <w:rsid w:val="001F435E"/>
    <w:rsid w:val="001F43BD"/>
    <w:rsid w:val="001F4434"/>
    <w:rsid w:val="001F495E"/>
    <w:rsid w:val="001F4A96"/>
    <w:rsid w:val="001F4C00"/>
    <w:rsid w:val="001F4D33"/>
    <w:rsid w:val="001F4F79"/>
    <w:rsid w:val="001F520C"/>
    <w:rsid w:val="001F5338"/>
    <w:rsid w:val="001F56C9"/>
    <w:rsid w:val="001F58BC"/>
    <w:rsid w:val="001F5945"/>
    <w:rsid w:val="001F594F"/>
    <w:rsid w:val="001F6EB3"/>
    <w:rsid w:val="001F7C3A"/>
    <w:rsid w:val="001F7D81"/>
    <w:rsid w:val="001F7F82"/>
    <w:rsid w:val="00200318"/>
    <w:rsid w:val="00200604"/>
    <w:rsid w:val="0020071A"/>
    <w:rsid w:val="00200782"/>
    <w:rsid w:val="00201498"/>
    <w:rsid w:val="00201BB9"/>
    <w:rsid w:val="00202337"/>
    <w:rsid w:val="00202457"/>
    <w:rsid w:val="00202E21"/>
    <w:rsid w:val="00202F38"/>
    <w:rsid w:val="002031BD"/>
    <w:rsid w:val="00203687"/>
    <w:rsid w:val="00203CEE"/>
    <w:rsid w:val="002044DC"/>
    <w:rsid w:val="00204BAF"/>
    <w:rsid w:val="00204C95"/>
    <w:rsid w:val="00204D2D"/>
    <w:rsid w:val="00204E67"/>
    <w:rsid w:val="00204E81"/>
    <w:rsid w:val="00205397"/>
    <w:rsid w:val="00205681"/>
    <w:rsid w:val="00205A92"/>
    <w:rsid w:val="002064DE"/>
    <w:rsid w:val="00206AAE"/>
    <w:rsid w:val="00206BA4"/>
    <w:rsid w:val="00207161"/>
    <w:rsid w:val="00207306"/>
    <w:rsid w:val="00207BEA"/>
    <w:rsid w:val="0021004F"/>
    <w:rsid w:val="0021020B"/>
    <w:rsid w:val="002109B3"/>
    <w:rsid w:val="00211546"/>
    <w:rsid w:val="0021158B"/>
    <w:rsid w:val="00211CF7"/>
    <w:rsid w:val="00212469"/>
    <w:rsid w:val="00212DFF"/>
    <w:rsid w:val="00212F55"/>
    <w:rsid w:val="0021358A"/>
    <w:rsid w:val="0021361B"/>
    <w:rsid w:val="00213AD2"/>
    <w:rsid w:val="00213E12"/>
    <w:rsid w:val="00214107"/>
    <w:rsid w:val="002145FD"/>
    <w:rsid w:val="0021496D"/>
    <w:rsid w:val="002149E1"/>
    <w:rsid w:val="00214D8F"/>
    <w:rsid w:val="0021547C"/>
    <w:rsid w:val="00216654"/>
    <w:rsid w:val="00216BAD"/>
    <w:rsid w:val="00217846"/>
    <w:rsid w:val="002178A4"/>
    <w:rsid w:val="0021796D"/>
    <w:rsid w:val="00217C94"/>
    <w:rsid w:val="00217CDC"/>
    <w:rsid w:val="00217D61"/>
    <w:rsid w:val="00217DDE"/>
    <w:rsid w:val="00217FA4"/>
    <w:rsid w:val="0022024F"/>
    <w:rsid w:val="00220284"/>
    <w:rsid w:val="00220608"/>
    <w:rsid w:val="00220953"/>
    <w:rsid w:val="00220C80"/>
    <w:rsid w:val="00220E54"/>
    <w:rsid w:val="00220F50"/>
    <w:rsid w:val="00220FDB"/>
    <w:rsid w:val="0022147C"/>
    <w:rsid w:val="002214CA"/>
    <w:rsid w:val="002227E8"/>
    <w:rsid w:val="00222D95"/>
    <w:rsid w:val="00222FD9"/>
    <w:rsid w:val="002233D2"/>
    <w:rsid w:val="00223677"/>
    <w:rsid w:val="00223C51"/>
    <w:rsid w:val="00223E9D"/>
    <w:rsid w:val="0022438E"/>
    <w:rsid w:val="002243B6"/>
    <w:rsid w:val="0022450C"/>
    <w:rsid w:val="00224594"/>
    <w:rsid w:val="00224637"/>
    <w:rsid w:val="00224AB4"/>
    <w:rsid w:val="00224B54"/>
    <w:rsid w:val="00224EEC"/>
    <w:rsid w:val="0022635F"/>
    <w:rsid w:val="002264AC"/>
    <w:rsid w:val="00226605"/>
    <w:rsid w:val="00227387"/>
    <w:rsid w:val="00227F5D"/>
    <w:rsid w:val="00230DDB"/>
    <w:rsid w:val="00231F9C"/>
    <w:rsid w:val="002322F8"/>
    <w:rsid w:val="002324FE"/>
    <w:rsid w:val="00232DFB"/>
    <w:rsid w:val="00233246"/>
    <w:rsid w:val="00233836"/>
    <w:rsid w:val="00233940"/>
    <w:rsid w:val="00233B52"/>
    <w:rsid w:val="00233D00"/>
    <w:rsid w:val="00233D4E"/>
    <w:rsid w:val="00233EE2"/>
    <w:rsid w:val="0023492F"/>
    <w:rsid w:val="00234DA5"/>
    <w:rsid w:val="002358E9"/>
    <w:rsid w:val="00235BB7"/>
    <w:rsid w:val="00235E50"/>
    <w:rsid w:val="00236090"/>
    <w:rsid w:val="0023609B"/>
    <w:rsid w:val="00236287"/>
    <w:rsid w:val="00236A73"/>
    <w:rsid w:val="00236AE5"/>
    <w:rsid w:val="00236D4A"/>
    <w:rsid w:val="00237026"/>
    <w:rsid w:val="00237560"/>
    <w:rsid w:val="0023757F"/>
    <w:rsid w:val="0023770F"/>
    <w:rsid w:val="0023791F"/>
    <w:rsid w:val="002379DE"/>
    <w:rsid w:val="00237E08"/>
    <w:rsid w:val="00240270"/>
    <w:rsid w:val="0024057E"/>
    <w:rsid w:val="00240685"/>
    <w:rsid w:val="00240C3D"/>
    <w:rsid w:val="00241DD5"/>
    <w:rsid w:val="00241EEA"/>
    <w:rsid w:val="00242469"/>
    <w:rsid w:val="00242C86"/>
    <w:rsid w:val="0024323A"/>
    <w:rsid w:val="0024367F"/>
    <w:rsid w:val="0024375A"/>
    <w:rsid w:val="0024392A"/>
    <w:rsid w:val="00243C5B"/>
    <w:rsid w:val="002441B9"/>
    <w:rsid w:val="002442B8"/>
    <w:rsid w:val="0024465D"/>
    <w:rsid w:val="00244800"/>
    <w:rsid w:val="0024493E"/>
    <w:rsid w:val="002450ED"/>
    <w:rsid w:val="0024573B"/>
    <w:rsid w:val="00246095"/>
    <w:rsid w:val="00246CE1"/>
    <w:rsid w:val="00246DCC"/>
    <w:rsid w:val="00247249"/>
    <w:rsid w:val="002474DF"/>
    <w:rsid w:val="002501B6"/>
    <w:rsid w:val="0025037F"/>
    <w:rsid w:val="00250A13"/>
    <w:rsid w:val="00250E40"/>
    <w:rsid w:val="00251001"/>
    <w:rsid w:val="00251BAD"/>
    <w:rsid w:val="0025230D"/>
    <w:rsid w:val="00252538"/>
    <w:rsid w:val="002529B8"/>
    <w:rsid w:val="00252AAA"/>
    <w:rsid w:val="002535BC"/>
    <w:rsid w:val="0025377E"/>
    <w:rsid w:val="002539AC"/>
    <w:rsid w:val="00253B0C"/>
    <w:rsid w:val="00253B18"/>
    <w:rsid w:val="0025437E"/>
    <w:rsid w:val="002546F4"/>
    <w:rsid w:val="00254BEF"/>
    <w:rsid w:val="00254E41"/>
    <w:rsid w:val="00254EA6"/>
    <w:rsid w:val="00254F57"/>
    <w:rsid w:val="002555CE"/>
    <w:rsid w:val="002556D8"/>
    <w:rsid w:val="0025570C"/>
    <w:rsid w:val="00255E7D"/>
    <w:rsid w:val="0025609D"/>
    <w:rsid w:val="0025656A"/>
    <w:rsid w:val="0025680D"/>
    <w:rsid w:val="002568CE"/>
    <w:rsid w:val="002570D2"/>
    <w:rsid w:val="00257596"/>
    <w:rsid w:val="00257DA4"/>
    <w:rsid w:val="00257DF2"/>
    <w:rsid w:val="002600F8"/>
    <w:rsid w:val="0026028D"/>
    <w:rsid w:val="002603AE"/>
    <w:rsid w:val="00260452"/>
    <w:rsid w:val="00260885"/>
    <w:rsid w:val="00260A29"/>
    <w:rsid w:val="00260D89"/>
    <w:rsid w:val="0026118D"/>
    <w:rsid w:val="00261359"/>
    <w:rsid w:val="002619B0"/>
    <w:rsid w:val="00261C37"/>
    <w:rsid w:val="00261F9B"/>
    <w:rsid w:val="00262243"/>
    <w:rsid w:val="00262914"/>
    <w:rsid w:val="00262B64"/>
    <w:rsid w:val="00262D84"/>
    <w:rsid w:val="0026352E"/>
    <w:rsid w:val="002636C7"/>
    <w:rsid w:val="00263E4A"/>
    <w:rsid w:val="0026443A"/>
    <w:rsid w:val="00264647"/>
    <w:rsid w:val="00264D19"/>
    <w:rsid w:val="00265423"/>
    <w:rsid w:val="002656B9"/>
    <w:rsid w:val="0026646C"/>
    <w:rsid w:val="00266687"/>
    <w:rsid w:val="002667A6"/>
    <w:rsid w:val="00266961"/>
    <w:rsid w:val="00267354"/>
    <w:rsid w:val="002673CC"/>
    <w:rsid w:val="00267D26"/>
    <w:rsid w:val="00270491"/>
    <w:rsid w:val="002705B6"/>
    <w:rsid w:val="00270CE3"/>
    <w:rsid w:val="00270F60"/>
    <w:rsid w:val="00271022"/>
    <w:rsid w:val="0027118E"/>
    <w:rsid w:val="00271348"/>
    <w:rsid w:val="00271D78"/>
    <w:rsid w:val="00272852"/>
    <w:rsid w:val="00272959"/>
    <w:rsid w:val="00272E4E"/>
    <w:rsid w:val="0027350B"/>
    <w:rsid w:val="00273925"/>
    <w:rsid w:val="00273CB5"/>
    <w:rsid w:val="00273EA7"/>
    <w:rsid w:val="00274247"/>
    <w:rsid w:val="00274328"/>
    <w:rsid w:val="002748C6"/>
    <w:rsid w:val="002749E8"/>
    <w:rsid w:val="00274C51"/>
    <w:rsid w:val="00275494"/>
    <w:rsid w:val="002759C0"/>
    <w:rsid w:val="00275EF1"/>
    <w:rsid w:val="0027614A"/>
    <w:rsid w:val="00276269"/>
    <w:rsid w:val="00276270"/>
    <w:rsid w:val="0027648E"/>
    <w:rsid w:val="002765AB"/>
    <w:rsid w:val="002767C2"/>
    <w:rsid w:val="00276845"/>
    <w:rsid w:val="00276F14"/>
    <w:rsid w:val="00277057"/>
    <w:rsid w:val="0027739E"/>
    <w:rsid w:val="002803EC"/>
    <w:rsid w:val="00280469"/>
    <w:rsid w:val="00280536"/>
    <w:rsid w:val="00280678"/>
    <w:rsid w:val="00280845"/>
    <w:rsid w:val="00280CC0"/>
    <w:rsid w:val="00280E38"/>
    <w:rsid w:val="00280FE8"/>
    <w:rsid w:val="00281225"/>
    <w:rsid w:val="00281650"/>
    <w:rsid w:val="0028185A"/>
    <w:rsid w:val="00281E9E"/>
    <w:rsid w:val="00281F04"/>
    <w:rsid w:val="00282073"/>
    <w:rsid w:val="00282687"/>
    <w:rsid w:val="00282B1E"/>
    <w:rsid w:val="00283423"/>
    <w:rsid w:val="002841E1"/>
    <w:rsid w:val="002845F4"/>
    <w:rsid w:val="00284603"/>
    <w:rsid w:val="00284793"/>
    <w:rsid w:val="00284C73"/>
    <w:rsid w:val="00284CF9"/>
    <w:rsid w:val="002853E8"/>
    <w:rsid w:val="002855E3"/>
    <w:rsid w:val="00285963"/>
    <w:rsid w:val="00286051"/>
    <w:rsid w:val="00286599"/>
    <w:rsid w:val="00286B32"/>
    <w:rsid w:val="00286B67"/>
    <w:rsid w:val="00290567"/>
    <w:rsid w:val="00290AC6"/>
    <w:rsid w:val="00290ED7"/>
    <w:rsid w:val="00291034"/>
    <w:rsid w:val="002918F2"/>
    <w:rsid w:val="00292077"/>
    <w:rsid w:val="0029216B"/>
    <w:rsid w:val="002921E2"/>
    <w:rsid w:val="00292934"/>
    <w:rsid w:val="00292D53"/>
    <w:rsid w:val="0029308A"/>
    <w:rsid w:val="0029387E"/>
    <w:rsid w:val="002942DF"/>
    <w:rsid w:val="002944BF"/>
    <w:rsid w:val="00294EED"/>
    <w:rsid w:val="00294FB6"/>
    <w:rsid w:val="0029549E"/>
    <w:rsid w:val="002955E7"/>
    <w:rsid w:val="00295836"/>
    <w:rsid w:val="00296192"/>
    <w:rsid w:val="00296833"/>
    <w:rsid w:val="00296AEC"/>
    <w:rsid w:val="00296E01"/>
    <w:rsid w:val="002970AC"/>
    <w:rsid w:val="00297164"/>
    <w:rsid w:val="002973D8"/>
    <w:rsid w:val="002974AF"/>
    <w:rsid w:val="002A03AF"/>
    <w:rsid w:val="002A07DF"/>
    <w:rsid w:val="002A0C51"/>
    <w:rsid w:val="002A10B3"/>
    <w:rsid w:val="002A1495"/>
    <w:rsid w:val="002A1B94"/>
    <w:rsid w:val="002A26BA"/>
    <w:rsid w:val="002A2991"/>
    <w:rsid w:val="002A2BC3"/>
    <w:rsid w:val="002A2E4F"/>
    <w:rsid w:val="002A3F12"/>
    <w:rsid w:val="002A435B"/>
    <w:rsid w:val="002A49EF"/>
    <w:rsid w:val="002A4A65"/>
    <w:rsid w:val="002A4E9E"/>
    <w:rsid w:val="002A555C"/>
    <w:rsid w:val="002A5A18"/>
    <w:rsid w:val="002A633A"/>
    <w:rsid w:val="002A6378"/>
    <w:rsid w:val="002A63F6"/>
    <w:rsid w:val="002A67B3"/>
    <w:rsid w:val="002A6930"/>
    <w:rsid w:val="002A71DF"/>
    <w:rsid w:val="002A760E"/>
    <w:rsid w:val="002A77CC"/>
    <w:rsid w:val="002A7A9D"/>
    <w:rsid w:val="002B03B2"/>
    <w:rsid w:val="002B1CBD"/>
    <w:rsid w:val="002B1EEA"/>
    <w:rsid w:val="002B2337"/>
    <w:rsid w:val="002B2897"/>
    <w:rsid w:val="002B2E71"/>
    <w:rsid w:val="002B2E7E"/>
    <w:rsid w:val="002B2F7D"/>
    <w:rsid w:val="002B31F7"/>
    <w:rsid w:val="002B3481"/>
    <w:rsid w:val="002B349E"/>
    <w:rsid w:val="002B3E1E"/>
    <w:rsid w:val="002B4322"/>
    <w:rsid w:val="002B4AA7"/>
    <w:rsid w:val="002B4B61"/>
    <w:rsid w:val="002B4DE1"/>
    <w:rsid w:val="002B5171"/>
    <w:rsid w:val="002B53F4"/>
    <w:rsid w:val="002B55C7"/>
    <w:rsid w:val="002B55DE"/>
    <w:rsid w:val="002B567D"/>
    <w:rsid w:val="002B5A51"/>
    <w:rsid w:val="002B5A88"/>
    <w:rsid w:val="002B621A"/>
    <w:rsid w:val="002B65E4"/>
    <w:rsid w:val="002C04A4"/>
    <w:rsid w:val="002C0528"/>
    <w:rsid w:val="002C085A"/>
    <w:rsid w:val="002C0A35"/>
    <w:rsid w:val="002C1026"/>
    <w:rsid w:val="002C1397"/>
    <w:rsid w:val="002C1669"/>
    <w:rsid w:val="002C1BDB"/>
    <w:rsid w:val="002C2234"/>
    <w:rsid w:val="002C2798"/>
    <w:rsid w:val="002C2E2E"/>
    <w:rsid w:val="002C3164"/>
    <w:rsid w:val="002C327E"/>
    <w:rsid w:val="002C32DC"/>
    <w:rsid w:val="002C33E7"/>
    <w:rsid w:val="002C413F"/>
    <w:rsid w:val="002C48EE"/>
    <w:rsid w:val="002C5497"/>
    <w:rsid w:val="002C54BD"/>
    <w:rsid w:val="002C5774"/>
    <w:rsid w:val="002C64D3"/>
    <w:rsid w:val="002C6699"/>
    <w:rsid w:val="002C6E99"/>
    <w:rsid w:val="002C7AB9"/>
    <w:rsid w:val="002C7E65"/>
    <w:rsid w:val="002D012D"/>
    <w:rsid w:val="002D0402"/>
    <w:rsid w:val="002D044E"/>
    <w:rsid w:val="002D1937"/>
    <w:rsid w:val="002D1AB2"/>
    <w:rsid w:val="002D205C"/>
    <w:rsid w:val="002D20DD"/>
    <w:rsid w:val="002D21B0"/>
    <w:rsid w:val="002D29F3"/>
    <w:rsid w:val="002D2A1C"/>
    <w:rsid w:val="002D2A36"/>
    <w:rsid w:val="002D2D92"/>
    <w:rsid w:val="002D3074"/>
    <w:rsid w:val="002D30B2"/>
    <w:rsid w:val="002D327E"/>
    <w:rsid w:val="002D3514"/>
    <w:rsid w:val="002D42C5"/>
    <w:rsid w:val="002D4DF5"/>
    <w:rsid w:val="002D5200"/>
    <w:rsid w:val="002D5760"/>
    <w:rsid w:val="002D5D02"/>
    <w:rsid w:val="002D5DE3"/>
    <w:rsid w:val="002D6020"/>
    <w:rsid w:val="002D6CE3"/>
    <w:rsid w:val="002D747A"/>
    <w:rsid w:val="002D7AA4"/>
    <w:rsid w:val="002E0006"/>
    <w:rsid w:val="002E0883"/>
    <w:rsid w:val="002E0B5C"/>
    <w:rsid w:val="002E0ECA"/>
    <w:rsid w:val="002E11DB"/>
    <w:rsid w:val="002E1344"/>
    <w:rsid w:val="002E1B12"/>
    <w:rsid w:val="002E1D1E"/>
    <w:rsid w:val="002E24D3"/>
    <w:rsid w:val="002E2537"/>
    <w:rsid w:val="002E2744"/>
    <w:rsid w:val="002E2991"/>
    <w:rsid w:val="002E2D58"/>
    <w:rsid w:val="002E312D"/>
    <w:rsid w:val="002E3144"/>
    <w:rsid w:val="002E317F"/>
    <w:rsid w:val="002E31BC"/>
    <w:rsid w:val="002E3D75"/>
    <w:rsid w:val="002E3D85"/>
    <w:rsid w:val="002E3E21"/>
    <w:rsid w:val="002E3EDF"/>
    <w:rsid w:val="002E414A"/>
    <w:rsid w:val="002E45BF"/>
    <w:rsid w:val="002E494A"/>
    <w:rsid w:val="002E4BE6"/>
    <w:rsid w:val="002E5011"/>
    <w:rsid w:val="002E5481"/>
    <w:rsid w:val="002E5832"/>
    <w:rsid w:val="002E5E71"/>
    <w:rsid w:val="002E67E4"/>
    <w:rsid w:val="002E6A1C"/>
    <w:rsid w:val="002E6AAB"/>
    <w:rsid w:val="002E6CFD"/>
    <w:rsid w:val="002E77DC"/>
    <w:rsid w:val="002E792F"/>
    <w:rsid w:val="002F073B"/>
    <w:rsid w:val="002F0B92"/>
    <w:rsid w:val="002F0BC3"/>
    <w:rsid w:val="002F0F46"/>
    <w:rsid w:val="002F110A"/>
    <w:rsid w:val="002F162B"/>
    <w:rsid w:val="002F174B"/>
    <w:rsid w:val="002F1865"/>
    <w:rsid w:val="002F18BD"/>
    <w:rsid w:val="002F2172"/>
    <w:rsid w:val="002F21B6"/>
    <w:rsid w:val="002F2311"/>
    <w:rsid w:val="002F2779"/>
    <w:rsid w:val="002F3AC9"/>
    <w:rsid w:val="002F3F75"/>
    <w:rsid w:val="002F4084"/>
    <w:rsid w:val="002F4510"/>
    <w:rsid w:val="002F467A"/>
    <w:rsid w:val="002F46B1"/>
    <w:rsid w:val="002F4A99"/>
    <w:rsid w:val="002F4FB7"/>
    <w:rsid w:val="002F5637"/>
    <w:rsid w:val="002F5D96"/>
    <w:rsid w:val="002F5E1C"/>
    <w:rsid w:val="002F65E2"/>
    <w:rsid w:val="002F6916"/>
    <w:rsid w:val="002F6C00"/>
    <w:rsid w:val="002F7D34"/>
    <w:rsid w:val="002F7D50"/>
    <w:rsid w:val="002F7D86"/>
    <w:rsid w:val="00300507"/>
    <w:rsid w:val="00300BA2"/>
    <w:rsid w:val="00300D94"/>
    <w:rsid w:val="00300DB8"/>
    <w:rsid w:val="0030121A"/>
    <w:rsid w:val="00301224"/>
    <w:rsid w:val="00301519"/>
    <w:rsid w:val="00301527"/>
    <w:rsid w:val="00301F51"/>
    <w:rsid w:val="003021A8"/>
    <w:rsid w:val="00302993"/>
    <w:rsid w:val="00302C96"/>
    <w:rsid w:val="00302CEF"/>
    <w:rsid w:val="003034FB"/>
    <w:rsid w:val="00303546"/>
    <w:rsid w:val="00304DC1"/>
    <w:rsid w:val="00304EFF"/>
    <w:rsid w:val="0030546F"/>
    <w:rsid w:val="00305554"/>
    <w:rsid w:val="00305B9D"/>
    <w:rsid w:val="00306658"/>
    <w:rsid w:val="003066F3"/>
    <w:rsid w:val="003070BE"/>
    <w:rsid w:val="0030716A"/>
    <w:rsid w:val="003071B0"/>
    <w:rsid w:val="00307B5A"/>
    <w:rsid w:val="00307C44"/>
    <w:rsid w:val="00307F1A"/>
    <w:rsid w:val="00310C76"/>
    <w:rsid w:val="00310DAD"/>
    <w:rsid w:val="00310E6B"/>
    <w:rsid w:val="00311790"/>
    <w:rsid w:val="00311F41"/>
    <w:rsid w:val="00311FA0"/>
    <w:rsid w:val="00312FFA"/>
    <w:rsid w:val="003133DD"/>
    <w:rsid w:val="00313633"/>
    <w:rsid w:val="0031385C"/>
    <w:rsid w:val="0031403E"/>
    <w:rsid w:val="0031428A"/>
    <w:rsid w:val="00314411"/>
    <w:rsid w:val="003145B1"/>
    <w:rsid w:val="00314F0B"/>
    <w:rsid w:val="0031514C"/>
    <w:rsid w:val="00315B1B"/>
    <w:rsid w:val="00315E3F"/>
    <w:rsid w:val="00315FA8"/>
    <w:rsid w:val="00317087"/>
    <w:rsid w:val="003176C8"/>
    <w:rsid w:val="0032009A"/>
    <w:rsid w:val="003213EC"/>
    <w:rsid w:val="00321DFD"/>
    <w:rsid w:val="00321E29"/>
    <w:rsid w:val="00321FAA"/>
    <w:rsid w:val="003220FC"/>
    <w:rsid w:val="00322708"/>
    <w:rsid w:val="0032279E"/>
    <w:rsid w:val="00322A27"/>
    <w:rsid w:val="00322A52"/>
    <w:rsid w:val="0032358C"/>
    <w:rsid w:val="003239A8"/>
    <w:rsid w:val="00323A65"/>
    <w:rsid w:val="00323D79"/>
    <w:rsid w:val="00323E0A"/>
    <w:rsid w:val="00323FEF"/>
    <w:rsid w:val="00324BA7"/>
    <w:rsid w:val="00325613"/>
    <w:rsid w:val="003257CF"/>
    <w:rsid w:val="00325D02"/>
    <w:rsid w:val="00327566"/>
    <w:rsid w:val="00327D89"/>
    <w:rsid w:val="00327DA5"/>
    <w:rsid w:val="003300B7"/>
    <w:rsid w:val="003303FF"/>
    <w:rsid w:val="0033050E"/>
    <w:rsid w:val="00330A6A"/>
    <w:rsid w:val="00330B51"/>
    <w:rsid w:val="00330B5D"/>
    <w:rsid w:val="00330ED8"/>
    <w:rsid w:val="00330FDB"/>
    <w:rsid w:val="003314C2"/>
    <w:rsid w:val="0033185E"/>
    <w:rsid w:val="00331A30"/>
    <w:rsid w:val="00331D51"/>
    <w:rsid w:val="0033251F"/>
    <w:rsid w:val="00332BA3"/>
    <w:rsid w:val="0033337C"/>
    <w:rsid w:val="00333534"/>
    <w:rsid w:val="0033392A"/>
    <w:rsid w:val="0033398D"/>
    <w:rsid w:val="00333B4E"/>
    <w:rsid w:val="00333BD9"/>
    <w:rsid w:val="00333CD0"/>
    <w:rsid w:val="00333EE3"/>
    <w:rsid w:val="00333FE9"/>
    <w:rsid w:val="00334025"/>
    <w:rsid w:val="0033417D"/>
    <w:rsid w:val="00334670"/>
    <w:rsid w:val="0033476E"/>
    <w:rsid w:val="00334858"/>
    <w:rsid w:val="00334FF7"/>
    <w:rsid w:val="00335438"/>
    <w:rsid w:val="00335623"/>
    <w:rsid w:val="003356C9"/>
    <w:rsid w:val="00335758"/>
    <w:rsid w:val="00335785"/>
    <w:rsid w:val="00335CD8"/>
    <w:rsid w:val="00335F94"/>
    <w:rsid w:val="00337940"/>
    <w:rsid w:val="0033799C"/>
    <w:rsid w:val="00340418"/>
    <w:rsid w:val="00340758"/>
    <w:rsid w:val="00340A4A"/>
    <w:rsid w:val="00340B3C"/>
    <w:rsid w:val="00340DCD"/>
    <w:rsid w:val="00340EF8"/>
    <w:rsid w:val="00340FD0"/>
    <w:rsid w:val="00341CFE"/>
    <w:rsid w:val="00342139"/>
    <w:rsid w:val="0034249F"/>
    <w:rsid w:val="003425B0"/>
    <w:rsid w:val="0034284C"/>
    <w:rsid w:val="00343457"/>
    <w:rsid w:val="003438B5"/>
    <w:rsid w:val="003439A0"/>
    <w:rsid w:val="00343DD2"/>
    <w:rsid w:val="00344130"/>
    <w:rsid w:val="00344561"/>
    <w:rsid w:val="0034491F"/>
    <w:rsid w:val="00344A60"/>
    <w:rsid w:val="00344A6D"/>
    <w:rsid w:val="00344B6C"/>
    <w:rsid w:val="00344CFC"/>
    <w:rsid w:val="00344D45"/>
    <w:rsid w:val="0034514F"/>
    <w:rsid w:val="003454F8"/>
    <w:rsid w:val="0034566B"/>
    <w:rsid w:val="00345B6B"/>
    <w:rsid w:val="00345DC3"/>
    <w:rsid w:val="0034630D"/>
    <w:rsid w:val="003464C5"/>
    <w:rsid w:val="00346703"/>
    <w:rsid w:val="00346B8A"/>
    <w:rsid w:val="00346B8E"/>
    <w:rsid w:val="00346E00"/>
    <w:rsid w:val="00346F5E"/>
    <w:rsid w:val="003471ED"/>
    <w:rsid w:val="00347B92"/>
    <w:rsid w:val="00347BD1"/>
    <w:rsid w:val="00347DC7"/>
    <w:rsid w:val="00350148"/>
    <w:rsid w:val="00350595"/>
    <w:rsid w:val="003510B1"/>
    <w:rsid w:val="0035140D"/>
    <w:rsid w:val="00351B3A"/>
    <w:rsid w:val="00351DF9"/>
    <w:rsid w:val="00351F26"/>
    <w:rsid w:val="003520D6"/>
    <w:rsid w:val="003523AB"/>
    <w:rsid w:val="00352658"/>
    <w:rsid w:val="003526EF"/>
    <w:rsid w:val="00353218"/>
    <w:rsid w:val="00353702"/>
    <w:rsid w:val="00354118"/>
    <w:rsid w:val="00354CA4"/>
    <w:rsid w:val="00354DC6"/>
    <w:rsid w:val="00355BFF"/>
    <w:rsid w:val="00355C30"/>
    <w:rsid w:val="003560A9"/>
    <w:rsid w:val="00356765"/>
    <w:rsid w:val="00356855"/>
    <w:rsid w:val="0035686C"/>
    <w:rsid w:val="00356E77"/>
    <w:rsid w:val="00357448"/>
    <w:rsid w:val="00357D68"/>
    <w:rsid w:val="003603C0"/>
    <w:rsid w:val="003603DE"/>
    <w:rsid w:val="00360AF8"/>
    <w:rsid w:val="003612B0"/>
    <w:rsid w:val="00361E8B"/>
    <w:rsid w:val="00362382"/>
    <w:rsid w:val="0036294F"/>
    <w:rsid w:val="003638AE"/>
    <w:rsid w:val="003639C0"/>
    <w:rsid w:val="00363B33"/>
    <w:rsid w:val="00363DF8"/>
    <w:rsid w:val="0036423D"/>
    <w:rsid w:val="003647E0"/>
    <w:rsid w:val="00364DCF"/>
    <w:rsid w:val="00365203"/>
    <w:rsid w:val="003652B0"/>
    <w:rsid w:val="00365736"/>
    <w:rsid w:val="00365B59"/>
    <w:rsid w:val="00365C17"/>
    <w:rsid w:val="0036684E"/>
    <w:rsid w:val="0036711B"/>
    <w:rsid w:val="003672F1"/>
    <w:rsid w:val="003678E1"/>
    <w:rsid w:val="00367E74"/>
    <w:rsid w:val="00370079"/>
    <w:rsid w:val="00370363"/>
    <w:rsid w:val="0037088F"/>
    <w:rsid w:val="003709BE"/>
    <w:rsid w:val="00370B08"/>
    <w:rsid w:val="00370C37"/>
    <w:rsid w:val="00370F8B"/>
    <w:rsid w:val="00371E57"/>
    <w:rsid w:val="00371E79"/>
    <w:rsid w:val="00371EAC"/>
    <w:rsid w:val="003721CB"/>
    <w:rsid w:val="00372628"/>
    <w:rsid w:val="00372667"/>
    <w:rsid w:val="003731E4"/>
    <w:rsid w:val="003739A5"/>
    <w:rsid w:val="0037456B"/>
    <w:rsid w:val="003746F6"/>
    <w:rsid w:val="00374B99"/>
    <w:rsid w:val="003750D5"/>
    <w:rsid w:val="00375B65"/>
    <w:rsid w:val="00375BE7"/>
    <w:rsid w:val="0037633A"/>
    <w:rsid w:val="003763D6"/>
    <w:rsid w:val="003766F9"/>
    <w:rsid w:val="00376B1A"/>
    <w:rsid w:val="00377110"/>
    <w:rsid w:val="00377171"/>
    <w:rsid w:val="003773A8"/>
    <w:rsid w:val="003774AE"/>
    <w:rsid w:val="00377514"/>
    <w:rsid w:val="00377C2D"/>
    <w:rsid w:val="00377EAA"/>
    <w:rsid w:val="00377F3F"/>
    <w:rsid w:val="0038041E"/>
    <w:rsid w:val="003816A5"/>
    <w:rsid w:val="00381AC7"/>
    <w:rsid w:val="00381EBC"/>
    <w:rsid w:val="003821C0"/>
    <w:rsid w:val="0038230D"/>
    <w:rsid w:val="00383730"/>
    <w:rsid w:val="00383850"/>
    <w:rsid w:val="00383ABD"/>
    <w:rsid w:val="00383CCD"/>
    <w:rsid w:val="00383CFF"/>
    <w:rsid w:val="00383FC7"/>
    <w:rsid w:val="003843FD"/>
    <w:rsid w:val="00384797"/>
    <w:rsid w:val="00384B61"/>
    <w:rsid w:val="00384BB4"/>
    <w:rsid w:val="00384FC6"/>
    <w:rsid w:val="003850D4"/>
    <w:rsid w:val="0038523A"/>
    <w:rsid w:val="003852FE"/>
    <w:rsid w:val="0038539D"/>
    <w:rsid w:val="00385648"/>
    <w:rsid w:val="00385876"/>
    <w:rsid w:val="003858ED"/>
    <w:rsid w:val="0038599F"/>
    <w:rsid w:val="00385ADB"/>
    <w:rsid w:val="00385EE8"/>
    <w:rsid w:val="00385F7E"/>
    <w:rsid w:val="003863AF"/>
    <w:rsid w:val="0038667A"/>
    <w:rsid w:val="00386937"/>
    <w:rsid w:val="00386BA2"/>
    <w:rsid w:val="00386F3D"/>
    <w:rsid w:val="003874ED"/>
    <w:rsid w:val="00387A2D"/>
    <w:rsid w:val="00387CB1"/>
    <w:rsid w:val="00387D73"/>
    <w:rsid w:val="003901FA"/>
    <w:rsid w:val="003909BF"/>
    <w:rsid w:val="003915BB"/>
    <w:rsid w:val="00391C57"/>
    <w:rsid w:val="0039228F"/>
    <w:rsid w:val="00392568"/>
    <w:rsid w:val="00392765"/>
    <w:rsid w:val="003927F7"/>
    <w:rsid w:val="00392A69"/>
    <w:rsid w:val="003930E7"/>
    <w:rsid w:val="00393246"/>
    <w:rsid w:val="00393C0A"/>
    <w:rsid w:val="00393EF0"/>
    <w:rsid w:val="003941FB"/>
    <w:rsid w:val="0039444F"/>
    <w:rsid w:val="00394462"/>
    <w:rsid w:val="00394610"/>
    <w:rsid w:val="003947BF"/>
    <w:rsid w:val="00394CEE"/>
    <w:rsid w:val="003951ED"/>
    <w:rsid w:val="00395283"/>
    <w:rsid w:val="003952F6"/>
    <w:rsid w:val="00395379"/>
    <w:rsid w:val="003954D0"/>
    <w:rsid w:val="003957C4"/>
    <w:rsid w:val="00395C40"/>
    <w:rsid w:val="003961F0"/>
    <w:rsid w:val="0039625E"/>
    <w:rsid w:val="00396333"/>
    <w:rsid w:val="00396927"/>
    <w:rsid w:val="00396F82"/>
    <w:rsid w:val="00397220"/>
    <w:rsid w:val="003976D6"/>
    <w:rsid w:val="003977DD"/>
    <w:rsid w:val="00397D69"/>
    <w:rsid w:val="00397F5B"/>
    <w:rsid w:val="003A00C3"/>
    <w:rsid w:val="003A04A3"/>
    <w:rsid w:val="003A060B"/>
    <w:rsid w:val="003A0A5F"/>
    <w:rsid w:val="003A199F"/>
    <w:rsid w:val="003A19D5"/>
    <w:rsid w:val="003A1A6C"/>
    <w:rsid w:val="003A1C72"/>
    <w:rsid w:val="003A2806"/>
    <w:rsid w:val="003A28F6"/>
    <w:rsid w:val="003A2901"/>
    <w:rsid w:val="003A2F84"/>
    <w:rsid w:val="003A3101"/>
    <w:rsid w:val="003A3468"/>
    <w:rsid w:val="003A371A"/>
    <w:rsid w:val="003A3A70"/>
    <w:rsid w:val="003A3EB4"/>
    <w:rsid w:val="003A4001"/>
    <w:rsid w:val="003A43C4"/>
    <w:rsid w:val="003A456D"/>
    <w:rsid w:val="003A485C"/>
    <w:rsid w:val="003A4C14"/>
    <w:rsid w:val="003A4DC0"/>
    <w:rsid w:val="003A4FF9"/>
    <w:rsid w:val="003A5197"/>
    <w:rsid w:val="003A5388"/>
    <w:rsid w:val="003A549C"/>
    <w:rsid w:val="003A54AE"/>
    <w:rsid w:val="003A581B"/>
    <w:rsid w:val="003A5C2B"/>
    <w:rsid w:val="003A5CDF"/>
    <w:rsid w:val="003A5EE5"/>
    <w:rsid w:val="003A62DB"/>
    <w:rsid w:val="003A6308"/>
    <w:rsid w:val="003A6538"/>
    <w:rsid w:val="003A6652"/>
    <w:rsid w:val="003A66CF"/>
    <w:rsid w:val="003A66E8"/>
    <w:rsid w:val="003A6CF2"/>
    <w:rsid w:val="003A75F5"/>
    <w:rsid w:val="003A7C10"/>
    <w:rsid w:val="003B0620"/>
    <w:rsid w:val="003B068C"/>
    <w:rsid w:val="003B07D8"/>
    <w:rsid w:val="003B096B"/>
    <w:rsid w:val="003B117A"/>
    <w:rsid w:val="003B16B9"/>
    <w:rsid w:val="003B1FA8"/>
    <w:rsid w:val="003B225E"/>
    <w:rsid w:val="003B244B"/>
    <w:rsid w:val="003B24B2"/>
    <w:rsid w:val="003B25D2"/>
    <w:rsid w:val="003B2D91"/>
    <w:rsid w:val="003B35E0"/>
    <w:rsid w:val="003B3AF2"/>
    <w:rsid w:val="003B3BF1"/>
    <w:rsid w:val="003B414E"/>
    <w:rsid w:val="003B4733"/>
    <w:rsid w:val="003B5118"/>
    <w:rsid w:val="003B52E1"/>
    <w:rsid w:val="003B5A13"/>
    <w:rsid w:val="003B5C66"/>
    <w:rsid w:val="003B5CE6"/>
    <w:rsid w:val="003B60F2"/>
    <w:rsid w:val="003B62EE"/>
    <w:rsid w:val="003B63C4"/>
    <w:rsid w:val="003B64FF"/>
    <w:rsid w:val="003B6695"/>
    <w:rsid w:val="003B69EA"/>
    <w:rsid w:val="003B69FF"/>
    <w:rsid w:val="003B6CB3"/>
    <w:rsid w:val="003B6DCF"/>
    <w:rsid w:val="003C05F0"/>
    <w:rsid w:val="003C069A"/>
    <w:rsid w:val="003C0D23"/>
    <w:rsid w:val="003C1301"/>
    <w:rsid w:val="003C14CA"/>
    <w:rsid w:val="003C1577"/>
    <w:rsid w:val="003C1653"/>
    <w:rsid w:val="003C1C93"/>
    <w:rsid w:val="003C2038"/>
    <w:rsid w:val="003C20AE"/>
    <w:rsid w:val="003C2739"/>
    <w:rsid w:val="003C2B94"/>
    <w:rsid w:val="003C2BA9"/>
    <w:rsid w:val="003C2D6B"/>
    <w:rsid w:val="003C33E8"/>
    <w:rsid w:val="003C360C"/>
    <w:rsid w:val="003C3623"/>
    <w:rsid w:val="003C36A2"/>
    <w:rsid w:val="003C3A04"/>
    <w:rsid w:val="003C3D4C"/>
    <w:rsid w:val="003C3EEE"/>
    <w:rsid w:val="003C41D2"/>
    <w:rsid w:val="003C4790"/>
    <w:rsid w:val="003C49BC"/>
    <w:rsid w:val="003C5EDC"/>
    <w:rsid w:val="003C5EF2"/>
    <w:rsid w:val="003C626D"/>
    <w:rsid w:val="003C647A"/>
    <w:rsid w:val="003C69CB"/>
    <w:rsid w:val="003C6B1A"/>
    <w:rsid w:val="003C6B32"/>
    <w:rsid w:val="003C70A7"/>
    <w:rsid w:val="003C759C"/>
    <w:rsid w:val="003C76F2"/>
    <w:rsid w:val="003C7D2F"/>
    <w:rsid w:val="003D0146"/>
    <w:rsid w:val="003D0329"/>
    <w:rsid w:val="003D0B49"/>
    <w:rsid w:val="003D0F1A"/>
    <w:rsid w:val="003D11EB"/>
    <w:rsid w:val="003D14D1"/>
    <w:rsid w:val="003D167F"/>
    <w:rsid w:val="003D1B22"/>
    <w:rsid w:val="003D208E"/>
    <w:rsid w:val="003D216B"/>
    <w:rsid w:val="003D302E"/>
    <w:rsid w:val="003D3393"/>
    <w:rsid w:val="003D3C2B"/>
    <w:rsid w:val="003D3EC5"/>
    <w:rsid w:val="003D4247"/>
    <w:rsid w:val="003D50C8"/>
    <w:rsid w:val="003D5375"/>
    <w:rsid w:val="003D53B4"/>
    <w:rsid w:val="003D55C4"/>
    <w:rsid w:val="003D5816"/>
    <w:rsid w:val="003D58D6"/>
    <w:rsid w:val="003D60F7"/>
    <w:rsid w:val="003D61D4"/>
    <w:rsid w:val="003D6376"/>
    <w:rsid w:val="003D7090"/>
    <w:rsid w:val="003D733E"/>
    <w:rsid w:val="003D7609"/>
    <w:rsid w:val="003D7746"/>
    <w:rsid w:val="003D7891"/>
    <w:rsid w:val="003D7A00"/>
    <w:rsid w:val="003D7B03"/>
    <w:rsid w:val="003D7F83"/>
    <w:rsid w:val="003E0167"/>
    <w:rsid w:val="003E04E8"/>
    <w:rsid w:val="003E06DB"/>
    <w:rsid w:val="003E0807"/>
    <w:rsid w:val="003E0954"/>
    <w:rsid w:val="003E0A10"/>
    <w:rsid w:val="003E0EB3"/>
    <w:rsid w:val="003E27A6"/>
    <w:rsid w:val="003E2B9A"/>
    <w:rsid w:val="003E2C1E"/>
    <w:rsid w:val="003E2CD7"/>
    <w:rsid w:val="003E2EF1"/>
    <w:rsid w:val="003E3467"/>
    <w:rsid w:val="003E35D9"/>
    <w:rsid w:val="003E37A7"/>
    <w:rsid w:val="003E3890"/>
    <w:rsid w:val="003E3CA9"/>
    <w:rsid w:val="003E43A4"/>
    <w:rsid w:val="003E46E3"/>
    <w:rsid w:val="003E4A51"/>
    <w:rsid w:val="003E4C40"/>
    <w:rsid w:val="003E4E94"/>
    <w:rsid w:val="003E54CE"/>
    <w:rsid w:val="003E54D4"/>
    <w:rsid w:val="003E5731"/>
    <w:rsid w:val="003E5816"/>
    <w:rsid w:val="003E5E00"/>
    <w:rsid w:val="003E63BF"/>
    <w:rsid w:val="003E67BF"/>
    <w:rsid w:val="003E6905"/>
    <w:rsid w:val="003E6A2A"/>
    <w:rsid w:val="003E6C7A"/>
    <w:rsid w:val="003E7471"/>
    <w:rsid w:val="003E778A"/>
    <w:rsid w:val="003E79EB"/>
    <w:rsid w:val="003E7AB7"/>
    <w:rsid w:val="003E7F9C"/>
    <w:rsid w:val="003F085F"/>
    <w:rsid w:val="003F092B"/>
    <w:rsid w:val="003F0CE2"/>
    <w:rsid w:val="003F1497"/>
    <w:rsid w:val="003F23D1"/>
    <w:rsid w:val="003F274F"/>
    <w:rsid w:val="003F2A29"/>
    <w:rsid w:val="003F2C27"/>
    <w:rsid w:val="003F2CF2"/>
    <w:rsid w:val="003F2F76"/>
    <w:rsid w:val="003F359E"/>
    <w:rsid w:val="003F37E7"/>
    <w:rsid w:val="003F4003"/>
    <w:rsid w:val="003F400C"/>
    <w:rsid w:val="003F408F"/>
    <w:rsid w:val="003F41D6"/>
    <w:rsid w:val="003F42D1"/>
    <w:rsid w:val="003F4811"/>
    <w:rsid w:val="003F4A30"/>
    <w:rsid w:val="003F5431"/>
    <w:rsid w:val="003F548F"/>
    <w:rsid w:val="003F5C0D"/>
    <w:rsid w:val="003F5DC9"/>
    <w:rsid w:val="003F5F97"/>
    <w:rsid w:val="003F60D3"/>
    <w:rsid w:val="003F60F0"/>
    <w:rsid w:val="003F6731"/>
    <w:rsid w:val="003F73B9"/>
    <w:rsid w:val="003F74C4"/>
    <w:rsid w:val="003F77D6"/>
    <w:rsid w:val="003F7C8C"/>
    <w:rsid w:val="003F7FA1"/>
    <w:rsid w:val="0040027C"/>
    <w:rsid w:val="004004AC"/>
    <w:rsid w:val="004004CB"/>
    <w:rsid w:val="00400BE5"/>
    <w:rsid w:val="00401138"/>
    <w:rsid w:val="004011E2"/>
    <w:rsid w:val="004011E6"/>
    <w:rsid w:val="004015D0"/>
    <w:rsid w:val="0040196A"/>
    <w:rsid w:val="00402099"/>
    <w:rsid w:val="00403253"/>
    <w:rsid w:val="0040353E"/>
    <w:rsid w:val="0040374E"/>
    <w:rsid w:val="00403E73"/>
    <w:rsid w:val="0040407E"/>
    <w:rsid w:val="0040426C"/>
    <w:rsid w:val="0040478F"/>
    <w:rsid w:val="00405039"/>
    <w:rsid w:val="0040556A"/>
    <w:rsid w:val="00405A9D"/>
    <w:rsid w:val="00405C85"/>
    <w:rsid w:val="00405F99"/>
    <w:rsid w:val="00406ACB"/>
    <w:rsid w:val="00407075"/>
    <w:rsid w:val="00407B68"/>
    <w:rsid w:val="00407E6E"/>
    <w:rsid w:val="00410D79"/>
    <w:rsid w:val="00411018"/>
    <w:rsid w:val="00411A2E"/>
    <w:rsid w:val="0041260C"/>
    <w:rsid w:val="00412AD0"/>
    <w:rsid w:val="00412F3E"/>
    <w:rsid w:val="004136C0"/>
    <w:rsid w:val="004137C8"/>
    <w:rsid w:val="004140CF"/>
    <w:rsid w:val="0041474D"/>
    <w:rsid w:val="00414963"/>
    <w:rsid w:val="00414B5F"/>
    <w:rsid w:val="00415064"/>
    <w:rsid w:val="004151C1"/>
    <w:rsid w:val="0041593C"/>
    <w:rsid w:val="00415BDE"/>
    <w:rsid w:val="00415C14"/>
    <w:rsid w:val="00416847"/>
    <w:rsid w:val="0041687D"/>
    <w:rsid w:val="004178CC"/>
    <w:rsid w:val="004179D7"/>
    <w:rsid w:val="00417BAA"/>
    <w:rsid w:val="00417D5C"/>
    <w:rsid w:val="00417EC0"/>
    <w:rsid w:val="00420D61"/>
    <w:rsid w:val="00422008"/>
    <w:rsid w:val="00422238"/>
    <w:rsid w:val="00422B1A"/>
    <w:rsid w:val="00422E33"/>
    <w:rsid w:val="00422FB6"/>
    <w:rsid w:val="004231AE"/>
    <w:rsid w:val="00423E18"/>
    <w:rsid w:val="00424F85"/>
    <w:rsid w:val="0042546F"/>
    <w:rsid w:val="004256EE"/>
    <w:rsid w:val="0042595C"/>
    <w:rsid w:val="00425991"/>
    <w:rsid w:val="00425B14"/>
    <w:rsid w:val="00426936"/>
    <w:rsid w:val="00426C84"/>
    <w:rsid w:val="0042707F"/>
    <w:rsid w:val="004271E5"/>
    <w:rsid w:val="00427384"/>
    <w:rsid w:val="0042744A"/>
    <w:rsid w:val="004279C4"/>
    <w:rsid w:val="00427E3A"/>
    <w:rsid w:val="00430263"/>
    <w:rsid w:val="00430400"/>
    <w:rsid w:val="00430555"/>
    <w:rsid w:val="004305AE"/>
    <w:rsid w:val="0043061C"/>
    <w:rsid w:val="0043069B"/>
    <w:rsid w:val="004307D2"/>
    <w:rsid w:val="00430878"/>
    <w:rsid w:val="0043090E"/>
    <w:rsid w:val="004309D5"/>
    <w:rsid w:val="00430ED4"/>
    <w:rsid w:val="00430EDE"/>
    <w:rsid w:val="00430FF0"/>
    <w:rsid w:val="004314D4"/>
    <w:rsid w:val="00431BD3"/>
    <w:rsid w:val="004321B5"/>
    <w:rsid w:val="00432383"/>
    <w:rsid w:val="00432952"/>
    <w:rsid w:val="00433FB6"/>
    <w:rsid w:val="00433FFF"/>
    <w:rsid w:val="00434020"/>
    <w:rsid w:val="00434FFB"/>
    <w:rsid w:val="004350FC"/>
    <w:rsid w:val="00435665"/>
    <w:rsid w:val="0043589A"/>
    <w:rsid w:val="00435981"/>
    <w:rsid w:val="00435BB6"/>
    <w:rsid w:val="00435F4F"/>
    <w:rsid w:val="00436466"/>
    <w:rsid w:val="004369A8"/>
    <w:rsid w:val="00436EF6"/>
    <w:rsid w:val="0043756E"/>
    <w:rsid w:val="004376B9"/>
    <w:rsid w:val="00437B3C"/>
    <w:rsid w:val="00437BAB"/>
    <w:rsid w:val="00437F59"/>
    <w:rsid w:val="00440141"/>
    <w:rsid w:val="00440415"/>
    <w:rsid w:val="00440620"/>
    <w:rsid w:val="00440B47"/>
    <w:rsid w:val="00440B49"/>
    <w:rsid w:val="00440E5E"/>
    <w:rsid w:val="00440FC6"/>
    <w:rsid w:val="00441012"/>
    <w:rsid w:val="004416B6"/>
    <w:rsid w:val="00441AAD"/>
    <w:rsid w:val="00441AE4"/>
    <w:rsid w:val="00441FC3"/>
    <w:rsid w:val="004421BD"/>
    <w:rsid w:val="00442268"/>
    <w:rsid w:val="00442844"/>
    <w:rsid w:val="004428B2"/>
    <w:rsid w:val="00442D14"/>
    <w:rsid w:val="00442F53"/>
    <w:rsid w:val="00443232"/>
    <w:rsid w:val="004433BC"/>
    <w:rsid w:val="0044452F"/>
    <w:rsid w:val="004447B8"/>
    <w:rsid w:val="004449BB"/>
    <w:rsid w:val="00445519"/>
    <w:rsid w:val="004462F2"/>
    <w:rsid w:val="00446D47"/>
    <w:rsid w:val="0044720B"/>
    <w:rsid w:val="0044746A"/>
    <w:rsid w:val="004478DF"/>
    <w:rsid w:val="00447CED"/>
    <w:rsid w:val="0045028F"/>
    <w:rsid w:val="004503E2"/>
    <w:rsid w:val="004508D8"/>
    <w:rsid w:val="00450A17"/>
    <w:rsid w:val="00450D1C"/>
    <w:rsid w:val="00451264"/>
    <w:rsid w:val="0045132E"/>
    <w:rsid w:val="00451341"/>
    <w:rsid w:val="00451B01"/>
    <w:rsid w:val="00451B3B"/>
    <w:rsid w:val="00451D8E"/>
    <w:rsid w:val="00451EFC"/>
    <w:rsid w:val="004521DC"/>
    <w:rsid w:val="0045258D"/>
    <w:rsid w:val="004527ED"/>
    <w:rsid w:val="00452E2B"/>
    <w:rsid w:val="00452EB8"/>
    <w:rsid w:val="00452ECB"/>
    <w:rsid w:val="0045327F"/>
    <w:rsid w:val="004536E7"/>
    <w:rsid w:val="004538EF"/>
    <w:rsid w:val="00453DA2"/>
    <w:rsid w:val="0045432B"/>
    <w:rsid w:val="004544E3"/>
    <w:rsid w:val="00454604"/>
    <w:rsid w:val="004547A2"/>
    <w:rsid w:val="004548D9"/>
    <w:rsid w:val="00454A00"/>
    <w:rsid w:val="00455026"/>
    <w:rsid w:val="004552EC"/>
    <w:rsid w:val="0045582A"/>
    <w:rsid w:val="00455E4E"/>
    <w:rsid w:val="00455FE0"/>
    <w:rsid w:val="0045643E"/>
    <w:rsid w:val="00456515"/>
    <w:rsid w:val="00456D3A"/>
    <w:rsid w:val="0045740F"/>
    <w:rsid w:val="00457B4D"/>
    <w:rsid w:val="00457C6F"/>
    <w:rsid w:val="004603A2"/>
    <w:rsid w:val="00460893"/>
    <w:rsid w:val="00460A5C"/>
    <w:rsid w:val="00460FEF"/>
    <w:rsid w:val="00461685"/>
    <w:rsid w:val="00461A30"/>
    <w:rsid w:val="00462139"/>
    <w:rsid w:val="00462E39"/>
    <w:rsid w:val="00463445"/>
    <w:rsid w:val="004637D5"/>
    <w:rsid w:val="00463BBE"/>
    <w:rsid w:val="0046453A"/>
    <w:rsid w:val="00464A3F"/>
    <w:rsid w:val="00464B19"/>
    <w:rsid w:val="00464BC5"/>
    <w:rsid w:val="004653D2"/>
    <w:rsid w:val="00465440"/>
    <w:rsid w:val="0046590C"/>
    <w:rsid w:val="00465C26"/>
    <w:rsid w:val="004661F9"/>
    <w:rsid w:val="00466F57"/>
    <w:rsid w:val="004672AB"/>
    <w:rsid w:val="0046759A"/>
    <w:rsid w:val="004678CA"/>
    <w:rsid w:val="004679F6"/>
    <w:rsid w:val="00470659"/>
    <w:rsid w:val="00470737"/>
    <w:rsid w:val="00470754"/>
    <w:rsid w:val="00470B5A"/>
    <w:rsid w:val="0047116F"/>
    <w:rsid w:val="00471324"/>
    <w:rsid w:val="00471A96"/>
    <w:rsid w:val="00471D53"/>
    <w:rsid w:val="00473520"/>
    <w:rsid w:val="0047372D"/>
    <w:rsid w:val="004739A5"/>
    <w:rsid w:val="00473B54"/>
    <w:rsid w:val="00473BA1"/>
    <w:rsid w:val="00473C44"/>
    <w:rsid w:val="004742F7"/>
    <w:rsid w:val="0047494E"/>
    <w:rsid w:val="0047595C"/>
    <w:rsid w:val="004759AF"/>
    <w:rsid w:val="00475B5C"/>
    <w:rsid w:val="0047637E"/>
    <w:rsid w:val="00476761"/>
    <w:rsid w:val="004768EA"/>
    <w:rsid w:val="004770C1"/>
    <w:rsid w:val="004773C1"/>
    <w:rsid w:val="00477467"/>
    <w:rsid w:val="00477673"/>
    <w:rsid w:val="004779FF"/>
    <w:rsid w:val="00477D19"/>
    <w:rsid w:val="00477D50"/>
    <w:rsid w:val="00477DDD"/>
    <w:rsid w:val="0048080C"/>
    <w:rsid w:val="00480BBB"/>
    <w:rsid w:val="00480DA0"/>
    <w:rsid w:val="00481EA0"/>
    <w:rsid w:val="00482154"/>
    <w:rsid w:val="0048266C"/>
    <w:rsid w:val="00482A8F"/>
    <w:rsid w:val="004832EA"/>
    <w:rsid w:val="00483803"/>
    <w:rsid w:val="004839FC"/>
    <w:rsid w:val="00483A5B"/>
    <w:rsid w:val="0048445F"/>
    <w:rsid w:val="0048471A"/>
    <w:rsid w:val="004849B6"/>
    <w:rsid w:val="00484B5D"/>
    <w:rsid w:val="00484D5F"/>
    <w:rsid w:val="00484EA0"/>
    <w:rsid w:val="004854A3"/>
    <w:rsid w:val="00485A73"/>
    <w:rsid w:val="00485C2C"/>
    <w:rsid w:val="00485F46"/>
    <w:rsid w:val="00486A46"/>
    <w:rsid w:val="00486CBA"/>
    <w:rsid w:val="004874AD"/>
    <w:rsid w:val="00487C16"/>
    <w:rsid w:val="00487C19"/>
    <w:rsid w:val="00487C3A"/>
    <w:rsid w:val="00490251"/>
    <w:rsid w:val="004905B2"/>
    <w:rsid w:val="004908C4"/>
    <w:rsid w:val="00490C46"/>
    <w:rsid w:val="00490ED3"/>
    <w:rsid w:val="00490F1E"/>
    <w:rsid w:val="00491063"/>
    <w:rsid w:val="004914B2"/>
    <w:rsid w:val="004915C1"/>
    <w:rsid w:val="004916AE"/>
    <w:rsid w:val="004919FD"/>
    <w:rsid w:val="0049212E"/>
    <w:rsid w:val="00492588"/>
    <w:rsid w:val="00492BAA"/>
    <w:rsid w:val="00492BEA"/>
    <w:rsid w:val="00492C60"/>
    <w:rsid w:val="00492E23"/>
    <w:rsid w:val="004930EE"/>
    <w:rsid w:val="004937F4"/>
    <w:rsid w:val="00493915"/>
    <w:rsid w:val="00493FA6"/>
    <w:rsid w:val="0049412F"/>
    <w:rsid w:val="00494D55"/>
    <w:rsid w:val="0049502A"/>
    <w:rsid w:val="004955EE"/>
    <w:rsid w:val="004959F6"/>
    <w:rsid w:val="00495CA4"/>
    <w:rsid w:val="00495D3E"/>
    <w:rsid w:val="0049637F"/>
    <w:rsid w:val="004963B8"/>
    <w:rsid w:val="0049642F"/>
    <w:rsid w:val="00496929"/>
    <w:rsid w:val="00496C60"/>
    <w:rsid w:val="00496D46"/>
    <w:rsid w:val="00497DA5"/>
    <w:rsid w:val="004A01F1"/>
    <w:rsid w:val="004A0B73"/>
    <w:rsid w:val="004A0E83"/>
    <w:rsid w:val="004A15D1"/>
    <w:rsid w:val="004A1742"/>
    <w:rsid w:val="004A1A4D"/>
    <w:rsid w:val="004A2237"/>
    <w:rsid w:val="004A2344"/>
    <w:rsid w:val="004A2ABE"/>
    <w:rsid w:val="004A2C2C"/>
    <w:rsid w:val="004A3208"/>
    <w:rsid w:val="004A3375"/>
    <w:rsid w:val="004A33D0"/>
    <w:rsid w:val="004A3564"/>
    <w:rsid w:val="004A35F9"/>
    <w:rsid w:val="004A379F"/>
    <w:rsid w:val="004A3B6F"/>
    <w:rsid w:val="004A3BCC"/>
    <w:rsid w:val="004A3C95"/>
    <w:rsid w:val="004A4194"/>
    <w:rsid w:val="004A45CB"/>
    <w:rsid w:val="004A46B7"/>
    <w:rsid w:val="004A5047"/>
    <w:rsid w:val="004A5125"/>
    <w:rsid w:val="004A53E5"/>
    <w:rsid w:val="004A5AF7"/>
    <w:rsid w:val="004A6FE3"/>
    <w:rsid w:val="004A7082"/>
    <w:rsid w:val="004A709D"/>
    <w:rsid w:val="004A74D5"/>
    <w:rsid w:val="004A7520"/>
    <w:rsid w:val="004A76DB"/>
    <w:rsid w:val="004A7C39"/>
    <w:rsid w:val="004B00CE"/>
    <w:rsid w:val="004B012E"/>
    <w:rsid w:val="004B0EC5"/>
    <w:rsid w:val="004B0F96"/>
    <w:rsid w:val="004B1490"/>
    <w:rsid w:val="004B1A64"/>
    <w:rsid w:val="004B1F82"/>
    <w:rsid w:val="004B28E6"/>
    <w:rsid w:val="004B296F"/>
    <w:rsid w:val="004B2E2D"/>
    <w:rsid w:val="004B2E31"/>
    <w:rsid w:val="004B2F2F"/>
    <w:rsid w:val="004B3A73"/>
    <w:rsid w:val="004B3EE5"/>
    <w:rsid w:val="004B4321"/>
    <w:rsid w:val="004B4413"/>
    <w:rsid w:val="004B4CB4"/>
    <w:rsid w:val="004B4DB4"/>
    <w:rsid w:val="004B5062"/>
    <w:rsid w:val="004B52B8"/>
    <w:rsid w:val="004B5377"/>
    <w:rsid w:val="004B53EB"/>
    <w:rsid w:val="004B55E9"/>
    <w:rsid w:val="004B5600"/>
    <w:rsid w:val="004B5A2A"/>
    <w:rsid w:val="004B5CD9"/>
    <w:rsid w:val="004B5E6A"/>
    <w:rsid w:val="004B62E4"/>
    <w:rsid w:val="004B6A8C"/>
    <w:rsid w:val="004B72C6"/>
    <w:rsid w:val="004B7E53"/>
    <w:rsid w:val="004B7E5B"/>
    <w:rsid w:val="004C087A"/>
    <w:rsid w:val="004C10CB"/>
    <w:rsid w:val="004C11CB"/>
    <w:rsid w:val="004C1B50"/>
    <w:rsid w:val="004C20C2"/>
    <w:rsid w:val="004C219C"/>
    <w:rsid w:val="004C296F"/>
    <w:rsid w:val="004C29D0"/>
    <w:rsid w:val="004C2C09"/>
    <w:rsid w:val="004C2C17"/>
    <w:rsid w:val="004C356F"/>
    <w:rsid w:val="004C3E0E"/>
    <w:rsid w:val="004C3ED7"/>
    <w:rsid w:val="004C3F14"/>
    <w:rsid w:val="004C469C"/>
    <w:rsid w:val="004C474E"/>
    <w:rsid w:val="004C4CEE"/>
    <w:rsid w:val="004C4ED6"/>
    <w:rsid w:val="004C575D"/>
    <w:rsid w:val="004C586C"/>
    <w:rsid w:val="004C59CB"/>
    <w:rsid w:val="004C5DA6"/>
    <w:rsid w:val="004C60F7"/>
    <w:rsid w:val="004C61D5"/>
    <w:rsid w:val="004C6298"/>
    <w:rsid w:val="004C636C"/>
    <w:rsid w:val="004C6D39"/>
    <w:rsid w:val="004C6D70"/>
    <w:rsid w:val="004D05D4"/>
    <w:rsid w:val="004D08A3"/>
    <w:rsid w:val="004D0B29"/>
    <w:rsid w:val="004D0EF5"/>
    <w:rsid w:val="004D100F"/>
    <w:rsid w:val="004D1226"/>
    <w:rsid w:val="004D153D"/>
    <w:rsid w:val="004D17AF"/>
    <w:rsid w:val="004D1E7D"/>
    <w:rsid w:val="004D1EBB"/>
    <w:rsid w:val="004D29A1"/>
    <w:rsid w:val="004D2BA4"/>
    <w:rsid w:val="004D2D3F"/>
    <w:rsid w:val="004D2F85"/>
    <w:rsid w:val="004D3244"/>
    <w:rsid w:val="004D350C"/>
    <w:rsid w:val="004D3B51"/>
    <w:rsid w:val="004D3D10"/>
    <w:rsid w:val="004D403F"/>
    <w:rsid w:val="004D4322"/>
    <w:rsid w:val="004D44ED"/>
    <w:rsid w:val="004D4821"/>
    <w:rsid w:val="004D4E51"/>
    <w:rsid w:val="004D55EE"/>
    <w:rsid w:val="004D5D8B"/>
    <w:rsid w:val="004D611C"/>
    <w:rsid w:val="004D62AF"/>
    <w:rsid w:val="004D6940"/>
    <w:rsid w:val="004D6AFE"/>
    <w:rsid w:val="004D7046"/>
    <w:rsid w:val="004D7D74"/>
    <w:rsid w:val="004D7DD4"/>
    <w:rsid w:val="004E04B0"/>
    <w:rsid w:val="004E0CCF"/>
    <w:rsid w:val="004E1037"/>
    <w:rsid w:val="004E1A74"/>
    <w:rsid w:val="004E1CA9"/>
    <w:rsid w:val="004E1EEF"/>
    <w:rsid w:val="004E2470"/>
    <w:rsid w:val="004E2673"/>
    <w:rsid w:val="004E2696"/>
    <w:rsid w:val="004E2E22"/>
    <w:rsid w:val="004E34B5"/>
    <w:rsid w:val="004E36EC"/>
    <w:rsid w:val="004E38A1"/>
    <w:rsid w:val="004E3E72"/>
    <w:rsid w:val="004E4F08"/>
    <w:rsid w:val="004E554F"/>
    <w:rsid w:val="004E5B1B"/>
    <w:rsid w:val="004E5DBD"/>
    <w:rsid w:val="004E678E"/>
    <w:rsid w:val="004E6BE6"/>
    <w:rsid w:val="004E6C17"/>
    <w:rsid w:val="004E6DD4"/>
    <w:rsid w:val="004E79CC"/>
    <w:rsid w:val="004E7ACC"/>
    <w:rsid w:val="004EB201"/>
    <w:rsid w:val="004F02D3"/>
    <w:rsid w:val="004F0DFD"/>
    <w:rsid w:val="004F1073"/>
    <w:rsid w:val="004F13BA"/>
    <w:rsid w:val="004F1BEE"/>
    <w:rsid w:val="004F1DD5"/>
    <w:rsid w:val="004F20FF"/>
    <w:rsid w:val="004F2E67"/>
    <w:rsid w:val="004F2FEC"/>
    <w:rsid w:val="004F37E9"/>
    <w:rsid w:val="004F3A39"/>
    <w:rsid w:val="004F4001"/>
    <w:rsid w:val="004F44BC"/>
    <w:rsid w:val="004F4645"/>
    <w:rsid w:val="004F4A88"/>
    <w:rsid w:val="004F512B"/>
    <w:rsid w:val="004F51EA"/>
    <w:rsid w:val="004F5221"/>
    <w:rsid w:val="004F5463"/>
    <w:rsid w:val="004F59FE"/>
    <w:rsid w:val="004F607F"/>
    <w:rsid w:val="004F67CB"/>
    <w:rsid w:val="004F67E0"/>
    <w:rsid w:val="004F6936"/>
    <w:rsid w:val="004F6C82"/>
    <w:rsid w:val="004F7784"/>
    <w:rsid w:val="004F7F69"/>
    <w:rsid w:val="004F7F76"/>
    <w:rsid w:val="005002FB"/>
    <w:rsid w:val="00500353"/>
    <w:rsid w:val="0050079D"/>
    <w:rsid w:val="00500851"/>
    <w:rsid w:val="00500C86"/>
    <w:rsid w:val="005010FA"/>
    <w:rsid w:val="00501CF1"/>
    <w:rsid w:val="00501DC9"/>
    <w:rsid w:val="0050205D"/>
    <w:rsid w:val="0050235A"/>
    <w:rsid w:val="00502737"/>
    <w:rsid w:val="00502A09"/>
    <w:rsid w:val="00503256"/>
    <w:rsid w:val="00503302"/>
    <w:rsid w:val="005033D3"/>
    <w:rsid w:val="005033D5"/>
    <w:rsid w:val="005034B1"/>
    <w:rsid w:val="005038F1"/>
    <w:rsid w:val="00503D2F"/>
    <w:rsid w:val="005040F7"/>
    <w:rsid w:val="00504239"/>
    <w:rsid w:val="00504902"/>
    <w:rsid w:val="00504AE9"/>
    <w:rsid w:val="0050518F"/>
    <w:rsid w:val="005054B0"/>
    <w:rsid w:val="00505617"/>
    <w:rsid w:val="00505D43"/>
    <w:rsid w:val="00505F25"/>
    <w:rsid w:val="0050607E"/>
    <w:rsid w:val="005063A1"/>
    <w:rsid w:val="005067B7"/>
    <w:rsid w:val="005078A5"/>
    <w:rsid w:val="00507F13"/>
    <w:rsid w:val="0051033F"/>
    <w:rsid w:val="0051059A"/>
    <w:rsid w:val="00511078"/>
    <w:rsid w:val="005117E6"/>
    <w:rsid w:val="00511A97"/>
    <w:rsid w:val="00511D08"/>
    <w:rsid w:val="00511D19"/>
    <w:rsid w:val="005123E0"/>
    <w:rsid w:val="00512AAB"/>
    <w:rsid w:val="00512D4C"/>
    <w:rsid w:val="00512DFE"/>
    <w:rsid w:val="00513082"/>
    <w:rsid w:val="005136C1"/>
    <w:rsid w:val="005138BB"/>
    <w:rsid w:val="00513E6D"/>
    <w:rsid w:val="00514C9F"/>
    <w:rsid w:val="00514F6F"/>
    <w:rsid w:val="00514FB6"/>
    <w:rsid w:val="005150A9"/>
    <w:rsid w:val="00515182"/>
    <w:rsid w:val="005154E7"/>
    <w:rsid w:val="0051569A"/>
    <w:rsid w:val="0051587B"/>
    <w:rsid w:val="0051598C"/>
    <w:rsid w:val="00515E25"/>
    <w:rsid w:val="0051602E"/>
    <w:rsid w:val="00516F4A"/>
    <w:rsid w:val="005173BB"/>
    <w:rsid w:val="00517501"/>
    <w:rsid w:val="00517D2A"/>
    <w:rsid w:val="00517D4F"/>
    <w:rsid w:val="005200D3"/>
    <w:rsid w:val="00520340"/>
    <w:rsid w:val="005206D1"/>
    <w:rsid w:val="00520CA0"/>
    <w:rsid w:val="00520D7A"/>
    <w:rsid w:val="00520DB7"/>
    <w:rsid w:val="00521282"/>
    <w:rsid w:val="005213E5"/>
    <w:rsid w:val="005218E1"/>
    <w:rsid w:val="00521F5D"/>
    <w:rsid w:val="00521FEC"/>
    <w:rsid w:val="00522539"/>
    <w:rsid w:val="005227CB"/>
    <w:rsid w:val="005233BE"/>
    <w:rsid w:val="00523555"/>
    <w:rsid w:val="0052379D"/>
    <w:rsid w:val="005237C9"/>
    <w:rsid w:val="00524152"/>
    <w:rsid w:val="00524BC6"/>
    <w:rsid w:val="005250DC"/>
    <w:rsid w:val="005251B0"/>
    <w:rsid w:val="00525454"/>
    <w:rsid w:val="00526313"/>
    <w:rsid w:val="00526B9D"/>
    <w:rsid w:val="005278B4"/>
    <w:rsid w:val="00527CC5"/>
    <w:rsid w:val="005304E1"/>
    <w:rsid w:val="005307EB"/>
    <w:rsid w:val="00530E79"/>
    <w:rsid w:val="00531031"/>
    <w:rsid w:val="0053111E"/>
    <w:rsid w:val="00532215"/>
    <w:rsid w:val="00532F2F"/>
    <w:rsid w:val="00533831"/>
    <w:rsid w:val="00533A9F"/>
    <w:rsid w:val="00533B04"/>
    <w:rsid w:val="00533E5B"/>
    <w:rsid w:val="00534978"/>
    <w:rsid w:val="00534A95"/>
    <w:rsid w:val="00534F51"/>
    <w:rsid w:val="005366BB"/>
    <w:rsid w:val="00536CDF"/>
    <w:rsid w:val="00537D38"/>
    <w:rsid w:val="0054011D"/>
    <w:rsid w:val="00540227"/>
    <w:rsid w:val="0054056D"/>
    <w:rsid w:val="00540D24"/>
    <w:rsid w:val="00540E56"/>
    <w:rsid w:val="00540FBB"/>
    <w:rsid w:val="00541011"/>
    <w:rsid w:val="00541222"/>
    <w:rsid w:val="00541278"/>
    <w:rsid w:val="00541CC1"/>
    <w:rsid w:val="00542FF8"/>
    <w:rsid w:val="0054351A"/>
    <w:rsid w:val="00543703"/>
    <w:rsid w:val="005439EE"/>
    <w:rsid w:val="005442D0"/>
    <w:rsid w:val="00544A24"/>
    <w:rsid w:val="00544A6B"/>
    <w:rsid w:val="00545408"/>
    <w:rsid w:val="00545411"/>
    <w:rsid w:val="00545C3A"/>
    <w:rsid w:val="00545F22"/>
    <w:rsid w:val="0054620C"/>
    <w:rsid w:val="00546675"/>
    <w:rsid w:val="00546BA9"/>
    <w:rsid w:val="00547269"/>
    <w:rsid w:val="00547917"/>
    <w:rsid w:val="00547B7E"/>
    <w:rsid w:val="0055041A"/>
    <w:rsid w:val="00550E70"/>
    <w:rsid w:val="00551230"/>
    <w:rsid w:val="00551F2F"/>
    <w:rsid w:val="005524E1"/>
    <w:rsid w:val="00552E52"/>
    <w:rsid w:val="0055304F"/>
    <w:rsid w:val="005531DE"/>
    <w:rsid w:val="005536BF"/>
    <w:rsid w:val="005539B5"/>
    <w:rsid w:val="005540B8"/>
    <w:rsid w:val="005540CB"/>
    <w:rsid w:val="00554D6B"/>
    <w:rsid w:val="00555621"/>
    <w:rsid w:val="005557DE"/>
    <w:rsid w:val="0055590A"/>
    <w:rsid w:val="00556810"/>
    <w:rsid w:val="005569D8"/>
    <w:rsid w:val="00556FCC"/>
    <w:rsid w:val="005573C6"/>
    <w:rsid w:val="00560AD3"/>
    <w:rsid w:val="00560C77"/>
    <w:rsid w:val="005619C0"/>
    <w:rsid w:val="00562262"/>
    <w:rsid w:val="00562877"/>
    <w:rsid w:val="00563256"/>
    <w:rsid w:val="0056356B"/>
    <w:rsid w:val="00563574"/>
    <w:rsid w:val="00563893"/>
    <w:rsid w:val="00563E41"/>
    <w:rsid w:val="005641D2"/>
    <w:rsid w:val="0056447D"/>
    <w:rsid w:val="005648CB"/>
    <w:rsid w:val="005648F7"/>
    <w:rsid w:val="00565222"/>
    <w:rsid w:val="005652D0"/>
    <w:rsid w:val="005659FF"/>
    <w:rsid w:val="00565CEF"/>
    <w:rsid w:val="00565DE4"/>
    <w:rsid w:val="00566605"/>
    <w:rsid w:val="005669E3"/>
    <w:rsid w:val="00566FEE"/>
    <w:rsid w:val="00567211"/>
    <w:rsid w:val="00567242"/>
    <w:rsid w:val="00567B3C"/>
    <w:rsid w:val="00567F22"/>
    <w:rsid w:val="00570584"/>
    <w:rsid w:val="005708CD"/>
    <w:rsid w:val="005709C7"/>
    <w:rsid w:val="00570AE4"/>
    <w:rsid w:val="00570C64"/>
    <w:rsid w:val="00570D02"/>
    <w:rsid w:val="0057199F"/>
    <w:rsid w:val="00571C75"/>
    <w:rsid w:val="00572040"/>
    <w:rsid w:val="005727B7"/>
    <w:rsid w:val="00572DA8"/>
    <w:rsid w:val="00572FB3"/>
    <w:rsid w:val="00573B95"/>
    <w:rsid w:val="00574290"/>
    <w:rsid w:val="005743E4"/>
    <w:rsid w:val="00574633"/>
    <w:rsid w:val="005748DF"/>
    <w:rsid w:val="00574C61"/>
    <w:rsid w:val="00574CE6"/>
    <w:rsid w:val="005751F7"/>
    <w:rsid w:val="00575789"/>
    <w:rsid w:val="00576147"/>
    <w:rsid w:val="0057665F"/>
    <w:rsid w:val="00576927"/>
    <w:rsid w:val="00576A13"/>
    <w:rsid w:val="00576AC3"/>
    <w:rsid w:val="00576D93"/>
    <w:rsid w:val="00577344"/>
    <w:rsid w:val="00577806"/>
    <w:rsid w:val="00577819"/>
    <w:rsid w:val="00580014"/>
    <w:rsid w:val="00580B1C"/>
    <w:rsid w:val="0058147F"/>
    <w:rsid w:val="0058197A"/>
    <w:rsid w:val="00581C30"/>
    <w:rsid w:val="00581E82"/>
    <w:rsid w:val="00582684"/>
    <w:rsid w:val="005826AF"/>
    <w:rsid w:val="005826EF"/>
    <w:rsid w:val="0058277E"/>
    <w:rsid w:val="00582904"/>
    <w:rsid w:val="00582CCB"/>
    <w:rsid w:val="0058471B"/>
    <w:rsid w:val="005847C1"/>
    <w:rsid w:val="00584ECA"/>
    <w:rsid w:val="005859B6"/>
    <w:rsid w:val="00585FD4"/>
    <w:rsid w:val="005860A2"/>
    <w:rsid w:val="005879C9"/>
    <w:rsid w:val="00587A2E"/>
    <w:rsid w:val="00587E90"/>
    <w:rsid w:val="00590305"/>
    <w:rsid w:val="005904DD"/>
    <w:rsid w:val="00590533"/>
    <w:rsid w:val="00590C4F"/>
    <w:rsid w:val="005914D9"/>
    <w:rsid w:val="00591695"/>
    <w:rsid w:val="00591C18"/>
    <w:rsid w:val="00591E98"/>
    <w:rsid w:val="00593422"/>
    <w:rsid w:val="00593AE3"/>
    <w:rsid w:val="00593FDC"/>
    <w:rsid w:val="00594030"/>
    <w:rsid w:val="00594068"/>
    <w:rsid w:val="005941CC"/>
    <w:rsid w:val="005945D8"/>
    <w:rsid w:val="0059473A"/>
    <w:rsid w:val="00594888"/>
    <w:rsid w:val="00594AEE"/>
    <w:rsid w:val="00594C8A"/>
    <w:rsid w:val="00594E42"/>
    <w:rsid w:val="00594F70"/>
    <w:rsid w:val="00595626"/>
    <w:rsid w:val="005957CF"/>
    <w:rsid w:val="0059585F"/>
    <w:rsid w:val="00596FDF"/>
    <w:rsid w:val="0059726B"/>
    <w:rsid w:val="00597B50"/>
    <w:rsid w:val="00597E7B"/>
    <w:rsid w:val="005A00B5"/>
    <w:rsid w:val="005A0115"/>
    <w:rsid w:val="005A019D"/>
    <w:rsid w:val="005A07F0"/>
    <w:rsid w:val="005A0A14"/>
    <w:rsid w:val="005A0D6B"/>
    <w:rsid w:val="005A0DBF"/>
    <w:rsid w:val="005A0DCC"/>
    <w:rsid w:val="005A13CF"/>
    <w:rsid w:val="005A14F5"/>
    <w:rsid w:val="005A16FB"/>
    <w:rsid w:val="005A18F5"/>
    <w:rsid w:val="005A2199"/>
    <w:rsid w:val="005A21B0"/>
    <w:rsid w:val="005A2240"/>
    <w:rsid w:val="005A238B"/>
    <w:rsid w:val="005A26BD"/>
    <w:rsid w:val="005A2C31"/>
    <w:rsid w:val="005A2CE5"/>
    <w:rsid w:val="005A3BE5"/>
    <w:rsid w:val="005A3F3A"/>
    <w:rsid w:val="005A4772"/>
    <w:rsid w:val="005A4921"/>
    <w:rsid w:val="005A4AD2"/>
    <w:rsid w:val="005A506B"/>
    <w:rsid w:val="005A5084"/>
    <w:rsid w:val="005A5C9A"/>
    <w:rsid w:val="005A5E13"/>
    <w:rsid w:val="005A5EE1"/>
    <w:rsid w:val="005A6441"/>
    <w:rsid w:val="005A6632"/>
    <w:rsid w:val="005A675E"/>
    <w:rsid w:val="005A723F"/>
    <w:rsid w:val="005A78A3"/>
    <w:rsid w:val="005A7C8D"/>
    <w:rsid w:val="005B032C"/>
    <w:rsid w:val="005B048D"/>
    <w:rsid w:val="005B0495"/>
    <w:rsid w:val="005B06DD"/>
    <w:rsid w:val="005B089E"/>
    <w:rsid w:val="005B090D"/>
    <w:rsid w:val="005B0A34"/>
    <w:rsid w:val="005B1366"/>
    <w:rsid w:val="005B17DB"/>
    <w:rsid w:val="005B182F"/>
    <w:rsid w:val="005B23AE"/>
    <w:rsid w:val="005B2492"/>
    <w:rsid w:val="005B26D5"/>
    <w:rsid w:val="005B2B04"/>
    <w:rsid w:val="005B30AC"/>
    <w:rsid w:val="005B3127"/>
    <w:rsid w:val="005B3537"/>
    <w:rsid w:val="005B35E7"/>
    <w:rsid w:val="005B379B"/>
    <w:rsid w:val="005B3F52"/>
    <w:rsid w:val="005B3FF9"/>
    <w:rsid w:val="005B485C"/>
    <w:rsid w:val="005B4919"/>
    <w:rsid w:val="005B6550"/>
    <w:rsid w:val="005B67DB"/>
    <w:rsid w:val="005B68E6"/>
    <w:rsid w:val="005B6E26"/>
    <w:rsid w:val="005B6EC9"/>
    <w:rsid w:val="005B764D"/>
    <w:rsid w:val="005B776B"/>
    <w:rsid w:val="005B7DFD"/>
    <w:rsid w:val="005C00CF"/>
    <w:rsid w:val="005C049F"/>
    <w:rsid w:val="005C063D"/>
    <w:rsid w:val="005C087A"/>
    <w:rsid w:val="005C0B9A"/>
    <w:rsid w:val="005C156A"/>
    <w:rsid w:val="005C1712"/>
    <w:rsid w:val="005C1D7F"/>
    <w:rsid w:val="005C2065"/>
    <w:rsid w:val="005C2FC8"/>
    <w:rsid w:val="005C3293"/>
    <w:rsid w:val="005C36D4"/>
    <w:rsid w:val="005C38A1"/>
    <w:rsid w:val="005C3AB2"/>
    <w:rsid w:val="005C3CF1"/>
    <w:rsid w:val="005C3D0A"/>
    <w:rsid w:val="005C3D8C"/>
    <w:rsid w:val="005C4293"/>
    <w:rsid w:val="005C4495"/>
    <w:rsid w:val="005C5926"/>
    <w:rsid w:val="005C5D1E"/>
    <w:rsid w:val="005C5F48"/>
    <w:rsid w:val="005C67B3"/>
    <w:rsid w:val="005C6AE6"/>
    <w:rsid w:val="005C73B0"/>
    <w:rsid w:val="005C792C"/>
    <w:rsid w:val="005C7FD8"/>
    <w:rsid w:val="005D009C"/>
    <w:rsid w:val="005D027F"/>
    <w:rsid w:val="005D03A1"/>
    <w:rsid w:val="005D05F2"/>
    <w:rsid w:val="005D09FC"/>
    <w:rsid w:val="005D1479"/>
    <w:rsid w:val="005D1889"/>
    <w:rsid w:val="005D2CA6"/>
    <w:rsid w:val="005D33AD"/>
    <w:rsid w:val="005D3779"/>
    <w:rsid w:val="005D37BD"/>
    <w:rsid w:val="005D39F0"/>
    <w:rsid w:val="005D39F7"/>
    <w:rsid w:val="005D3AC2"/>
    <w:rsid w:val="005D3B24"/>
    <w:rsid w:val="005D3C1B"/>
    <w:rsid w:val="005D41C9"/>
    <w:rsid w:val="005D4C1B"/>
    <w:rsid w:val="005D5137"/>
    <w:rsid w:val="005D6025"/>
    <w:rsid w:val="005D6089"/>
    <w:rsid w:val="005D6370"/>
    <w:rsid w:val="005D6595"/>
    <w:rsid w:val="005D679B"/>
    <w:rsid w:val="005D698C"/>
    <w:rsid w:val="005D6DA7"/>
    <w:rsid w:val="005D7361"/>
    <w:rsid w:val="005D79C7"/>
    <w:rsid w:val="005D7E9C"/>
    <w:rsid w:val="005E0A50"/>
    <w:rsid w:val="005E0D3F"/>
    <w:rsid w:val="005E1182"/>
    <w:rsid w:val="005E14C1"/>
    <w:rsid w:val="005E14DD"/>
    <w:rsid w:val="005E1C2A"/>
    <w:rsid w:val="005E1FEE"/>
    <w:rsid w:val="005E2021"/>
    <w:rsid w:val="005E23AF"/>
    <w:rsid w:val="005E38AE"/>
    <w:rsid w:val="005E3FB0"/>
    <w:rsid w:val="005E423D"/>
    <w:rsid w:val="005E4359"/>
    <w:rsid w:val="005E4881"/>
    <w:rsid w:val="005E5DAC"/>
    <w:rsid w:val="005E60A4"/>
    <w:rsid w:val="005E60CE"/>
    <w:rsid w:val="005E68E1"/>
    <w:rsid w:val="005E6E4E"/>
    <w:rsid w:val="005E7009"/>
    <w:rsid w:val="005E72FD"/>
    <w:rsid w:val="005E7398"/>
    <w:rsid w:val="005E7589"/>
    <w:rsid w:val="005E758A"/>
    <w:rsid w:val="005E7C0B"/>
    <w:rsid w:val="005E7E44"/>
    <w:rsid w:val="005E7EFB"/>
    <w:rsid w:val="005F0179"/>
    <w:rsid w:val="005F036F"/>
    <w:rsid w:val="005F03CA"/>
    <w:rsid w:val="005F042D"/>
    <w:rsid w:val="005F0462"/>
    <w:rsid w:val="005F0592"/>
    <w:rsid w:val="005F0747"/>
    <w:rsid w:val="005F09C1"/>
    <w:rsid w:val="005F0A64"/>
    <w:rsid w:val="005F0AD8"/>
    <w:rsid w:val="005F0C3D"/>
    <w:rsid w:val="005F11BC"/>
    <w:rsid w:val="005F19C0"/>
    <w:rsid w:val="005F1A3B"/>
    <w:rsid w:val="005F279D"/>
    <w:rsid w:val="005F2B04"/>
    <w:rsid w:val="005F2E13"/>
    <w:rsid w:val="005F30B6"/>
    <w:rsid w:val="005F35F7"/>
    <w:rsid w:val="005F37E7"/>
    <w:rsid w:val="005F38AC"/>
    <w:rsid w:val="005F3987"/>
    <w:rsid w:val="005F45F5"/>
    <w:rsid w:val="005F46FF"/>
    <w:rsid w:val="005F4907"/>
    <w:rsid w:val="005F4A26"/>
    <w:rsid w:val="005F4BE5"/>
    <w:rsid w:val="005F5A2E"/>
    <w:rsid w:val="005F5D10"/>
    <w:rsid w:val="005F5E6B"/>
    <w:rsid w:val="005F61B6"/>
    <w:rsid w:val="005F6770"/>
    <w:rsid w:val="005F69C6"/>
    <w:rsid w:val="005F6B4B"/>
    <w:rsid w:val="005F7854"/>
    <w:rsid w:val="00600009"/>
    <w:rsid w:val="006001CE"/>
    <w:rsid w:val="00600777"/>
    <w:rsid w:val="00600AFF"/>
    <w:rsid w:val="00600C57"/>
    <w:rsid w:val="00600DB5"/>
    <w:rsid w:val="00601012"/>
    <w:rsid w:val="006014DA"/>
    <w:rsid w:val="00601710"/>
    <w:rsid w:val="00601A18"/>
    <w:rsid w:val="00602DC3"/>
    <w:rsid w:val="00603AAB"/>
    <w:rsid w:val="00603ABF"/>
    <w:rsid w:val="00603C77"/>
    <w:rsid w:val="006040EE"/>
    <w:rsid w:val="006058CF"/>
    <w:rsid w:val="00605922"/>
    <w:rsid w:val="00605A75"/>
    <w:rsid w:val="00605EBF"/>
    <w:rsid w:val="006061C4"/>
    <w:rsid w:val="006064D5"/>
    <w:rsid w:val="006064E2"/>
    <w:rsid w:val="00606991"/>
    <w:rsid w:val="00606A05"/>
    <w:rsid w:val="00606E7F"/>
    <w:rsid w:val="00607009"/>
    <w:rsid w:val="0060707E"/>
    <w:rsid w:val="006075F7"/>
    <w:rsid w:val="00607B2E"/>
    <w:rsid w:val="00607BCB"/>
    <w:rsid w:val="00610290"/>
    <w:rsid w:val="00610609"/>
    <w:rsid w:val="00610BF3"/>
    <w:rsid w:val="006113FE"/>
    <w:rsid w:val="006116A0"/>
    <w:rsid w:val="00611D94"/>
    <w:rsid w:val="0061275C"/>
    <w:rsid w:val="00612BA4"/>
    <w:rsid w:val="0061306B"/>
    <w:rsid w:val="00613B83"/>
    <w:rsid w:val="0061419D"/>
    <w:rsid w:val="006144B4"/>
    <w:rsid w:val="006144D7"/>
    <w:rsid w:val="00614A8E"/>
    <w:rsid w:val="00614E92"/>
    <w:rsid w:val="006152AD"/>
    <w:rsid w:val="00615692"/>
    <w:rsid w:val="0061587E"/>
    <w:rsid w:val="00615FA6"/>
    <w:rsid w:val="0061608B"/>
    <w:rsid w:val="00616160"/>
    <w:rsid w:val="006161FA"/>
    <w:rsid w:val="00616BF3"/>
    <w:rsid w:val="00616C3F"/>
    <w:rsid w:val="0061719A"/>
    <w:rsid w:val="00617971"/>
    <w:rsid w:val="00617CE2"/>
    <w:rsid w:val="0062056D"/>
    <w:rsid w:val="00620760"/>
    <w:rsid w:val="006208A8"/>
    <w:rsid w:val="00620915"/>
    <w:rsid w:val="00620A8D"/>
    <w:rsid w:val="00620EEC"/>
    <w:rsid w:val="00621421"/>
    <w:rsid w:val="00621475"/>
    <w:rsid w:val="00621807"/>
    <w:rsid w:val="00621849"/>
    <w:rsid w:val="00621BB7"/>
    <w:rsid w:val="006221B3"/>
    <w:rsid w:val="00622360"/>
    <w:rsid w:val="00622C90"/>
    <w:rsid w:val="00622F0D"/>
    <w:rsid w:val="00622FA3"/>
    <w:rsid w:val="00623142"/>
    <w:rsid w:val="00623280"/>
    <w:rsid w:val="00623458"/>
    <w:rsid w:val="006238FE"/>
    <w:rsid w:val="00623932"/>
    <w:rsid w:val="00623ED4"/>
    <w:rsid w:val="0062422E"/>
    <w:rsid w:val="00625191"/>
    <w:rsid w:val="00625862"/>
    <w:rsid w:val="006259F4"/>
    <w:rsid w:val="00625BBD"/>
    <w:rsid w:val="00625BC2"/>
    <w:rsid w:val="006262CD"/>
    <w:rsid w:val="006267D7"/>
    <w:rsid w:val="00626A31"/>
    <w:rsid w:val="00626D11"/>
    <w:rsid w:val="006272A2"/>
    <w:rsid w:val="00627983"/>
    <w:rsid w:val="00627BEB"/>
    <w:rsid w:val="00627EB5"/>
    <w:rsid w:val="0063077E"/>
    <w:rsid w:val="006308A2"/>
    <w:rsid w:val="00630A55"/>
    <w:rsid w:val="00630C7F"/>
    <w:rsid w:val="006313EC"/>
    <w:rsid w:val="00632C7A"/>
    <w:rsid w:val="006332DC"/>
    <w:rsid w:val="006333E6"/>
    <w:rsid w:val="00633B2F"/>
    <w:rsid w:val="00633EA9"/>
    <w:rsid w:val="00635062"/>
    <w:rsid w:val="00635063"/>
    <w:rsid w:val="0063514E"/>
    <w:rsid w:val="00636229"/>
    <w:rsid w:val="006363F9"/>
    <w:rsid w:val="0063669D"/>
    <w:rsid w:val="00636846"/>
    <w:rsid w:val="00636E2F"/>
    <w:rsid w:val="00636ED5"/>
    <w:rsid w:val="00637255"/>
    <w:rsid w:val="0064020B"/>
    <w:rsid w:val="006403A3"/>
    <w:rsid w:val="006407C8"/>
    <w:rsid w:val="006408B8"/>
    <w:rsid w:val="00640971"/>
    <w:rsid w:val="00640A4E"/>
    <w:rsid w:val="00640F87"/>
    <w:rsid w:val="00641436"/>
    <w:rsid w:val="00642924"/>
    <w:rsid w:val="00642AE5"/>
    <w:rsid w:val="00642B74"/>
    <w:rsid w:val="00642EB6"/>
    <w:rsid w:val="00642F67"/>
    <w:rsid w:val="00643097"/>
    <w:rsid w:val="006431F4"/>
    <w:rsid w:val="006432FE"/>
    <w:rsid w:val="00643312"/>
    <w:rsid w:val="006434D9"/>
    <w:rsid w:val="006438E6"/>
    <w:rsid w:val="00644229"/>
    <w:rsid w:val="00644769"/>
    <w:rsid w:val="00646372"/>
    <w:rsid w:val="006463C7"/>
    <w:rsid w:val="00646BDE"/>
    <w:rsid w:val="00646F33"/>
    <w:rsid w:val="0064708A"/>
    <w:rsid w:val="006473E8"/>
    <w:rsid w:val="00647611"/>
    <w:rsid w:val="0065035C"/>
    <w:rsid w:val="00650961"/>
    <w:rsid w:val="00651174"/>
    <w:rsid w:val="00651221"/>
    <w:rsid w:val="00651928"/>
    <w:rsid w:val="0065195F"/>
    <w:rsid w:val="0065237B"/>
    <w:rsid w:val="0065296E"/>
    <w:rsid w:val="00652A1C"/>
    <w:rsid w:val="00652E23"/>
    <w:rsid w:val="00652FCC"/>
    <w:rsid w:val="00653082"/>
    <w:rsid w:val="0065311A"/>
    <w:rsid w:val="006537EE"/>
    <w:rsid w:val="00653C89"/>
    <w:rsid w:val="00654173"/>
    <w:rsid w:val="00654252"/>
    <w:rsid w:val="00654286"/>
    <w:rsid w:val="00654A27"/>
    <w:rsid w:val="00654DC8"/>
    <w:rsid w:val="006554A3"/>
    <w:rsid w:val="006554E1"/>
    <w:rsid w:val="00655E81"/>
    <w:rsid w:val="00656648"/>
    <w:rsid w:val="0065688E"/>
    <w:rsid w:val="006569DA"/>
    <w:rsid w:val="00656B12"/>
    <w:rsid w:val="00656E69"/>
    <w:rsid w:val="00657436"/>
    <w:rsid w:val="00657489"/>
    <w:rsid w:val="006604E0"/>
    <w:rsid w:val="0066055E"/>
    <w:rsid w:val="00660A37"/>
    <w:rsid w:val="00661043"/>
    <w:rsid w:val="006613D0"/>
    <w:rsid w:val="00661826"/>
    <w:rsid w:val="0066189F"/>
    <w:rsid w:val="00661AC2"/>
    <w:rsid w:val="00661D2B"/>
    <w:rsid w:val="00661D6A"/>
    <w:rsid w:val="00661E0B"/>
    <w:rsid w:val="00662099"/>
    <w:rsid w:val="006620DE"/>
    <w:rsid w:val="0066215F"/>
    <w:rsid w:val="00662449"/>
    <w:rsid w:val="00663335"/>
    <w:rsid w:val="006649F1"/>
    <w:rsid w:val="00664A23"/>
    <w:rsid w:val="00664D20"/>
    <w:rsid w:val="00665322"/>
    <w:rsid w:val="0066558B"/>
    <w:rsid w:val="00665DDE"/>
    <w:rsid w:val="00666145"/>
    <w:rsid w:val="00666722"/>
    <w:rsid w:val="00666835"/>
    <w:rsid w:val="00666968"/>
    <w:rsid w:val="00666969"/>
    <w:rsid w:val="00666DAB"/>
    <w:rsid w:val="006674A7"/>
    <w:rsid w:val="00667588"/>
    <w:rsid w:val="006679DD"/>
    <w:rsid w:val="0067012E"/>
    <w:rsid w:val="0067040A"/>
    <w:rsid w:val="006704BF"/>
    <w:rsid w:val="00670613"/>
    <w:rsid w:val="00671AAE"/>
    <w:rsid w:val="00671BDC"/>
    <w:rsid w:val="00671DB1"/>
    <w:rsid w:val="006723F7"/>
    <w:rsid w:val="0067311E"/>
    <w:rsid w:val="00673392"/>
    <w:rsid w:val="00673524"/>
    <w:rsid w:val="00673919"/>
    <w:rsid w:val="0067399E"/>
    <w:rsid w:val="00673B18"/>
    <w:rsid w:val="00673FC2"/>
    <w:rsid w:val="00674EC9"/>
    <w:rsid w:val="00675119"/>
    <w:rsid w:val="00675161"/>
    <w:rsid w:val="0067548B"/>
    <w:rsid w:val="006757AC"/>
    <w:rsid w:val="006758A8"/>
    <w:rsid w:val="00675A34"/>
    <w:rsid w:val="00675C75"/>
    <w:rsid w:val="00675CF6"/>
    <w:rsid w:val="00675F7A"/>
    <w:rsid w:val="0067601B"/>
    <w:rsid w:val="006766F9"/>
    <w:rsid w:val="00676B6D"/>
    <w:rsid w:val="00677407"/>
    <w:rsid w:val="006778AE"/>
    <w:rsid w:val="006778E3"/>
    <w:rsid w:val="00677A7A"/>
    <w:rsid w:val="006808F3"/>
    <w:rsid w:val="006817AE"/>
    <w:rsid w:val="00681AFF"/>
    <w:rsid w:val="00681E94"/>
    <w:rsid w:val="0068216B"/>
    <w:rsid w:val="00682255"/>
    <w:rsid w:val="00682281"/>
    <w:rsid w:val="00682D15"/>
    <w:rsid w:val="006831E0"/>
    <w:rsid w:val="00683430"/>
    <w:rsid w:val="00683596"/>
    <w:rsid w:val="00683A36"/>
    <w:rsid w:val="0068474B"/>
    <w:rsid w:val="00685375"/>
    <w:rsid w:val="00685A0E"/>
    <w:rsid w:val="00685A28"/>
    <w:rsid w:val="00685E62"/>
    <w:rsid w:val="00686BAF"/>
    <w:rsid w:val="00687039"/>
    <w:rsid w:val="00687076"/>
    <w:rsid w:val="00687290"/>
    <w:rsid w:val="00687C8D"/>
    <w:rsid w:val="00687D09"/>
    <w:rsid w:val="00687FAA"/>
    <w:rsid w:val="00690262"/>
    <w:rsid w:val="0069046D"/>
    <w:rsid w:val="006906CB"/>
    <w:rsid w:val="006908AC"/>
    <w:rsid w:val="00690DD3"/>
    <w:rsid w:val="00690EDD"/>
    <w:rsid w:val="00690F1A"/>
    <w:rsid w:val="00691ABE"/>
    <w:rsid w:val="00692243"/>
    <w:rsid w:val="0069297D"/>
    <w:rsid w:val="0069298A"/>
    <w:rsid w:val="00692A63"/>
    <w:rsid w:val="00692A7A"/>
    <w:rsid w:val="00692C79"/>
    <w:rsid w:val="00693076"/>
    <w:rsid w:val="0069308F"/>
    <w:rsid w:val="006937A0"/>
    <w:rsid w:val="0069483E"/>
    <w:rsid w:val="006954C5"/>
    <w:rsid w:val="00695800"/>
    <w:rsid w:val="0069596D"/>
    <w:rsid w:val="00695C19"/>
    <w:rsid w:val="00695E7B"/>
    <w:rsid w:val="0069639F"/>
    <w:rsid w:val="00696803"/>
    <w:rsid w:val="006970E8"/>
    <w:rsid w:val="0069710D"/>
    <w:rsid w:val="006A121D"/>
    <w:rsid w:val="006A15C4"/>
    <w:rsid w:val="006A167E"/>
    <w:rsid w:val="006A2122"/>
    <w:rsid w:val="006A2344"/>
    <w:rsid w:val="006A26E0"/>
    <w:rsid w:val="006A2E5D"/>
    <w:rsid w:val="006A3AE5"/>
    <w:rsid w:val="006A432D"/>
    <w:rsid w:val="006A48C5"/>
    <w:rsid w:val="006A49EE"/>
    <w:rsid w:val="006A4F8A"/>
    <w:rsid w:val="006A50C4"/>
    <w:rsid w:val="006A6111"/>
    <w:rsid w:val="006A6185"/>
    <w:rsid w:val="006A6611"/>
    <w:rsid w:val="006A6876"/>
    <w:rsid w:val="006B0581"/>
    <w:rsid w:val="006B08B9"/>
    <w:rsid w:val="006B0F12"/>
    <w:rsid w:val="006B0FB9"/>
    <w:rsid w:val="006B18C3"/>
    <w:rsid w:val="006B1C9F"/>
    <w:rsid w:val="006B2376"/>
    <w:rsid w:val="006B2A3F"/>
    <w:rsid w:val="006B2AD3"/>
    <w:rsid w:val="006B2E28"/>
    <w:rsid w:val="006B3007"/>
    <w:rsid w:val="006B30A5"/>
    <w:rsid w:val="006B31AB"/>
    <w:rsid w:val="006B352F"/>
    <w:rsid w:val="006B3605"/>
    <w:rsid w:val="006B3946"/>
    <w:rsid w:val="006B3C90"/>
    <w:rsid w:val="006B3F8F"/>
    <w:rsid w:val="006B42DB"/>
    <w:rsid w:val="006B470C"/>
    <w:rsid w:val="006B4EDF"/>
    <w:rsid w:val="006B53DD"/>
    <w:rsid w:val="006B5614"/>
    <w:rsid w:val="006B58BC"/>
    <w:rsid w:val="006B5F40"/>
    <w:rsid w:val="006B5FCB"/>
    <w:rsid w:val="006B63F7"/>
    <w:rsid w:val="006B7096"/>
    <w:rsid w:val="006B719F"/>
    <w:rsid w:val="006B72FE"/>
    <w:rsid w:val="006B7462"/>
    <w:rsid w:val="006B74ED"/>
    <w:rsid w:val="006B7951"/>
    <w:rsid w:val="006C0B31"/>
    <w:rsid w:val="006C0C5B"/>
    <w:rsid w:val="006C1088"/>
    <w:rsid w:val="006C118F"/>
    <w:rsid w:val="006C1223"/>
    <w:rsid w:val="006C139F"/>
    <w:rsid w:val="006C13D7"/>
    <w:rsid w:val="006C1908"/>
    <w:rsid w:val="006C19E2"/>
    <w:rsid w:val="006C1E6B"/>
    <w:rsid w:val="006C1E71"/>
    <w:rsid w:val="006C20D2"/>
    <w:rsid w:val="006C242E"/>
    <w:rsid w:val="006C2AC9"/>
    <w:rsid w:val="006C3039"/>
    <w:rsid w:val="006C3169"/>
    <w:rsid w:val="006C321D"/>
    <w:rsid w:val="006C322F"/>
    <w:rsid w:val="006C397F"/>
    <w:rsid w:val="006C3D40"/>
    <w:rsid w:val="006C4BC1"/>
    <w:rsid w:val="006C517F"/>
    <w:rsid w:val="006C52EA"/>
    <w:rsid w:val="006C5B7C"/>
    <w:rsid w:val="006C5DE8"/>
    <w:rsid w:val="006C5F8C"/>
    <w:rsid w:val="006C611F"/>
    <w:rsid w:val="006C63FF"/>
    <w:rsid w:val="006C6602"/>
    <w:rsid w:val="006C7035"/>
    <w:rsid w:val="006C715D"/>
    <w:rsid w:val="006C7873"/>
    <w:rsid w:val="006C7D86"/>
    <w:rsid w:val="006C7DB8"/>
    <w:rsid w:val="006D025F"/>
    <w:rsid w:val="006D0621"/>
    <w:rsid w:val="006D0657"/>
    <w:rsid w:val="006D07BF"/>
    <w:rsid w:val="006D07D2"/>
    <w:rsid w:val="006D0875"/>
    <w:rsid w:val="006D0DF9"/>
    <w:rsid w:val="006D1DE3"/>
    <w:rsid w:val="006D1F09"/>
    <w:rsid w:val="006D2373"/>
    <w:rsid w:val="006D2F05"/>
    <w:rsid w:val="006D36E2"/>
    <w:rsid w:val="006D3B16"/>
    <w:rsid w:val="006D40A7"/>
    <w:rsid w:val="006D40DD"/>
    <w:rsid w:val="006D4769"/>
    <w:rsid w:val="006D4E76"/>
    <w:rsid w:val="006D4EAA"/>
    <w:rsid w:val="006D513E"/>
    <w:rsid w:val="006D53ED"/>
    <w:rsid w:val="006D5517"/>
    <w:rsid w:val="006D58B5"/>
    <w:rsid w:val="006D614D"/>
    <w:rsid w:val="006D62DF"/>
    <w:rsid w:val="006D6BE1"/>
    <w:rsid w:val="006D71CF"/>
    <w:rsid w:val="006D7424"/>
    <w:rsid w:val="006D7568"/>
    <w:rsid w:val="006D7682"/>
    <w:rsid w:val="006D7CC5"/>
    <w:rsid w:val="006E006D"/>
    <w:rsid w:val="006E033B"/>
    <w:rsid w:val="006E0416"/>
    <w:rsid w:val="006E0788"/>
    <w:rsid w:val="006E083A"/>
    <w:rsid w:val="006E091B"/>
    <w:rsid w:val="006E13FC"/>
    <w:rsid w:val="006E158B"/>
    <w:rsid w:val="006E167A"/>
    <w:rsid w:val="006E1CA6"/>
    <w:rsid w:val="006E2013"/>
    <w:rsid w:val="006E25DC"/>
    <w:rsid w:val="006E2AE7"/>
    <w:rsid w:val="006E2D7D"/>
    <w:rsid w:val="006E3136"/>
    <w:rsid w:val="006E3169"/>
    <w:rsid w:val="006E351D"/>
    <w:rsid w:val="006E3709"/>
    <w:rsid w:val="006E39CC"/>
    <w:rsid w:val="006E437A"/>
    <w:rsid w:val="006E4B54"/>
    <w:rsid w:val="006E54DE"/>
    <w:rsid w:val="006E5537"/>
    <w:rsid w:val="006E569A"/>
    <w:rsid w:val="006E5C58"/>
    <w:rsid w:val="006E611B"/>
    <w:rsid w:val="006E624B"/>
    <w:rsid w:val="006E62D0"/>
    <w:rsid w:val="006E6341"/>
    <w:rsid w:val="006E746A"/>
    <w:rsid w:val="006E7AC3"/>
    <w:rsid w:val="006EAB18"/>
    <w:rsid w:val="006F000D"/>
    <w:rsid w:val="006F00DB"/>
    <w:rsid w:val="006F1254"/>
    <w:rsid w:val="006F1499"/>
    <w:rsid w:val="006F17E9"/>
    <w:rsid w:val="006F23B5"/>
    <w:rsid w:val="006F24F8"/>
    <w:rsid w:val="006F2607"/>
    <w:rsid w:val="006F2EFC"/>
    <w:rsid w:val="006F40F4"/>
    <w:rsid w:val="006F47D1"/>
    <w:rsid w:val="006F4A0D"/>
    <w:rsid w:val="006F4BFE"/>
    <w:rsid w:val="006F57AC"/>
    <w:rsid w:val="006F5CE5"/>
    <w:rsid w:val="006F5F62"/>
    <w:rsid w:val="006F64A7"/>
    <w:rsid w:val="006F6A4B"/>
    <w:rsid w:val="006F6BFD"/>
    <w:rsid w:val="006F6D1B"/>
    <w:rsid w:val="006F6DCD"/>
    <w:rsid w:val="006F70A3"/>
    <w:rsid w:val="006F740D"/>
    <w:rsid w:val="006F7975"/>
    <w:rsid w:val="006F7D10"/>
    <w:rsid w:val="0070009C"/>
    <w:rsid w:val="007009F6"/>
    <w:rsid w:val="00700D41"/>
    <w:rsid w:val="00701380"/>
    <w:rsid w:val="00701657"/>
    <w:rsid w:val="00701F59"/>
    <w:rsid w:val="00702105"/>
    <w:rsid w:val="007026F7"/>
    <w:rsid w:val="00702902"/>
    <w:rsid w:val="00702AC2"/>
    <w:rsid w:val="007037C6"/>
    <w:rsid w:val="00703C37"/>
    <w:rsid w:val="00704243"/>
    <w:rsid w:val="00704A23"/>
    <w:rsid w:val="00704E0F"/>
    <w:rsid w:val="007050C3"/>
    <w:rsid w:val="0070510F"/>
    <w:rsid w:val="0070536D"/>
    <w:rsid w:val="00705C15"/>
    <w:rsid w:val="00705C5F"/>
    <w:rsid w:val="00705C9B"/>
    <w:rsid w:val="00706256"/>
    <w:rsid w:val="007063E0"/>
    <w:rsid w:val="00706931"/>
    <w:rsid w:val="00707A91"/>
    <w:rsid w:val="00707B77"/>
    <w:rsid w:val="00707FF7"/>
    <w:rsid w:val="007102F3"/>
    <w:rsid w:val="0071034D"/>
    <w:rsid w:val="00710361"/>
    <w:rsid w:val="0071086C"/>
    <w:rsid w:val="00710A92"/>
    <w:rsid w:val="00710B63"/>
    <w:rsid w:val="00710BE8"/>
    <w:rsid w:val="0071147F"/>
    <w:rsid w:val="00711D0C"/>
    <w:rsid w:val="00711FB2"/>
    <w:rsid w:val="00712A8B"/>
    <w:rsid w:val="007136F3"/>
    <w:rsid w:val="00713835"/>
    <w:rsid w:val="00713934"/>
    <w:rsid w:val="00713A2E"/>
    <w:rsid w:val="0071401F"/>
    <w:rsid w:val="00714164"/>
    <w:rsid w:val="007142AD"/>
    <w:rsid w:val="007145FD"/>
    <w:rsid w:val="00715185"/>
    <w:rsid w:val="007157D9"/>
    <w:rsid w:val="007158C1"/>
    <w:rsid w:val="00715CCB"/>
    <w:rsid w:val="0071618D"/>
    <w:rsid w:val="00716ABE"/>
    <w:rsid w:val="00716E20"/>
    <w:rsid w:val="00717D22"/>
    <w:rsid w:val="00717E87"/>
    <w:rsid w:val="00717F60"/>
    <w:rsid w:val="007200E1"/>
    <w:rsid w:val="0072090A"/>
    <w:rsid w:val="00721134"/>
    <w:rsid w:val="00721242"/>
    <w:rsid w:val="007212DE"/>
    <w:rsid w:val="0072138C"/>
    <w:rsid w:val="0072141C"/>
    <w:rsid w:val="007219C4"/>
    <w:rsid w:val="00721A98"/>
    <w:rsid w:val="00721CC5"/>
    <w:rsid w:val="00721CCC"/>
    <w:rsid w:val="00721F41"/>
    <w:rsid w:val="0072200D"/>
    <w:rsid w:val="00722D04"/>
    <w:rsid w:val="00722EB8"/>
    <w:rsid w:val="00723082"/>
    <w:rsid w:val="007233BC"/>
    <w:rsid w:val="00723D47"/>
    <w:rsid w:val="00724271"/>
    <w:rsid w:val="007244D6"/>
    <w:rsid w:val="00724861"/>
    <w:rsid w:val="00724D08"/>
    <w:rsid w:val="007250A0"/>
    <w:rsid w:val="007255BF"/>
    <w:rsid w:val="00725879"/>
    <w:rsid w:val="00725D5F"/>
    <w:rsid w:val="007261EA"/>
    <w:rsid w:val="0072659F"/>
    <w:rsid w:val="00727411"/>
    <w:rsid w:val="00727EC7"/>
    <w:rsid w:val="0073078F"/>
    <w:rsid w:val="00730825"/>
    <w:rsid w:val="007308D6"/>
    <w:rsid w:val="007310AF"/>
    <w:rsid w:val="0073185A"/>
    <w:rsid w:val="007323C6"/>
    <w:rsid w:val="0073241B"/>
    <w:rsid w:val="007328D8"/>
    <w:rsid w:val="00732A9C"/>
    <w:rsid w:val="00733034"/>
    <w:rsid w:val="007333CE"/>
    <w:rsid w:val="00733ABD"/>
    <w:rsid w:val="00733E54"/>
    <w:rsid w:val="00734260"/>
    <w:rsid w:val="007342E6"/>
    <w:rsid w:val="007342EE"/>
    <w:rsid w:val="00734750"/>
    <w:rsid w:val="00734B30"/>
    <w:rsid w:val="00735169"/>
    <w:rsid w:val="0073580C"/>
    <w:rsid w:val="007358D7"/>
    <w:rsid w:val="00735B3A"/>
    <w:rsid w:val="00735C78"/>
    <w:rsid w:val="0073615B"/>
    <w:rsid w:val="007364F3"/>
    <w:rsid w:val="007365A8"/>
    <w:rsid w:val="00736872"/>
    <w:rsid w:val="00736CF7"/>
    <w:rsid w:val="00736F09"/>
    <w:rsid w:val="00737108"/>
    <w:rsid w:val="0073775B"/>
    <w:rsid w:val="007402C5"/>
    <w:rsid w:val="00740FDB"/>
    <w:rsid w:val="00741717"/>
    <w:rsid w:val="007417A0"/>
    <w:rsid w:val="00741BA0"/>
    <w:rsid w:val="00741BF9"/>
    <w:rsid w:val="00741D5B"/>
    <w:rsid w:val="00741E1B"/>
    <w:rsid w:val="00741F0F"/>
    <w:rsid w:val="00742657"/>
    <w:rsid w:val="0074267D"/>
    <w:rsid w:val="0074313E"/>
    <w:rsid w:val="007431EE"/>
    <w:rsid w:val="0074356E"/>
    <w:rsid w:val="0074380F"/>
    <w:rsid w:val="007448FF"/>
    <w:rsid w:val="00744DC0"/>
    <w:rsid w:val="00745107"/>
    <w:rsid w:val="0074536A"/>
    <w:rsid w:val="00745EA2"/>
    <w:rsid w:val="0074615C"/>
    <w:rsid w:val="00746A66"/>
    <w:rsid w:val="00746AE8"/>
    <w:rsid w:val="00746BAE"/>
    <w:rsid w:val="00746CB4"/>
    <w:rsid w:val="00746F1C"/>
    <w:rsid w:val="00746F2F"/>
    <w:rsid w:val="0074702E"/>
    <w:rsid w:val="0074769F"/>
    <w:rsid w:val="007476A5"/>
    <w:rsid w:val="0074770F"/>
    <w:rsid w:val="00747B9A"/>
    <w:rsid w:val="007506C6"/>
    <w:rsid w:val="007506F6"/>
    <w:rsid w:val="00750DAB"/>
    <w:rsid w:val="00751553"/>
    <w:rsid w:val="0075159C"/>
    <w:rsid w:val="00751B1F"/>
    <w:rsid w:val="00751C0F"/>
    <w:rsid w:val="00751C9F"/>
    <w:rsid w:val="00752103"/>
    <w:rsid w:val="0075221A"/>
    <w:rsid w:val="00752FAD"/>
    <w:rsid w:val="00753439"/>
    <w:rsid w:val="00753806"/>
    <w:rsid w:val="007538E2"/>
    <w:rsid w:val="00753E09"/>
    <w:rsid w:val="007546AB"/>
    <w:rsid w:val="007547B1"/>
    <w:rsid w:val="007547C5"/>
    <w:rsid w:val="00754FD8"/>
    <w:rsid w:val="0075525A"/>
    <w:rsid w:val="00755A06"/>
    <w:rsid w:val="00755EAE"/>
    <w:rsid w:val="00756391"/>
    <w:rsid w:val="00756802"/>
    <w:rsid w:val="00756DC5"/>
    <w:rsid w:val="0075734D"/>
    <w:rsid w:val="0075764A"/>
    <w:rsid w:val="00757692"/>
    <w:rsid w:val="00757956"/>
    <w:rsid w:val="00760168"/>
    <w:rsid w:val="007601AC"/>
    <w:rsid w:val="0076055E"/>
    <w:rsid w:val="007607D2"/>
    <w:rsid w:val="007607FF"/>
    <w:rsid w:val="0076096B"/>
    <w:rsid w:val="007609F2"/>
    <w:rsid w:val="00761600"/>
    <w:rsid w:val="00761DC7"/>
    <w:rsid w:val="00761E0D"/>
    <w:rsid w:val="00762465"/>
    <w:rsid w:val="00762474"/>
    <w:rsid w:val="00762506"/>
    <w:rsid w:val="007625CD"/>
    <w:rsid w:val="00762852"/>
    <w:rsid w:val="0076294C"/>
    <w:rsid w:val="007629D4"/>
    <w:rsid w:val="00762DDC"/>
    <w:rsid w:val="00763509"/>
    <w:rsid w:val="00763557"/>
    <w:rsid w:val="00763927"/>
    <w:rsid w:val="00763D30"/>
    <w:rsid w:val="00763E3F"/>
    <w:rsid w:val="00764141"/>
    <w:rsid w:val="00765043"/>
    <w:rsid w:val="00765FF9"/>
    <w:rsid w:val="0076616F"/>
    <w:rsid w:val="007663AA"/>
    <w:rsid w:val="00766566"/>
    <w:rsid w:val="00766F39"/>
    <w:rsid w:val="007671A7"/>
    <w:rsid w:val="00767D60"/>
    <w:rsid w:val="007703A6"/>
    <w:rsid w:val="007707AA"/>
    <w:rsid w:val="00770E35"/>
    <w:rsid w:val="007710F9"/>
    <w:rsid w:val="007713BA"/>
    <w:rsid w:val="0077238B"/>
    <w:rsid w:val="0077240D"/>
    <w:rsid w:val="0077245A"/>
    <w:rsid w:val="007726A9"/>
    <w:rsid w:val="0077353F"/>
    <w:rsid w:val="00773720"/>
    <w:rsid w:val="00773813"/>
    <w:rsid w:val="00773A52"/>
    <w:rsid w:val="0077416D"/>
    <w:rsid w:val="0077487E"/>
    <w:rsid w:val="00774E09"/>
    <w:rsid w:val="00775C45"/>
    <w:rsid w:val="00775E50"/>
    <w:rsid w:val="00775E70"/>
    <w:rsid w:val="007761CA"/>
    <w:rsid w:val="00776311"/>
    <w:rsid w:val="0077644D"/>
    <w:rsid w:val="007764A7"/>
    <w:rsid w:val="007764C1"/>
    <w:rsid w:val="00776657"/>
    <w:rsid w:val="00777371"/>
    <w:rsid w:val="00777766"/>
    <w:rsid w:val="00777BBE"/>
    <w:rsid w:val="00777E54"/>
    <w:rsid w:val="00780266"/>
    <w:rsid w:val="00780579"/>
    <w:rsid w:val="007806DB"/>
    <w:rsid w:val="007807CF"/>
    <w:rsid w:val="0078100E"/>
    <w:rsid w:val="007815BC"/>
    <w:rsid w:val="0078165A"/>
    <w:rsid w:val="00781BF9"/>
    <w:rsid w:val="00781C49"/>
    <w:rsid w:val="00781DAD"/>
    <w:rsid w:val="0078213D"/>
    <w:rsid w:val="007821FD"/>
    <w:rsid w:val="007823B8"/>
    <w:rsid w:val="00782F86"/>
    <w:rsid w:val="00783281"/>
    <w:rsid w:val="00783418"/>
    <w:rsid w:val="0078354A"/>
    <w:rsid w:val="00783A64"/>
    <w:rsid w:val="00784074"/>
    <w:rsid w:val="0078477E"/>
    <w:rsid w:val="00784BD0"/>
    <w:rsid w:val="00784EF0"/>
    <w:rsid w:val="007851BE"/>
    <w:rsid w:val="0078565C"/>
    <w:rsid w:val="00785DE3"/>
    <w:rsid w:val="00785EF8"/>
    <w:rsid w:val="007861EC"/>
    <w:rsid w:val="007874CC"/>
    <w:rsid w:val="007876E6"/>
    <w:rsid w:val="00787C7C"/>
    <w:rsid w:val="00790465"/>
    <w:rsid w:val="0079065E"/>
    <w:rsid w:val="007906D3"/>
    <w:rsid w:val="00790971"/>
    <w:rsid w:val="00790B99"/>
    <w:rsid w:val="00790C57"/>
    <w:rsid w:val="00790C87"/>
    <w:rsid w:val="00790F55"/>
    <w:rsid w:val="007914EF"/>
    <w:rsid w:val="00791D01"/>
    <w:rsid w:val="00791FF8"/>
    <w:rsid w:val="00792790"/>
    <w:rsid w:val="007927F9"/>
    <w:rsid w:val="00792D13"/>
    <w:rsid w:val="00792DEC"/>
    <w:rsid w:val="00793004"/>
    <w:rsid w:val="007937AE"/>
    <w:rsid w:val="0079387E"/>
    <w:rsid w:val="007941AB"/>
    <w:rsid w:val="00794AF0"/>
    <w:rsid w:val="00794FAA"/>
    <w:rsid w:val="007951B6"/>
    <w:rsid w:val="0079556B"/>
    <w:rsid w:val="007955C5"/>
    <w:rsid w:val="007958F2"/>
    <w:rsid w:val="00795C7D"/>
    <w:rsid w:val="00795D11"/>
    <w:rsid w:val="00796CA2"/>
    <w:rsid w:val="00796CD0"/>
    <w:rsid w:val="0079738E"/>
    <w:rsid w:val="007979C9"/>
    <w:rsid w:val="00797ACA"/>
    <w:rsid w:val="00797B1F"/>
    <w:rsid w:val="00797C7D"/>
    <w:rsid w:val="007A0BE5"/>
    <w:rsid w:val="007A0FA0"/>
    <w:rsid w:val="007A11EE"/>
    <w:rsid w:val="007A135A"/>
    <w:rsid w:val="007A1527"/>
    <w:rsid w:val="007A171C"/>
    <w:rsid w:val="007A18B0"/>
    <w:rsid w:val="007A1D0F"/>
    <w:rsid w:val="007A27D7"/>
    <w:rsid w:val="007A2AD0"/>
    <w:rsid w:val="007A2B9B"/>
    <w:rsid w:val="007A32E0"/>
    <w:rsid w:val="007A3B1D"/>
    <w:rsid w:val="007A3D72"/>
    <w:rsid w:val="007A46CF"/>
    <w:rsid w:val="007A46D5"/>
    <w:rsid w:val="007A4A16"/>
    <w:rsid w:val="007A4C4A"/>
    <w:rsid w:val="007A4C52"/>
    <w:rsid w:val="007A4DD0"/>
    <w:rsid w:val="007A5A48"/>
    <w:rsid w:val="007A5DFE"/>
    <w:rsid w:val="007A6080"/>
    <w:rsid w:val="007A619B"/>
    <w:rsid w:val="007A737C"/>
    <w:rsid w:val="007A7A04"/>
    <w:rsid w:val="007A7DC2"/>
    <w:rsid w:val="007A7DE6"/>
    <w:rsid w:val="007A7DED"/>
    <w:rsid w:val="007B01B0"/>
    <w:rsid w:val="007B01C0"/>
    <w:rsid w:val="007B039A"/>
    <w:rsid w:val="007B040C"/>
    <w:rsid w:val="007B04E8"/>
    <w:rsid w:val="007B060F"/>
    <w:rsid w:val="007B066A"/>
    <w:rsid w:val="007B0742"/>
    <w:rsid w:val="007B09AA"/>
    <w:rsid w:val="007B0CF3"/>
    <w:rsid w:val="007B13CF"/>
    <w:rsid w:val="007B14D7"/>
    <w:rsid w:val="007B16B1"/>
    <w:rsid w:val="007B19AF"/>
    <w:rsid w:val="007B1E6F"/>
    <w:rsid w:val="007B293B"/>
    <w:rsid w:val="007B2A4C"/>
    <w:rsid w:val="007B2F07"/>
    <w:rsid w:val="007B310A"/>
    <w:rsid w:val="007B366F"/>
    <w:rsid w:val="007B41F8"/>
    <w:rsid w:val="007B4592"/>
    <w:rsid w:val="007B49ED"/>
    <w:rsid w:val="007B4A6E"/>
    <w:rsid w:val="007B5064"/>
    <w:rsid w:val="007B5E60"/>
    <w:rsid w:val="007B600A"/>
    <w:rsid w:val="007B6F59"/>
    <w:rsid w:val="007B7458"/>
    <w:rsid w:val="007B7515"/>
    <w:rsid w:val="007B7785"/>
    <w:rsid w:val="007C0060"/>
    <w:rsid w:val="007C032D"/>
    <w:rsid w:val="007C0AEF"/>
    <w:rsid w:val="007C0DB3"/>
    <w:rsid w:val="007C157B"/>
    <w:rsid w:val="007C2B42"/>
    <w:rsid w:val="007C2BDA"/>
    <w:rsid w:val="007C2DC2"/>
    <w:rsid w:val="007C2F6B"/>
    <w:rsid w:val="007C41BB"/>
    <w:rsid w:val="007C4859"/>
    <w:rsid w:val="007C4962"/>
    <w:rsid w:val="007C49B4"/>
    <w:rsid w:val="007C4EA9"/>
    <w:rsid w:val="007C500D"/>
    <w:rsid w:val="007C5145"/>
    <w:rsid w:val="007C571B"/>
    <w:rsid w:val="007C5A37"/>
    <w:rsid w:val="007C5A4C"/>
    <w:rsid w:val="007C5BB7"/>
    <w:rsid w:val="007C5CC8"/>
    <w:rsid w:val="007C6514"/>
    <w:rsid w:val="007C66D0"/>
    <w:rsid w:val="007C6927"/>
    <w:rsid w:val="007C6CE4"/>
    <w:rsid w:val="007D00B9"/>
    <w:rsid w:val="007D030B"/>
    <w:rsid w:val="007D0B74"/>
    <w:rsid w:val="007D0BE4"/>
    <w:rsid w:val="007D16A5"/>
    <w:rsid w:val="007D1B90"/>
    <w:rsid w:val="007D218F"/>
    <w:rsid w:val="007D2D79"/>
    <w:rsid w:val="007D3190"/>
    <w:rsid w:val="007D3D0B"/>
    <w:rsid w:val="007D3D8F"/>
    <w:rsid w:val="007D3DC4"/>
    <w:rsid w:val="007D42C7"/>
    <w:rsid w:val="007D4535"/>
    <w:rsid w:val="007D5B7B"/>
    <w:rsid w:val="007D6014"/>
    <w:rsid w:val="007D6078"/>
    <w:rsid w:val="007D62D7"/>
    <w:rsid w:val="007D64A8"/>
    <w:rsid w:val="007D65ED"/>
    <w:rsid w:val="007D6B57"/>
    <w:rsid w:val="007D7DA2"/>
    <w:rsid w:val="007D7FA7"/>
    <w:rsid w:val="007E024F"/>
    <w:rsid w:val="007E02FF"/>
    <w:rsid w:val="007E03C0"/>
    <w:rsid w:val="007E0870"/>
    <w:rsid w:val="007E130E"/>
    <w:rsid w:val="007E1625"/>
    <w:rsid w:val="007E1654"/>
    <w:rsid w:val="007E17F7"/>
    <w:rsid w:val="007E1A2D"/>
    <w:rsid w:val="007E1C55"/>
    <w:rsid w:val="007E2417"/>
    <w:rsid w:val="007E287D"/>
    <w:rsid w:val="007E2A4B"/>
    <w:rsid w:val="007E2CE2"/>
    <w:rsid w:val="007E2D7B"/>
    <w:rsid w:val="007E327E"/>
    <w:rsid w:val="007E32CC"/>
    <w:rsid w:val="007E339D"/>
    <w:rsid w:val="007E362E"/>
    <w:rsid w:val="007E3C8C"/>
    <w:rsid w:val="007E4723"/>
    <w:rsid w:val="007E4FF2"/>
    <w:rsid w:val="007E54C4"/>
    <w:rsid w:val="007E54DC"/>
    <w:rsid w:val="007E606C"/>
    <w:rsid w:val="007E61B8"/>
    <w:rsid w:val="007E68D2"/>
    <w:rsid w:val="007E73C6"/>
    <w:rsid w:val="007E751F"/>
    <w:rsid w:val="007E758A"/>
    <w:rsid w:val="007E7D5F"/>
    <w:rsid w:val="007E7EDB"/>
    <w:rsid w:val="007E7F2D"/>
    <w:rsid w:val="007F0073"/>
    <w:rsid w:val="007F025F"/>
    <w:rsid w:val="007F0520"/>
    <w:rsid w:val="007F0655"/>
    <w:rsid w:val="007F0846"/>
    <w:rsid w:val="007F0C62"/>
    <w:rsid w:val="007F0D6D"/>
    <w:rsid w:val="007F0F18"/>
    <w:rsid w:val="007F148D"/>
    <w:rsid w:val="007F189A"/>
    <w:rsid w:val="007F22C5"/>
    <w:rsid w:val="007F26C8"/>
    <w:rsid w:val="007F2792"/>
    <w:rsid w:val="007F301E"/>
    <w:rsid w:val="007F321A"/>
    <w:rsid w:val="007F3407"/>
    <w:rsid w:val="007F3890"/>
    <w:rsid w:val="007F3D88"/>
    <w:rsid w:val="007F3DB8"/>
    <w:rsid w:val="007F3FF1"/>
    <w:rsid w:val="007F4005"/>
    <w:rsid w:val="007F487B"/>
    <w:rsid w:val="007F52B3"/>
    <w:rsid w:val="007F53C5"/>
    <w:rsid w:val="007F5BBF"/>
    <w:rsid w:val="007F6330"/>
    <w:rsid w:val="007F63CA"/>
    <w:rsid w:val="007F644C"/>
    <w:rsid w:val="007F68F0"/>
    <w:rsid w:val="007F6D5F"/>
    <w:rsid w:val="007F736A"/>
    <w:rsid w:val="007F7C42"/>
    <w:rsid w:val="007F7C76"/>
    <w:rsid w:val="007F7C7D"/>
    <w:rsid w:val="007F7EEF"/>
    <w:rsid w:val="00800225"/>
    <w:rsid w:val="008003AE"/>
    <w:rsid w:val="00800A49"/>
    <w:rsid w:val="00800F9B"/>
    <w:rsid w:val="008012E5"/>
    <w:rsid w:val="008016BD"/>
    <w:rsid w:val="00801B78"/>
    <w:rsid w:val="00801BCC"/>
    <w:rsid w:val="00802495"/>
    <w:rsid w:val="00803143"/>
    <w:rsid w:val="00803605"/>
    <w:rsid w:val="00803D78"/>
    <w:rsid w:val="0080432C"/>
    <w:rsid w:val="00804950"/>
    <w:rsid w:val="008053CB"/>
    <w:rsid w:val="0080545D"/>
    <w:rsid w:val="008058AC"/>
    <w:rsid w:val="00805E82"/>
    <w:rsid w:val="00805FC4"/>
    <w:rsid w:val="00806560"/>
    <w:rsid w:val="0080733C"/>
    <w:rsid w:val="008075B5"/>
    <w:rsid w:val="00807CB0"/>
    <w:rsid w:val="00807F22"/>
    <w:rsid w:val="008101EC"/>
    <w:rsid w:val="008105CE"/>
    <w:rsid w:val="008106E6"/>
    <w:rsid w:val="008119C8"/>
    <w:rsid w:val="00811B27"/>
    <w:rsid w:val="00811B94"/>
    <w:rsid w:val="00811D85"/>
    <w:rsid w:val="008129BB"/>
    <w:rsid w:val="00813576"/>
    <w:rsid w:val="00813B2F"/>
    <w:rsid w:val="00814842"/>
    <w:rsid w:val="00814C4D"/>
    <w:rsid w:val="00814E5A"/>
    <w:rsid w:val="00815565"/>
    <w:rsid w:val="00815741"/>
    <w:rsid w:val="00815B1F"/>
    <w:rsid w:val="00815DED"/>
    <w:rsid w:val="00816A87"/>
    <w:rsid w:val="00816B01"/>
    <w:rsid w:val="00816BA8"/>
    <w:rsid w:val="00816E81"/>
    <w:rsid w:val="00816FEE"/>
    <w:rsid w:val="00817045"/>
    <w:rsid w:val="00817872"/>
    <w:rsid w:val="008200E1"/>
    <w:rsid w:val="008206C9"/>
    <w:rsid w:val="008213B8"/>
    <w:rsid w:val="008216A7"/>
    <w:rsid w:val="00821D49"/>
    <w:rsid w:val="00821E98"/>
    <w:rsid w:val="0082210D"/>
    <w:rsid w:val="00822ACC"/>
    <w:rsid w:val="00822C4C"/>
    <w:rsid w:val="00822DFF"/>
    <w:rsid w:val="00823009"/>
    <w:rsid w:val="0082345B"/>
    <w:rsid w:val="00823479"/>
    <w:rsid w:val="00823C5B"/>
    <w:rsid w:val="00823F26"/>
    <w:rsid w:val="00823F60"/>
    <w:rsid w:val="008241E8"/>
    <w:rsid w:val="00824BCB"/>
    <w:rsid w:val="008255F7"/>
    <w:rsid w:val="00825E11"/>
    <w:rsid w:val="00826042"/>
    <w:rsid w:val="008263E6"/>
    <w:rsid w:val="008268B0"/>
    <w:rsid w:val="00826956"/>
    <w:rsid w:val="00826D18"/>
    <w:rsid w:val="00826D27"/>
    <w:rsid w:val="00826DCF"/>
    <w:rsid w:val="00826F45"/>
    <w:rsid w:val="008273C3"/>
    <w:rsid w:val="00827A06"/>
    <w:rsid w:val="00827B8D"/>
    <w:rsid w:val="00830079"/>
    <w:rsid w:val="008301F7"/>
    <w:rsid w:val="0083025F"/>
    <w:rsid w:val="0083035E"/>
    <w:rsid w:val="00830622"/>
    <w:rsid w:val="0083078F"/>
    <w:rsid w:val="00831766"/>
    <w:rsid w:val="00832263"/>
    <w:rsid w:val="008322B2"/>
    <w:rsid w:val="00832788"/>
    <w:rsid w:val="00833043"/>
    <w:rsid w:val="0083370D"/>
    <w:rsid w:val="008338DE"/>
    <w:rsid w:val="00833A01"/>
    <w:rsid w:val="00834398"/>
    <w:rsid w:val="00834990"/>
    <w:rsid w:val="00835B1B"/>
    <w:rsid w:val="00835BC4"/>
    <w:rsid w:val="00835BE9"/>
    <w:rsid w:val="008360EB"/>
    <w:rsid w:val="0083613D"/>
    <w:rsid w:val="0083618D"/>
    <w:rsid w:val="008361FA"/>
    <w:rsid w:val="008373F5"/>
    <w:rsid w:val="008378B3"/>
    <w:rsid w:val="00837D67"/>
    <w:rsid w:val="00840077"/>
    <w:rsid w:val="008409A5"/>
    <w:rsid w:val="008410EB"/>
    <w:rsid w:val="008413DE"/>
    <w:rsid w:val="00842691"/>
    <w:rsid w:val="008429EA"/>
    <w:rsid w:val="00842D6E"/>
    <w:rsid w:val="008432F0"/>
    <w:rsid w:val="00843CAF"/>
    <w:rsid w:val="00843E5A"/>
    <w:rsid w:val="008446CF"/>
    <w:rsid w:val="008458A5"/>
    <w:rsid w:val="008459A3"/>
    <w:rsid w:val="00845C15"/>
    <w:rsid w:val="00845FB8"/>
    <w:rsid w:val="00846156"/>
    <w:rsid w:val="008471E5"/>
    <w:rsid w:val="008474A3"/>
    <w:rsid w:val="00847858"/>
    <w:rsid w:val="00847D7C"/>
    <w:rsid w:val="00847DC8"/>
    <w:rsid w:val="00847F32"/>
    <w:rsid w:val="008504EB"/>
    <w:rsid w:val="008505A5"/>
    <w:rsid w:val="00850D85"/>
    <w:rsid w:val="008511BD"/>
    <w:rsid w:val="0085132F"/>
    <w:rsid w:val="00851409"/>
    <w:rsid w:val="00852AFC"/>
    <w:rsid w:val="00852C9C"/>
    <w:rsid w:val="00853425"/>
    <w:rsid w:val="00853532"/>
    <w:rsid w:val="00853854"/>
    <w:rsid w:val="00853B12"/>
    <w:rsid w:val="00854018"/>
    <w:rsid w:val="0085419C"/>
    <w:rsid w:val="00855272"/>
    <w:rsid w:val="0085536C"/>
    <w:rsid w:val="00855467"/>
    <w:rsid w:val="00855D9E"/>
    <w:rsid w:val="00855EDF"/>
    <w:rsid w:val="00855FC1"/>
    <w:rsid w:val="00856588"/>
    <w:rsid w:val="008567AB"/>
    <w:rsid w:val="00856D6E"/>
    <w:rsid w:val="00857591"/>
    <w:rsid w:val="008578DD"/>
    <w:rsid w:val="008578F3"/>
    <w:rsid w:val="00857A35"/>
    <w:rsid w:val="00860100"/>
    <w:rsid w:val="0086021F"/>
    <w:rsid w:val="00860499"/>
    <w:rsid w:val="0086082B"/>
    <w:rsid w:val="00860AEE"/>
    <w:rsid w:val="00860FE0"/>
    <w:rsid w:val="00861817"/>
    <w:rsid w:val="00861C26"/>
    <w:rsid w:val="00862066"/>
    <w:rsid w:val="0086213F"/>
    <w:rsid w:val="0086242A"/>
    <w:rsid w:val="008624E0"/>
    <w:rsid w:val="008629FA"/>
    <w:rsid w:val="00862A88"/>
    <w:rsid w:val="00862B17"/>
    <w:rsid w:val="008634E5"/>
    <w:rsid w:val="00863585"/>
    <w:rsid w:val="00863612"/>
    <w:rsid w:val="00863ED7"/>
    <w:rsid w:val="00863F4A"/>
    <w:rsid w:val="00864058"/>
    <w:rsid w:val="0086463E"/>
    <w:rsid w:val="0086464A"/>
    <w:rsid w:val="00864C43"/>
    <w:rsid w:val="00864F63"/>
    <w:rsid w:val="008654DA"/>
    <w:rsid w:val="008661D8"/>
    <w:rsid w:val="008664B5"/>
    <w:rsid w:val="00866A25"/>
    <w:rsid w:val="00866EAF"/>
    <w:rsid w:val="008676DD"/>
    <w:rsid w:val="00867860"/>
    <w:rsid w:val="00867878"/>
    <w:rsid w:val="0087038A"/>
    <w:rsid w:val="0087052C"/>
    <w:rsid w:val="008705F9"/>
    <w:rsid w:val="008707F7"/>
    <w:rsid w:val="00870C76"/>
    <w:rsid w:val="00870F84"/>
    <w:rsid w:val="008718D8"/>
    <w:rsid w:val="00871C77"/>
    <w:rsid w:val="008720C8"/>
    <w:rsid w:val="00872748"/>
    <w:rsid w:val="00872AC8"/>
    <w:rsid w:val="0087315A"/>
    <w:rsid w:val="008738B6"/>
    <w:rsid w:val="00873F89"/>
    <w:rsid w:val="00874C62"/>
    <w:rsid w:val="00874F71"/>
    <w:rsid w:val="00875D4C"/>
    <w:rsid w:val="00875FEE"/>
    <w:rsid w:val="008762C4"/>
    <w:rsid w:val="00876FC8"/>
    <w:rsid w:val="00877042"/>
    <w:rsid w:val="008770F3"/>
    <w:rsid w:val="00877B5C"/>
    <w:rsid w:val="00877BE8"/>
    <w:rsid w:val="008800BB"/>
    <w:rsid w:val="008802C8"/>
    <w:rsid w:val="008802D6"/>
    <w:rsid w:val="00880BA5"/>
    <w:rsid w:val="00880E06"/>
    <w:rsid w:val="00880EA2"/>
    <w:rsid w:val="008812C6"/>
    <w:rsid w:val="0088130F"/>
    <w:rsid w:val="008814B3"/>
    <w:rsid w:val="008815B7"/>
    <w:rsid w:val="00881ACF"/>
    <w:rsid w:val="008825B7"/>
    <w:rsid w:val="00882F30"/>
    <w:rsid w:val="008830E3"/>
    <w:rsid w:val="0088311F"/>
    <w:rsid w:val="0088320C"/>
    <w:rsid w:val="00884648"/>
    <w:rsid w:val="00884906"/>
    <w:rsid w:val="00884A02"/>
    <w:rsid w:val="00885224"/>
    <w:rsid w:val="00886349"/>
    <w:rsid w:val="0088716B"/>
    <w:rsid w:val="00890588"/>
    <w:rsid w:val="00890A64"/>
    <w:rsid w:val="008912E0"/>
    <w:rsid w:val="00891B21"/>
    <w:rsid w:val="00891C3D"/>
    <w:rsid w:val="00891D75"/>
    <w:rsid w:val="00892143"/>
    <w:rsid w:val="0089262A"/>
    <w:rsid w:val="008926E3"/>
    <w:rsid w:val="00892D88"/>
    <w:rsid w:val="00892EBB"/>
    <w:rsid w:val="00893162"/>
    <w:rsid w:val="008933C3"/>
    <w:rsid w:val="00893A90"/>
    <w:rsid w:val="00893B07"/>
    <w:rsid w:val="00893FFD"/>
    <w:rsid w:val="008949ED"/>
    <w:rsid w:val="00894BE6"/>
    <w:rsid w:val="00894CAC"/>
    <w:rsid w:val="00894EEE"/>
    <w:rsid w:val="00894FC1"/>
    <w:rsid w:val="00894FF2"/>
    <w:rsid w:val="008953C8"/>
    <w:rsid w:val="008953E2"/>
    <w:rsid w:val="00895491"/>
    <w:rsid w:val="00895B3F"/>
    <w:rsid w:val="00896782"/>
    <w:rsid w:val="00896DC6"/>
    <w:rsid w:val="00897090"/>
    <w:rsid w:val="0089772D"/>
    <w:rsid w:val="00897777"/>
    <w:rsid w:val="008A0C8B"/>
    <w:rsid w:val="008A0DF2"/>
    <w:rsid w:val="008A1CB6"/>
    <w:rsid w:val="008A2B3B"/>
    <w:rsid w:val="008A4078"/>
    <w:rsid w:val="008A4898"/>
    <w:rsid w:val="008A4B1D"/>
    <w:rsid w:val="008A4F4F"/>
    <w:rsid w:val="008A61DB"/>
    <w:rsid w:val="008A6CDE"/>
    <w:rsid w:val="008A70F8"/>
    <w:rsid w:val="008A73ED"/>
    <w:rsid w:val="008A7AF0"/>
    <w:rsid w:val="008A7C57"/>
    <w:rsid w:val="008B0A67"/>
    <w:rsid w:val="008B0AFD"/>
    <w:rsid w:val="008B0E4D"/>
    <w:rsid w:val="008B1060"/>
    <w:rsid w:val="008B11F3"/>
    <w:rsid w:val="008B1498"/>
    <w:rsid w:val="008B14F4"/>
    <w:rsid w:val="008B1911"/>
    <w:rsid w:val="008B23F8"/>
    <w:rsid w:val="008B26EA"/>
    <w:rsid w:val="008B2C61"/>
    <w:rsid w:val="008B2CA2"/>
    <w:rsid w:val="008B2CD8"/>
    <w:rsid w:val="008B2EE5"/>
    <w:rsid w:val="008B310B"/>
    <w:rsid w:val="008B4032"/>
    <w:rsid w:val="008B417C"/>
    <w:rsid w:val="008B456F"/>
    <w:rsid w:val="008B473A"/>
    <w:rsid w:val="008B4800"/>
    <w:rsid w:val="008B4DED"/>
    <w:rsid w:val="008B4E36"/>
    <w:rsid w:val="008B4FAD"/>
    <w:rsid w:val="008B5441"/>
    <w:rsid w:val="008B5D3C"/>
    <w:rsid w:val="008B6184"/>
    <w:rsid w:val="008B656C"/>
    <w:rsid w:val="008B6650"/>
    <w:rsid w:val="008B6C9D"/>
    <w:rsid w:val="008B6D13"/>
    <w:rsid w:val="008B716E"/>
    <w:rsid w:val="008B7180"/>
    <w:rsid w:val="008B7354"/>
    <w:rsid w:val="008B7A8B"/>
    <w:rsid w:val="008C0465"/>
    <w:rsid w:val="008C09C6"/>
    <w:rsid w:val="008C0B9B"/>
    <w:rsid w:val="008C0BD8"/>
    <w:rsid w:val="008C0C59"/>
    <w:rsid w:val="008C0FDA"/>
    <w:rsid w:val="008C1596"/>
    <w:rsid w:val="008C19D7"/>
    <w:rsid w:val="008C1E42"/>
    <w:rsid w:val="008C1FB4"/>
    <w:rsid w:val="008C220F"/>
    <w:rsid w:val="008C2308"/>
    <w:rsid w:val="008C266D"/>
    <w:rsid w:val="008C2ED4"/>
    <w:rsid w:val="008C3224"/>
    <w:rsid w:val="008C3730"/>
    <w:rsid w:val="008C3BE2"/>
    <w:rsid w:val="008C3C0C"/>
    <w:rsid w:val="008C3D1A"/>
    <w:rsid w:val="008C3FF0"/>
    <w:rsid w:val="008C4687"/>
    <w:rsid w:val="008C56E8"/>
    <w:rsid w:val="008C5720"/>
    <w:rsid w:val="008C5BB0"/>
    <w:rsid w:val="008C5E6B"/>
    <w:rsid w:val="008C6256"/>
    <w:rsid w:val="008C6A08"/>
    <w:rsid w:val="008C6C14"/>
    <w:rsid w:val="008C70B1"/>
    <w:rsid w:val="008C7358"/>
    <w:rsid w:val="008C7500"/>
    <w:rsid w:val="008C7596"/>
    <w:rsid w:val="008C7764"/>
    <w:rsid w:val="008C7BE4"/>
    <w:rsid w:val="008C7E37"/>
    <w:rsid w:val="008D01FF"/>
    <w:rsid w:val="008D0CA7"/>
    <w:rsid w:val="008D162E"/>
    <w:rsid w:val="008D1643"/>
    <w:rsid w:val="008D244E"/>
    <w:rsid w:val="008D246A"/>
    <w:rsid w:val="008D26FE"/>
    <w:rsid w:val="008D2770"/>
    <w:rsid w:val="008D29C3"/>
    <w:rsid w:val="008D2C24"/>
    <w:rsid w:val="008D3054"/>
    <w:rsid w:val="008D3821"/>
    <w:rsid w:val="008D38DE"/>
    <w:rsid w:val="008D39C7"/>
    <w:rsid w:val="008D3CE9"/>
    <w:rsid w:val="008D3F56"/>
    <w:rsid w:val="008D4040"/>
    <w:rsid w:val="008D4311"/>
    <w:rsid w:val="008D4446"/>
    <w:rsid w:val="008D4507"/>
    <w:rsid w:val="008D4BD9"/>
    <w:rsid w:val="008D4DA1"/>
    <w:rsid w:val="008D5190"/>
    <w:rsid w:val="008D51CA"/>
    <w:rsid w:val="008D5A25"/>
    <w:rsid w:val="008D5AC7"/>
    <w:rsid w:val="008D5E12"/>
    <w:rsid w:val="008D6A45"/>
    <w:rsid w:val="008D6AC2"/>
    <w:rsid w:val="008D6DCB"/>
    <w:rsid w:val="008D6F46"/>
    <w:rsid w:val="008E01AA"/>
    <w:rsid w:val="008E07A4"/>
    <w:rsid w:val="008E0864"/>
    <w:rsid w:val="008E11A2"/>
    <w:rsid w:val="008E12D4"/>
    <w:rsid w:val="008E142F"/>
    <w:rsid w:val="008E1F9E"/>
    <w:rsid w:val="008E23CB"/>
    <w:rsid w:val="008E27F1"/>
    <w:rsid w:val="008E2EFF"/>
    <w:rsid w:val="008E3133"/>
    <w:rsid w:val="008E3551"/>
    <w:rsid w:val="008E3883"/>
    <w:rsid w:val="008E39E0"/>
    <w:rsid w:val="008E3C86"/>
    <w:rsid w:val="008E4100"/>
    <w:rsid w:val="008E4134"/>
    <w:rsid w:val="008E422F"/>
    <w:rsid w:val="008E4A28"/>
    <w:rsid w:val="008E50D1"/>
    <w:rsid w:val="008E51C2"/>
    <w:rsid w:val="008E5912"/>
    <w:rsid w:val="008E59E7"/>
    <w:rsid w:val="008E5F95"/>
    <w:rsid w:val="008E6214"/>
    <w:rsid w:val="008E65D4"/>
    <w:rsid w:val="008E66DA"/>
    <w:rsid w:val="008E6CCC"/>
    <w:rsid w:val="008E6F15"/>
    <w:rsid w:val="008E7739"/>
    <w:rsid w:val="008E775E"/>
    <w:rsid w:val="008E788E"/>
    <w:rsid w:val="008E7923"/>
    <w:rsid w:val="008E7D86"/>
    <w:rsid w:val="008F0000"/>
    <w:rsid w:val="008F0297"/>
    <w:rsid w:val="008F0C8E"/>
    <w:rsid w:val="008F0F99"/>
    <w:rsid w:val="008F1020"/>
    <w:rsid w:val="008F19FB"/>
    <w:rsid w:val="008F2A6D"/>
    <w:rsid w:val="008F2EB2"/>
    <w:rsid w:val="008F306D"/>
    <w:rsid w:val="008F38E8"/>
    <w:rsid w:val="008F39C6"/>
    <w:rsid w:val="008F3DDF"/>
    <w:rsid w:val="008F45A4"/>
    <w:rsid w:val="008F4809"/>
    <w:rsid w:val="008F4A8B"/>
    <w:rsid w:val="008F4D8F"/>
    <w:rsid w:val="008F4E88"/>
    <w:rsid w:val="008F510C"/>
    <w:rsid w:val="008F5581"/>
    <w:rsid w:val="008F56AA"/>
    <w:rsid w:val="008F5BE1"/>
    <w:rsid w:val="008F5BF2"/>
    <w:rsid w:val="008F61B7"/>
    <w:rsid w:val="008F6926"/>
    <w:rsid w:val="008F6CB3"/>
    <w:rsid w:val="008F7297"/>
    <w:rsid w:val="0090046A"/>
    <w:rsid w:val="009005D0"/>
    <w:rsid w:val="00900BC2"/>
    <w:rsid w:val="00901630"/>
    <w:rsid w:val="00901A28"/>
    <w:rsid w:val="00901ACC"/>
    <w:rsid w:val="00902479"/>
    <w:rsid w:val="009026E5"/>
    <w:rsid w:val="00902AB7"/>
    <w:rsid w:val="00902B76"/>
    <w:rsid w:val="00902BC7"/>
    <w:rsid w:val="009038C4"/>
    <w:rsid w:val="0090392A"/>
    <w:rsid w:val="0090398F"/>
    <w:rsid w:val="00903CD6"/>
    <w:rsid w:val="00903F7D"/>
    <w:rsid w:val="00903F8C"/>
    <w:rsid w:val="00904707"/>
    <w:rsid w:val="00904A81"/>
    <w:rsid w:val="0090520A"/>
    <w:rsid w:val="00905640"/>
    <w:rsid w:val="009058E6"/>
    <w:rsid w:val="00905D44"/>
    <w:rsid w:val="00905EAE"/>
    <w:rsid w:val="009063CE"/>
    <w:rsid w:val="0090655A"/>
    <w:rsid w:val="009069FA"/>
    <w:rsid w:val="00906D2F"/>
    <w:rsid w:val="00907160"/>
    <w:rsid w:val="009074E8"/>
    <w:rsid w:val="00907D6E"/>
    <w:rsid w:val="009108FF"/>
    <w:rsid w:val="009109F0"/>
    <w:rsid w:val="0091126A"/>
    <w:rsid w:val="009112C7"/>
    <w:rsid w:val="0091151D"/>
    <w:rsid w:val="0091172C"/>
    <w:rsid w:val="0091192F"/>
    <w:rsid w:val="00911987"/>
    <w:rsid w:val="00911B35"/>
    <w:rsid w:val="009123F2"/>
    <w:rsid w:val="0091261D"/>
    <w:rsid w:val="00912C78"/>
    <w:rsid w:val="00912DD5"/>
    <w:rsid w:val="00912F4D"/>
    <w:rsid w:val="0091305C"/>
    <w:rsid w:val="0091348E"/>
    <w:rsid w:val="00913B5D"/>
    <w:rsid w:val="009144C5"/>
    <w:rsid w:val="00914D12"/>
    <w:rsid w:val="00914E20"/>
    <w:rsid w:val="009156E0"/>
    <w:rsid w:val="00915A79"/>
    <w:rsid w:val="00915F90"/>
    <w:rsid w:val="0091648D"/>
    <w:rsid w:val="009165A4"/>
    <w:rsid w:val="009174C5"/>
    <w:rsid w:val="0091797F"/>
    <w:rsid w:val="00917ABE"/>
    <w:rsid w:val="00917F17"/>
    <w:rsid w:val="0092005D"/>
    <w:rsid w:val="00921687"/>
    <w:rsid w:val="00921FF9"/>
    <w:rsid w:val="009222C8"/>
    <w:rsid w:val="0092292C"/>
    <w:rsid w:val="00922A1F"/>
    <w:rsid w:val="00922DE3"/>
    <w:rsid w:val="00922F7B"/>
    <w:rsid w:val="009234D3"/>
    <w:rsid w:val="00923681"/>
    <w:rsid w:val="00923930"/>
    <w:rsid w:val="00923AC0"/>
    <w:rsid w:val="00924248"/>
    <w:rsid w:val="009265F5"/>
    <w:rsid w:val="0092662B"/>
    <w:rsid w:val="009269E7"/>
    <w:rsid w:val="00926AFF"/>
    <w:rsid w:val="00926E53"/>
    <w:rsid w:val="00926FCC"/>
    <w:rsid w:val="0092777C"/>
    <w:rsid w:val="00930806"/>
    <w:rsid w:val="00930902"/>
    <w:rsid w:val="00930984"/>
    <w:rsid w:val="00930B24"/>
    <w:rsid w:val="0093121F"/>
    <w:rsid w:val="00931419"/>
    <w:rsid w:val="00931501"/>
    <w:rsid w:val="00931A4E"/>
    <w:rsid w:val="00931D4B"/>
    <w:rsid w:val="00932155"/>
    <w:rsid w:val="009326D5"/>
    <w:rsid w:val="00932A2C"/>
    <w:rsid w:val="00933564"/>
    <w:rsid w:val="00933AF9"/>
    <w:rsid w:val="00933E2C"/>
    <w:rsid w:val="009342C6"/>
    <w:rsid w:val="00934CBA"/>
    <w:rsid w:val="00934E12"/>
    <w:rsid w:val="00935107"/>
    <w:rsid w:val="0093534E"/>
    <w:rsid w:val="0093558C"/>
    <w:rsid w:val="009355A4"/>
    <w:rsid w:val="0093571F"/>
    <w:rsid w:val="00936190"/>
    <w:rsid w:val="00936536"/>
    <w:rsid w:val="00936901"/>
    <w:rsid w:val="00936C01"/>
    <w:rsid w:val="00937115"/>
    <w:rsid w:val="00937223"/>
    <w:rsid w:val="00937774"/>
    <w:rsid w:val="00937AAF"/>
    <w:rsid w:val="00937B06"/>
    <w:rsid w:val="00937CCD"/>
    <w:rsid w:val="00940C6B"/>
    <w:rsid w:val="00941107"/>
    <w:rsid w:val="00941279"/>
    <w:rsid w:val="00941747"/>
    <w:rsid w:val="00941C4F"/>
    <w:rsid w:val="009428A0"/>
    <w:rsid w:val="00942AB0"/>
    <w:rsid w:val="00942BE7"/>
    <w:rsid w:val="0094363A"/>
    <w:rsid w:val="009436C7"/>
    <w:rsid w:val="00943BCF"/>
    <w:rsid w:val="00943EA6"/>
    <w:rsid w:val="00943F71"/>
    <w:rsid w:val="009443F8"/>
    <w:rsid w:val="00944A34"/>
    <w:rsid w:val="00945EEE"/>
    <w:rsid w:val="009462D1"/>
    <w:rsid w:val="009477B5"/>
    <w:rsid w:val="00947D6B"/>
    <w:rsid w:val="00950A1F"/>
    <w:rsid w:val="00951633"/>
    <w:rsid w:val="00951A12"/>
    <w:rsid w:val="00952227"/>
    <w:rsid w:val="00952AFF"/>
    <w:rsid w:val="00952BC2"/>
    <w:rsid w:val="009536A5"/>
    <w:rsid w:val="00953781"/>
    <w:rsid w:val="00953E58"/>
    <w:rsid w:val="00953E84"/>
    <w:rsid w:val="009542F8"/>
    <w:rsid w:val="009544C2"/>
    <w:rsid w:val="00954594"/>
    <w:rsid w:val="00954CDF"/>
    <w:rsid w:val="00954EF5"/>
    <w:rsid w:val="00955064"/>
    <w:rsid w:val="009554AE"/>
    <w:rsid w:val="009554BA"/>
    <w:rsid w:val="009558D7"/>
    <w:rsid w:val="00955B00"/>
    <w:rsid w:val="00955E8B"/>
    <w:rsid w:val="00956D08"/>
    <w:rsid w:val="00956F62"/>
    <w:rsid w:val="00957CAC"/>
    <w:rsid w:val="00957CEF"/>
    <w:rsid w:val="00957DD0"/>
    <w:rsid w:val="00957F9B"/>
    <w:rsid w:val="0096053A"/>
    <w:rsid w:val="00960560"/>
    <w:rsid w:val="00961E5A"/>
    <w:rsid w:val="009620E3"/>
    <w:rsid w:val="009627D5"/>
    <w:rsid w:val="0096309C"/>
    <w:rsid w:val="00963882"/>
    <w:rsid w:val="00963969"/>
    <w:rsid w:val="00963F78"/>
    <w:rsid w:val="00964803"/>
    <w:rsid w:val="00964B3B"/>
    <w:rsid w:val="0096518C"/>
    <w:rsid w:val="00965E2F"/>
    <w:rsid w:val="00965E95"/>
    <w:rsid w:val="0096654D"/>
    <w:rsid w:val="009666F8"/>
    <w:rsid w:val="00966A25"/>
    <w:rsid w:val="00966B01"/>
    <w:rsid w:val="00966D75"/>
    <w:rsid w:val="00966F30"/>
    <w:rsid w:val="0096707A"/>
    <w:rsid w:val="00967176"/>
    <w:rsid w:val="00967298"/>
    <w:rsid w:val="009675F3"/>
    <w:rsid w:val="0096790B"/>
    <w:rsid w:val="00970398"/>
    <w:rsid w:val="00970826"/>
    <w:rsid w:val="00970A9B"/>
    <w:rsid w:val="00970DA6"/>
    <w:rsid w:val="00971705"/>
    <w:rsid w:val="00971979"/>
    <w:rsid w:val="00971A32"/>
    <w:rsid w:val="009721F9"/>
    <w:rsid w:val="00972B03"/>
    <w:rsid w:val="00972FB0"/>
    <w:rsid w:val="009734BB"/>
    <w:rsid w:val="00973AE0"/>
    <w:rsid w:val="00974497"/>
    <w:rsid w:val="009746D9"/>
    <w:rsid w:val="00974CBE"/>
    <w:rsid w:val="00974CD7"/>
    <w:rsid w:val="00974F76"/>
    <w:rsid w:val="00975013"/>
    <w:rsid w:val="009754FA"/>
    <w:rsid w:val="00975872"/>
    <w:rsid w:val="00975A5B"/>
    <w:rsid w:val="00975C04"/>
    <w:rsid w:val="00975C5A"/>
    <w:rsid w:val="00975EF6"/>
    <w:rsid w:val="00976060"/>
    <w:rsid w:val="009765DB"/>
    <w:rsid w:val="00976BD1"/>
    <w:rsid w:val="00976CAB"/>
    <w:rsid w:val="00976D0B"/>
    <w:rsid w:val="00977DD3"/>
    <w:rsid w:val="00981607"/>
    <w:rsid w:val="009816AC"/>
    <w:rsid w:val="00981AF1"/>
    <w:rsid w:val="00982172"/>
    <w:rsid w:val="0098375F"/>
    <w:rsid w:val="00983801"/>
    <w:rsid w:val="00983ADD"/>
    <w:rsid w:val="00983D51"/>
    <w:rsid w:val="00983FCC"/>
    <w:rsid w:val="00984086"/>
    <w:rsid w:val="0098416A"/>
    <w:rsid w:val="00984A71"/>
    <w:rsid w:val="00984F28"/>
    <w:rsid w:val="00984FDF"/>
    <w:rsid w:val="00985125"/>
    <w:rsid w:val="00985517"/>
    <w:rsid w:val="00985F09"/>
    <w:rsid w:val="00986070"/>
    <w:rsid w:val="00986A26"/>
    <w:rsid w:val="00986CD5"/>
    <w:rsid w:val="00986CF3"/>
    <w:rsid w:val="00986E79"/>
    <w:rsid w:val="009870DC"/>
    <w:rsid w:val="00987366"/>
    <w:rsid w:val="009874C6"/>
    <w:rsid w:val="00987566"/>
    <w:rsid w:val="00987E4C"/>
    <w:rsid w:val="00987EB2"/>
    <w:rsid w:val="00987F1A"/>
    <w:rsid w:val="00990322"/>
    <w:rsid w:val="0099089A"/>
    <w:rsid w:val="00990C65"/>
    <w:rsid w:val="00990D55"/>
    <w:rsid w:val="00990D5F"/>
    <w:rsid w:val="009917A8"/>
    <w:rsid w:val="00991923"/>
    <w:rsid w:val="00991AB7"/>
    <w:rsid w:val="00992016"/>
    <w:rsid w:val="00992238"/>
    <w:rsid w:val="009923BF"/>
    <w:rsid w:val="00992822"/>
    <w:rsid w:val="009936A7"/>
    <w:rsid w:val="009937B7"/>
    <w:rsid w:val="00993E2E"/>
    <w:rsid w:val="00993E49"/>
    <w:rsid w:val="009940F3"/>
    <w:rsid w:val="00994824"/>
    <w:rsid w:val="00994D5F"/>
    <w:rsid w:val="0099592D"/>
    <w:rsid w:val="00995CEE"/>
    <w:rsid w:val="00995DEF"/>
    <w:rsid w:val="0099703D"/>
    <w:rsid w:val="00997641"/>
    <w:rsid w:val="00997696"/>
    <w:rsid w:val="00997CF5"/>
    <w:rsid w:val="00997D88"/>
    <w:rsid w:val="00997F61"/>
    <w:rsid w:val="009A049B"/>
    <w:rsid w:val="009A0692"/>
    <w:rsid w:val="009A0BCE"/>
    <w:rsid w:val="009A18A6"/>
    <w:rsid w:val="009A1F11"/>
    <w:rsid w:val="009A28D7"/>
    <w:rsid w:val="009A2E6A"/>
    <w:rsid w:val="009A3268"/>
    <w:rsid w:val="009A3643"/>
    <w:rsid w:val="009A36FF"/>
    <w:rsid w:val="009A378F"/>
    <w:rsid w:val="009A3902"/>
    <w:rsid w:val="009A3C50"/>
    <w:rsid w:val="009A3DB7"/>
    <w:rsid w:val="009A419C"/>
    <w:rsid w:val="009A42AD"/>
    <w:rsid w:val="009A42CD"/>
    <w:rsid w:val="009A42D2"/>
    <w:rsid w:val="009A42D6"/>
    <w:rsid w:val="009A45DF"/>
    <w:rsid w:val="009A462D"/>
    <w:rsid w:val="009A4937"/>
    <w:rsid w:val="009A4D6E"/>
    <w:rsid w:val="009A4E51"/>
    <w:rsid w:val="009A541F"/>
    <w:rsid w:val="009A55BC"/>
    <w:rsid w:val="009A5665"/>
    <w:rsid w:val="009A5BA4"/>
    <w:rsid w:val="009A5FFD"/>
    <w:rsid w:val="009A601C"/>
    <w:rsid w:val="009A637A"/>
    <w:rsid w:val="009A66AF"/>
    <w:rsid w:val="009A685E"/>
    <w:rsid w:val="009A6CD6"/>
    <w:rsid w:val="009A703F"/>
    <w:rsid w:val="009A7255"/>
    <w:rsid w:val="009A7366"/>
    <w:rsid w:val="009A747D"/>
    <w:rsid w:val="009A7A59"/>
    <w:rsid w:val="009A7EF0"/>
    <w:rsid w:val="009B0131"/>
    <w:rsid w:val="009B0608"/>
    <w:rsid w:val="009B065D"/>
    <w:rsid w:val="009B0820"/>
    <w:rsid w:val="009B0957"/>
    <w:rsid w:val="009B0CE5"/>
    <w:rsid w:val="009B0D88"/>
    <w:rsid w:val="009B196B"/>
    <w:rsid w:val="009B19D9"/>
    <w:rsid w:val="009B1A40"/>
    <w:rsid w:val="009B1CEB"/>
    <w:rsid w:val="009B1D47"/>
    <w:rsid w:val="009B1DC3"/>
    <w:rsid w:val="009B1EBB"/>
    <w:rsid w:val="009B1F62"/>
    <w:rsid w:val="009B2504"/>
    <w:rsid w:val="009B259A"/>
    <w:rsid w:val="009B267F"/>
    <w:rsid w:val="009B26F1"/>
    <w:rsid w:val="009B26FC"/>
    <w:rsid w:val="009B2707"/>
    <w:rsid w:val="009B2B7F"/>
    <w:rsid w:val="009B3101"/>
    <w:rsid w:val="009B3335"/>
    <w:rsid w:val="009B389C"/>
    <w:rsid w:val="009B39F2"/>
    <w:rsid w:val="009B3A53"/>
    <w:rsid w:val="009B4CDB"/>
    <w:rsid w:val="009B4D81"/>
    <w:rsid w:val="009B563D"/>
    <w:rsid w:val="009B604F"/>
    <w:rsid w:val="009B7135"/>
    <w:rsid w:val="009C0049"/>
    <w:rsid w:val="009C010B"/>
    <w:rsid w:val="009C0693"/>
    <w:rsid w:val="009C083F"/>
    <w:rsid w:val="009C0B67"/>
    <w:rsid w:val="009C0DB4"/>
    <w:rsid w:val="009C1758"/>
    <w:rsid w:val="009C1AF6"/>
    <w:rsid w:val="009C222C"/>
    <w:rsid w:val="009C2D9E"/>
    <w:rsid w:val="009C3E56"/>
    <w:rsid w:val="009C43FF"/>
    <w:rsid w:val="009C44FC"/>
    <w:rsid w:val="009C4684"/>
    <w:rsid w:val="009C4724"/>
    <w:rsid w:val="009C47AC"/>
    <w:rsid w:val="009C485C"/>
    <w:rsid w:val="009C4ECB"/>
    <w:rsid w:val="009C507B"/>
    <w:rsid w:val="009C5347"/>
    <w:rsid w:val="009C58C4"/>
    <w:rsid w:val="009C59E1"/>
    <w:rsid w:val="009C600D"/>
    <w:rsid w:val="009C60CA"/>
    <w:rsid w:val="009C68A6"/>
    <w:rsid w:val="009C7007"/>
    <w:rsid w:val="009D03C9"/>
    <w:rsid w:val="009D058C"/>
    <w:rsid w:val="009D0B8F"/>
    <w:rsid w:val="009D0DB2"/>
    <w:rsid w:val="009D104F"/>
    <w:rsid w:val="009D119A"/>
    <w:rsid w:val="009D12DE"/>
    <w:rsid w:val="009D1EE0"/>
    <w:rsid w:val="009D2956"/>
    <w:rsid w:val="009D2976"/>
    <w:rsid w:val="009D2E00"/>
    <w:rsid w:val="009D2E17"/>
    <w:rsid w:val="009D2EE0"/>
    <w:rsid w:val="009D334D"/>
    <w:rsid w:val="009D3809"/>
    <w:rsid w:val="009D3930"/>
    <w:rsid w:val="009D3D88"/>
    <w:rsid w:val="009D3E26"/>
    <w:rsid w:val="009D3F37"/>
    <w:rsid w:val="009D3FB0"/>
    <w:rsid w:val="009D40FF"/>
    <w:rsid w:val="009D416E"/>
    <w:rsid w:val="009D447E"/>
    <w:rsid w:val="009D4535"/>
    <w:rsid w:val="009D4A11"/>
    <w:rsid w:val="009D4D2D"/>
    <w:rsid w:val="009D4D5A"/>
    <w:rsid w:val="009D4EB1"/>
    <w:rsid w:val="009D4F22"/>
    <w:rsid w:val="009D4F4C"/>
    <w:rsid w:val="009D502D"/>
    <w:rsid w:val="009D5803"/>
    <w:rsid w:val="009D59E8"/>
    <w:rsid w:val="009D5ABE"/>
    <w:rsid w:val="009D690D"/>
    <w:rsid w:val="009D6913"/>
    <w:rsid w:val="009D6AF6"/>
    <w:rsid w:val="009D775B"/>
    <w:rsid w:val="009D7C3E"/>
    <w:rsid w:val="009D7F86"/>
    <w:rsid w:val="009D7FF6"/>
    <w:rsid w:val="009E02AA"/>
    <w:rsid w:val="009E02FD"/>
    <w:rsid w:val="009E1122"/>
    <w:rsid w:val="009E1717"/>
    <w:rsid w:val="009E18ED"/>
    <w:rsid w:val="009E1D82"/>
    <w:rsid w:val="009E223F"/>
    <w:rsid w:val="009E2272"/>
    <w:rsid w:val="009E22A4"/>
    <w:rsid w:val="009E22D2"/>
    <w:rsid w:val="009E27CC"/>
    <w:rsid w:val="009E2850"/>
    <w:rsid w:val="009E3098"/>
    <w:rsid w:val="009E32B4"/>
    <w:rsid w:val="009E3554"/>
    <w:rsid w:val="009E386D"/>
    <w:rsid w:val="009E3DA3"/>
    <w:rsid w:val="009E3E39"/>
    <w:rsid w:val="009E4ABC"/>
    <w:rsid w:val="009E5FB4"/>
    <w:rsid w:val="009E66E6"/>
    <w:rsid w:val="009E6FDB"/>
    <w:rsid w:val="009E72C8"/>
    <w:rsid w:val="009F01A3"/>
    <w:rsid w:val="009F02D0"/>
    <w:rsid w:val="009F0802"/>
    <w:rsid w:val="009F0A00"/>
    <w:rsid w:val="009F0D39"/>
    <w:rsid w:val="009F0F82"/>
    <w:rsid w:val="009F0FB2"/>
    <w:rsid w:val="009F1093"/>
    <w:rsid w:val="009F1196"/>
    <w:rsid w:val="009F148C"/>
    <w:rsid w:val="009F164A"/>
    <w:rsid w:val="009F1A7B"/>
    <w:rsid w:val="009F26EE"/>
    <w:rsid w:val="009F2F88"/>
    <w:rsid w:val="009F3684"/>
    <w:rsid w:val="009F3B8D"/>
    <w:rsid w:val="009F4BD8"/>
    <w:rsid w:val="009F4C3D"/>
    <w:rsid w:val="009F4D46"/>
    <w:rsid w:val="009F4E6C"/>
    <w:rsid w:val="009F4F0A"/>
    <w:rsid w:val="009F4F75"/>
    <w:rsid w:val="009F510A"/>
    <w:rsid w:val="009F6597"/>
    <w:rsid w:val="009F68E0"/>
    <w:rsid w:val="009F718F"/>
    <w:rsid w:val="009F7569"/>
    <w:rsid w:val="009F77F1"/>
    <w:rsid w:val="009F79E9"/>
    <w:rsid w:val="009F7EA2"/>
    <w:rsid w:val="00A00956"/>
    <w:rsid w:val="00A00AAD"/>
    <w:rsid w:val="00A00B32"/>
    <w:rsid w:val="00A00D25"/>
    <w:rsid w:val="00A00DDB"/>
    <w:rsid w:val="00A0141A"/>
    <w:rsid w:val="00A01586"/>
    <w:rsid w:val="00A017E8"/>
    <w:rsid w:val="00A019FB"/>
    <w:rsid w:val="00A01AE1"/>
    <w:rsid w:val="00A01EF3"/>
    <w:rsid w:val="00A022A3"/>
    <w:rsid w:val="00A02450"/>
    <w:rsid w:val="00A02829"/>
    <w:rsid w:val="00A032BE"/>
    <w:rsid w:val="00A039C5"/>
    <w:rsid w:val="00A03CA1"/>
    <w:rsid w:val="00A03DA7"/>
    <w:rsid w:val="00A03E24"/>
    <w:rsid w:val="00A044F1"/>
    <w:rsid w:val="00A04781"/>
    <w:rsid w:val="00A04DEF"/>
    <w:rsid w:val="00A04E59"/>
    <w:rsid w:val="00A04F4C"/>
    <w:rsid w:val="00A0527D"/>
    <w:rsid w:val="00A0535D"/>
    <w:rsid w:val="00A05BDF"/>
    <w:rsid w:val="00A0710F"/>
    <w:rsid w:val="00A074B2"/>
    <w:rsid w:val="00A077AB"/>
    <w:rsid w:val="00A105ED"/>
    <w:rsid w:val="00A106BB"/>
    <w:rsid w:val="00A10874"/>
    <w:rsid w:val="00A1089E"/>
    <w:rsid w:val="00A10A9C"/>
    <w:rsid w:val="00A10C42"/>
    <w:rsid w:val="00A10DA4"/>
    <w:rsid w:val="00A10EA1"/>
    <w:rsid w:val="00A11384"/>
    <w:rsid w:val="00A1146B"/>
    <w:rsid w:val="00A11752"/>
    <w:rsid w:val="00A11B27"/>
    <w:rsid w:val="00A11DED"/>
    <w:rsid w:val="00A12251"/>
    <w:rsid w:val="00A12965"/>
    <w:rsid w:val="00A12A91"/>
    <w:rsid w:val="00A12ABD"/>
    <w:rsid w:val="00A12D3F"/>
    <w:rsid w:val="00A12F22"/>
    <w:rsid w:val="00A1332E"/>
    <w:rsid w:val="00A14ACE"/>
    <w:rsid w:val="00A14B4A"/>
    <w:rsid w:val="00A1560C"/>
    <w:rsid w:val="00A160E6"/>
    <w:rsid w:val="00A168BC"/>
    <w:rsid w:val="00A16D05"/>
    <w:rsid w:val="00A16E2C"/>
    <w:rsid w:val="00A17EA5"/>
    <w:rsid w:val="00A17F10"/>
    <w:rsid w:val="00A20734"/>
    <w:rsid w:val="00A20ADC"/>
    <w:rsid w:val="00A20E26"/>
    <w:rsid w:val="00A2111C"/>
    <w:rsid w:val="00A21361"/>
    <w:rsid w:val="00A214E7"/>
    <w:rsid w:val="00A21F78"/>
    <w:rsid w:val="00A2268A"/>
    <w:rsid w:val="00A22722"/>
    <w:rsid w:val="00A2366F"/>
    <w:rsid w:val="00A23B31"/>
    <w:rsid w:val="00A2409D"/>
    <w:rsid w:val="00A241B0"/>
    <w:rsid w:val="00A248F8"/>
    <w:rsid w:val="00A24990"/>
    <w:rsid w:val="00A2501E"/>
    <w:rsid w:val="00A2506D"/>
    <w:rsid w:val="00A25458"/>
    <w:rsid w:val="00A2583E"/>
    <w:rsid w:val="00A25878"/>
    <w:rsid w:val="00A25AF1"/>
    <w:rsid w:val="00A25FD1"/>
    <w:rsid w:val="00A264BD"/>
    <w:rsid w:val="00A26CCB"/>
    <w:rsid w:val="00A26ED1"/>
    <w:rsid w:val="00A27307"/>
    <w:rsid w:val="00A2786B"/>
    <w:rsid w:val="00A27A8D"/>
    <w:rsid w:val="00A301BA"/>
    <w:rsid w:val="00A301BD"/>
    <w:rsid w:val="00A30918"/>
    <w:rsid w:val="00A30FDD"/>
    <w:rsid w:val="00A3146C"/>
    <w:rsid w:val="00A31839"/>
    <w:rsid w:val="00A31B99"/>
    <w:rsid w:val="00A31FCD"/>
    <w:rsid w:val="00A32B92"/>
    <w:rsid w:val="00A32D60"/>
    <w:rsid w:val="00A32EB6"/>
    <w:rsid w:val="00A333BB"/>
    <w:rsid w:val="00A333C5"/>
    <w:rsid w:val="00A33961"/>
    <w:rsid w:val="00A33AB9"/>
    <w:rsid w:val="00A33B81"/>
    <w:rsid w:val="00A33DBD"/>
    <w:rsid w:val="00A344B3"/>
    <w:rsid w:val="00A35482"/>
    <w:rsid w:val="00A35692"/>
    <w:rsid w:val="00A35808"/>
    <w:rsid w:val="00A35836"/>
    <w:rsid w:val="00A35F1C"/>
    <w:rsid w:val="00A36088"/>
    <w:rsid w:val="00A36246"/>
    <w:rsid w:val="00A36902"/>
    <w:rsid w:val="00A36A90"/>
    <w:rsid w:val="00A36F1E"/>
    <w:rsid w:val="00A372BD"/>
    <w:rsid w:val="00A37910"/>
    <w:rsid w:val="00A37BE9"/>
    <w:rsid w:val="00A37C3B"/>
    <w:rsid w:val="00A400A4"/>
    <w:rsid w:val="00A403FB"/>
    <w:rsid w:val="00A40458"/>
    <w:rsid w:val="00A40A22"/>
    <w:rsid w:val="00A40BAF"/>
    <w:rsid w:val="00A412DD"/>
    <w:rsid w:val="00A41452"/>
    <w:rsid w:val="00A415C9"/>
    <w:rsid w:val="00A41C10"/>
    <w:rsid w:val="00A42FF4"/>
    <w:rsid w:val="00A43895"/>
    <w:rsid w:val="00A44090"/>
    <w:rsid w:val="00A44118"/>
    <w:rsid w:val="00A44189"/>
    <w:rsid w:val="00A44AB6"/>
    <w:rsid w:val="00A44DCC"/>
    <w:rsid w:val="00A44FEF"/>
    <w:rsid w:val="00A453E1"/>
    <w:rsid w:val="00A45512"/>
    <w:rsid w:val="00A45565"/>
    <w:rsid w:val="00A4586D"/>
    <w:rsid w:val="00A45C92"/>
    <w:rsid w:val="00A45D07"/>
    <w:rsid w:val="00A45DA7"/>
    <w:rsid w:val="00A45FFD"/>
    <w:rsid w:val="00A463AC"/>
    <w:rsid w:val="00A46691"/>
    <w:rsid w:val="00A46ABF"/>
    <w:rsid w:val="00A46E18"/>
    <w:rsid w:val="00A46FB4"/>
    <w:rsid w:val="00A471C5"/>
    <w:rsid w:val="00A47546"/>
    <w:rsid w:val="00A475F7"/>
    <w:rsid w:val="00A47745"/>
    <w:rsid w:val="00A477F5"/>
    <w:rsid w:val="00A47BBB"/>
    <w:rsid w:val="00A47E51"/>
    <w:rsid w:val="00A50145"/>
    <w:rsid w:val="00A505E2"/>
    <w:rsid w:val="00A50936"/>
    <w:rsid w:val="00A509F1"/>
    <w:rsid w:val="00A51424"/>
    <w:rsid w:val="00A51913"/>
    <w:rsid w:val="00A51CFD"/>
    <w:rsid w:val="00A51D29"/>
    <w:rsid w:val="00A525B3"/>
    <w:rsid w:val="00A52BFE"/>
    <w:rsid w:val="00A52EE8"/>
    <w:rsid w:val="00A53154"/>
    <w:rsid w:val="00A538F7"/>
    <w:rsid w:val="00A53E80"/>
    <w:rsid w:val="00A543EF"/>
    <w:rsid w:val="00A54617"/>
    <w:rsid w:val="00A54945"/>
    <w:rsid w:val="00A5497D"/>
    <w:rsid w:val="00A55940"/>
    <w:rsid w:val="00A55CB8"/>
    <w:rsid w:val="00A55F5D"/>
    <w:rsid w:val="00A56223"/>
    <w:rsid w:val="00A5623A"/>
    <w:rsid w:val="00A5626C"/>
    <w:rsid w:val="00A56F87"/>
    <w:rsid w:val="00A575B1"/>
    <w:rsid w:val="00A57821"/>
    <w:rsid w:val="00A578EC"/>
    <w:rsid w:val="00A60349"/>
    <w:rsid w:val="00A604CC"/>
    <w:rsid w:val="00A60539"/>
    <w:rsid w:val="00A60600"/>
    <w:rsid w:val="00A60613"/>
    <w:rsid w:val="00A60E17"/>
    <w:rsid w:val="00A60EBE"/>
    <w:rsid w:val="00A61180"/>
    <w:rsid w:val="00A617A0"/>
    <w:rsid w:val="00A61808"/>
    <w:rsid w:val="00A61BBA"/>
    <w:rsid w:val="00A6246E"/>
    <w:rsid w:val="00A62703"/>
    <w:rsid w:val="00A63B18"/>
    <w:rsid w:val="00A64134"/>
    <w:rsid w:val="00A644AD"/>
    <w:rsid w:val="00A647AF"/>
    <w:rsid w:val="00A64BFE"/>
    <w:rsid w:val="00A66677"/>
    <w:rsid w:val="00A66A99"/>
    <w:rsid w:val="00A66B31"/>
    <w:rsid w:val="00A67091"/>
    <w:rsid w:val="00A67159"/>
    <w:rsid w:val="00A70455"/>
    <w:rsid w:val="00A70769"/>
    <w:rsid w:val="00A70DC3"/>
    <w:rsid w:val="00A7121E"/>
    <w:rsid w:val="00A715DB"/>
    <w:rsid w:val="00A72A70"/>
    <w:rsid w:val="00A7373F"/>
    <w:rsid w:val="00A73E6F"/>
    <w:rsid w:val="00A7474A"/>
    <w:rsid w:val="00A74AF3"/>
    <w:rsid w:val="00A750DC"/>
    <w:rsid w:val="00A754DB"/>
    <w:rsid w:val="00A7569D"/>
    <w:rsid w:val="00A759D2"/>
    <w:rsid w:val="00A75F59"/>
    <w:rsid w:val="00A764F2"/>
    <w:rsid w:val="00A766B4"/>
    <w:rsid w:val="00A7682F"/>
    <w:rsid w:val="00A76EBF"/>
    <w:rsid w:val="00A77B94"/>
    <w:rsid w:val="00A80137"/>
    <w:rsid w:val="00A80CCC"/>
    <w:rsid w:val="00A8117D"/>
    <w:rsid w:val="00A81356"/>
    <w:rsid w:val="00A81A07"/>
    <w:rsid w:val="00A81E9F"/>
    <w:rsid w:val="00A82091"/>
    <w:rsid w:val="00A82243"/>
    <w:rsid w:val="00A82F19"/>
    <w:rsid w:val="00A82FF5"/>
    <w:rsid w:val="00A8347D"/>
    <w:rsid w:val="00A83649"/>
    <w:rsid w:val="00A83686"/>
    <w:rsid w:val="00A84332"/>
    <w:rsid w:val="00A8434F"/>
    <w:rsid w:val="00A8441F"/>
    <w:rsid w:val="00A84A4E"/>
    <w:rsid w:val="00A84E08"/>
    <w:rsid w:val="00A8550C"/>
    <w:rsid w:val="00A8551E"/>
    <w:rsid w:val="00A85577"/>
    <w:rsid w:val="00A85636"/>
    <w:rsid w:val="00A857E7"/>
    <w:rsid w:val="00A85B7B"/>
    <w:rsid w:val="00A8605D"/>
    <w:rsid w:val="00A861FA"/>
    <w:rsid w:val="00A8620E"/>
    <w:rsid w:val="00A863DE"/>
    <w:rsid w:val="00A8657D"/>
    <w:rsid w:val="00A8678F"/>
    <w:rsid w:val="00A86E96"/>
    <w:rsid w:val="00A86F67"/>
    <w:rsid w:val="00A86FA5"/>
    <w:rsid w:val="00A87318"/>
    <w:rsid w:val="00A87593"/>
    <w:rsid w:val="00A87E04"/>
    <w:rsid w:val="00A87EBC"/>
    <w:rsid w:val="00A90A03"/>
    <w:rsid w:val="00A90E97"/>
    <w:rsid w:val="00A9101E"/>
    <w:rsid w:val="00A916FD"/>
    <w:rsid w:val="00A9176B"/>
    <w:rsid w:val="00A91ED3"/>
    <w:rsid w:val="00A9264A"/>
    <w:rsid w:val="00A933EC"/>
    <w:rsid w:val="00A935FD"/>
    <w:rsid w:val="00A9374A"/>
    <w:rsid w:val="00A9426C"/>
    <w:rsid w:val="00A944FF"/>
    <w:rsid w:val="00A94E3F"/>
    <w:rsid w:val="00A9555E"/>
    <w:rsid w:val="00A96316"/>
    <w:rsid w:val="00A96436"/>
    <w:rsid w:val="00A96683"/>
    <w:rsid w:val="00A966C0"/>
    <w:rsid w:val="00A96927"/>
    <w:rsid w:val="00A96A3D"/>
    <w:rsid w:val="00A96ABC"/>
    <w:rsid w:val="00A96C60"/>
    <w:rsid w:val="00A971D8"/>
    <w:rsid w:val="00A97807"/>
    <w:rsid w:val="00A9788C"/>
    <w:rsid w:val="00A9792C"/>
    <w:rsid w:val="00AA016F"/>
    <w:rsid w:val="00AA0504"/>
    <w:rsid w:val="00AA0720"/>
    <w:rsid w:val="00AA0E0E"/>
    <w:rsid w:val="00AA1BED"/>
    <w:rsid w:val="00AA2A01"/>
    <w:rsid w:val="00AA2B90"/>
    <w:rsid w:val="00AA2EFC"/>
    <w:rsid w:val="00AA374F"/>
    <w:rsid w:val="00AA3AB3"/>
    <w:rsid w:val="00AA3FA2"/>
    <w:rsid w:val="00AA40D8"/>
    <w:rsid w:val="00AA41D5"/>
    <w:rsid w:val="00AA4E2A"/>
    <w:rsid w:val="00AA5124"/>
    <w:rsid w:val="00AA5A92"/>
    <w:rsid w:val="00AA5AB5"/>
    <w:rsid w:val="00AA5BA7"/>
    <w:rsid w:val="00AA5E4A"/>
    <w:rsid w:val="00AA5EBE"/>
    <w:rsid w:val="00AA6FF2"/>
    <w:rsid w:val="00AA75FC"/>
    <w:rsid w:val="00AA7D97"/>
    <w:rsid w:val="00AB0286"/>
    <w:rsid w:val="00AB04EA"/>
    <w:rsid w:val="00AB0ADA"/>
    <w:rsid w:val="00AB0B39"/>
    <w:rsid w:val="00AB1ACD"/>
    <w:rsid w:val="00AB1AF2"/>
    <w:rsid w:val="00AB1CB9"/>
    <w:rsid w:val="00AB2212"/>
    <w:rsid w:val="00AB22F5"/>
    <w:rsid w:val="00AB261B"/>
    <w:rsid w:val="00AB29F8"/>
    <w:rsid w:val="00AB3012"/>
    <w:rsid w:val="00AB317F"/>
    <w:rsid w:val="00AB32A9"/>
    <w:rsid w:val="00AB3708"/>
    <w:rsid w:val="00AB397E"/>
    <w:rsid w:val="00AB39F7"/>
    <w:rsid w:val="00AB3A38"/>
    <w:rsid w:val="00AB3F0F"/>
    <w:rsid w:val="00AB4164"/>
    <w:rsid w:val="00AB4337"/>
    <w:rsid w:val="00AB45FE"/>
    <w:rsid w:val="00AB4958"/>
    <w:rsid w:val="00AB5684"/>
    <w:rsid w:val="00AB575B"/>
    <w:rsid w:val="00AB5D81"/>
    <w:rsid w:val="00AB5FBC"/>
    <w:rsid w:val="00AB5FF1"/>
    <w:rsid w:val="00AB625F"/>
    <w:rsid w:val="00AB6735"/>
    <w:rsid w:val="00AB67E3"/>
    <w:rsid w:val="00AB6808"/>
    <w:rsid w:val="00AB6D81"/>
    <w:rsid w:val="00AB6F13"/>
    <w:rsid w:val="00AB6FB8"/>
    <w:rsid w:val="00AB7758"/>
    <w:rsid w:val="00AB7F2F"/>
    <w:rsid w:val="00AC0183"/>
    <w:rsid w:val="00AC03ED"/>
    <w:rsid w:val="00AC0418"/>
    <w:rsid w:val="00AC0744"/>
    <w:rsid w:val="00AC09AC"/>
    <w:rsid w:val="00AC0C4D"/>
    <w:rsid w:val="00AC17CE"/>
    <w:rsid w:val="00AC1EE5"/>
    <w:rsid w:val="00AC20A5"/>
    <w:rsid w:val="00AC2367"/>
    <w:rsid w:val="00AC2824"/>
    <w:rsid w:val="00AC2EAD"/>
    <w:rsid w:val="00AC3025"/>
    <w:rsid w:val="00AC3280"/>
    <w:rsid w:val="00AC331D"/>
    <w:rsid w:val="00AC345D"/>
    <w:rsid w:val="00AC3DF7"/>
    <w:rsid w:val="00AC3EB2"/>
    <w:rsid w:val="00AC453F"/>
    <w:rsid w:val="00AC4557"/>
    <w:rsid w:val="00AC4C66"/>
    <w:rsid w:val="00AC4EFF"/>
    <w:rsid w:val="00AC50A0"/>
    <w:rsid w:val="00AC51AC"/>
    <w:rsid w:val="00AC5CC3"/>
    <w:rsid w:val="00AC5CDE"/>
    <w:rsid w:val="00AC601F"/>
    <w:rsid w:val="00AC61E5"/>
    <w:rsid w:val="00AC6E63"/>
    <w:rsid w:val="00AC7BAE"/>
    <w:rsid w:val="00AC7BD7"/>
    <w:rsid w:val="00AC7CC8"/>
    <w:rsid w:val="00AC7D7D"/>
    <w:rsid w:val="00AD0035"/>
    <w:rsid w:val="00AD0193"/>
    <w:rsid w:val="00AD0595"/>
    <w:rsid w:val="00AD0B98"/>
    <w:rsid w:val="00AD0BCE"/>
    <w:rsid w:val="00AD0C2C"/>
    <w:rsid w:val="00AD0CDC"/>
    <w:rsid w:val="00AD10FF"/>
    <w:rsid w:val="00AD146A"/>
    <w:rsid w:val="00AD1540"/>
    <w:rsid w:val="00AD1F19"/>
    <w:rsid w:val="00AD22E1"/>
    <w:rsid w:val="00AD3019"/>
    <w:rsid w:val="00AD36A9"/>
    <w:rsid w:val="00AD3834"/>
    <w:rsid w:val="00AD3AAF"/>
    <w:rsid w:val="00AD3D34"/>
    <w:rsid w:val="00AD3DC8"/>
    <w:rsid w:val="00AD3F90"/>
    <w:rsid w:val="00AD412C"/>
    <w:rsid w:val="00AD46C2"/>
    <w:rsid w:val="00AD4917"/>
    <w:rsid w:val="00AD49A8"/>
    <w:rsid w:val="00AD4B53"/>
    <w:rsid w:val="00AD4BB3"/>
    <w:rsid w:val="00AD4CDB"/>
    <w:rsid w:val="00AD4D49"/>
    <w:rsid w:val="00AD4EFD"/>
    <w:rsid w:val="00AD4F2A"/>
    <w:rsid w:val="00AD5395"/>
    <w:rsid w:val="00AD5EC9"/>
    <w:rsid w:val="00AD5FDD"/>
    <w:rsid w:val="00AD6391"/>
    <w:rsid w:val="00AD6878"/>
    <w:rsid w:val="00AD6BC7"/>
    <w:rsid w:val="00AD73B3"/>
    <w:rsid w:val="00AD74D1"/>
    <w:rsid w:val="00AD774D"/>
    <w:rsid w:val="00AD7CF8"/>
    <w:rsid w:val="00AD7ED5"/>
    <w:rsid w:val="00AD7F4A"/>
    <w:rsid w:val="00AD7FDF"/>
    <w:rsid w:val="00AE0D79"/>
    <w:rsid w:val="00AE0F1A"/>
    <w:rsid w:val="00AE0F26"/>
    <w:rsid w:val="00AE0FB2"/>
    <w:rsid w:val="00AE128B"/>
    <w:rsid w:val="00AE17B7"/>
    <w:rsid w:val="00AE17D3"/>
    <w:rsid w:val="00AE19CD"/>
    <w:rsid w:val="00AE1CCF"/>
    <w:rsid w:val="00AE1D4A"/>
    <w:rsid w:val="00AE2485"/>
    <w:rsid w:val="00AE2661"/>
    <w:rsid w:val="00AE2869"/>
    <w:rsid w:val="00AE2907"/>
    <w:rsid w:val="00AE2D13"/>
    <w:rsid w:val="00AE2D5A"/>
    <w:rsid w:val="00AE31BA"/>
    <w:rsid w:val="00AE3671"/>
    <w:rsid w:val="00AE397F"/>
    <w:rsid w:val="00AE3C84"/>
    <w:rsid w:val="00AE448E"/>
    <w:rsid w:val="00AE4E40"/>
    <w:rsid w:val="00AE5AEC"/>
    <w:rsid w:val="00AE6172"/>
    <w:rsid w:val="00AE617B"/>
    <w:rsid w:val="00AE6354"/>
    <w:rsid w:val="00AE67F8"/>
    <w:rsid w:val="00AE6B91"/>
    <w:rsid w:val="00AE734A"/>
    <w:rsid w:val="00AF0551"/>
    <w:rsid w:val="00AF069E"/>
    <w:rsid w:val="00AF0928"/>
    <w:rsid w:val="00AF0AB3"/>
    <w:rsid w:val="00AF0CD8"/>
    <w:rsid w:val="00AF0D8A"/>
    <w:rsid w:val="00AF155F"/>
    <w:rsid w:val="00AF182D"/>
    <w:rsid w:val="00AF1B79"/>
    <w:rsid w:val="00AF1C3F"/>
    <w:rsid w:val="00AF1E4E"/>
    <w:rsid w:val="00AF2065"/>
    <w:rsid w:val="00AF2337"/>
    <w:rsid w:val="00AF2519"/>
    <w:rsid w:val="00AF28E8"/>
    <w:rsid w:val="00AF29B0"/>
    <w:rsid w:val="00AF2BA8"/>
    <w:rsid w:val="00AF3468"/>
    <w:rsid w:val="00AF3B3B"/>
    <w:rsid w:val="00AF3F20"/>
    <w:rsid w:val="00AF3FCE"/>
    <w:rsid w:val="00AF44DB"/>
    <w:rsid w:val="00AF4646"/>
    <w:rsid w:val="00AF4FD8"/>
    <w:rsid w:val="00AF5418"/>
    <w:rsid w:val="00AF551A"/>
    <w:rsid w:val="00AF59DD"/>
    <w:rsid w:val="00AF684E"/>
    <w:rsid w:val="00AF6C0B"/>
    <w:rsid w:val="00AF6FEB"/>
    <w:rsid w:val="00AF744D"/>
    <w:rsid w:val="00AF7857"/>
    <w:rsid w:val="00AF7C51"/>
    <w:rsid w:val="00AF7E99"/>
    <w:rsid w:val="00B001AD"/>
    <w:rsid w:val="00B01144"/>
    <w:rsid w:val="00B01418"/>
    <w:rsid w:val="00B01755"/>
    <w:rsid w:val="00B01912"/>
    <w:rsid w:val="00B01C44"/>
    <w:rsid w:val="00B01D3F"/>
    <w:rsid w:val="00B0211A"/>
    <w:rsid w:val="00B02827"/>
    <w:rsid w:val="00B02A09"/>
    <w:rsid w:val="00B02B0A"/>
    <w:rsid w:val="00B02D0E"/>
    <w:rsid w:val="00B02F3C"/>
    <w:rsid w:val="00B0316A"/>
    <w:rsid w:val="00B03230"/>
    <w:rsid w:val="00B03276"/>
    <w:rsid w:val="00B03833"/>
    <w:rsid w:val="00B03F73"/>
    <w:rsid w:val="00B050AE"/>
    <w:rsid w:val="00B05673"/>
    <w:rsid w:val="00B0579E"/>
    <w:rsid w:val="00B05BA7"/>
    <w:rsid w:val="00B05EBF"/>
    <w:rsid w:val="00B06099"/>
    <w:rsid w:val="00B06839"/>
    <w:rsid w:val="00B06964"/>
    <w:rsid w:val="00B06F07"/>
    <w:rsid w:val="00B07446"/>
    <w:rsid w:val="00B07CA0"/>
    <w:rsid w:val="00B10529"/>
    <w:rsid w:val="00B105E8"/>
    <w:rsid w:val="00B10E2D"/>
    <w:rsid w:val="00B112F9"/>
    <w:rsid w:val="00B11A02"/>
    <w:rsid w:val="00B11A87"/>
    <w:rsid w:val="00B11E69"/>
    <w:rsid w:val="00B120C9"/>
    <w:rsid w:val="00B1223D"/>
    <w:rsid w:val="00B12725"/>
    <w:rsid w:val="00B12B12"/>
    <w:rsid w:val="00B12C7E"/>
    <w:rsid w:val="00B12E75"/>
    <w:rsid w:val="00B12F1E"/>
    <w:rsid w:val="00B1415C"/>
    <w:rsid w:val="00B1468B"/>
    <w:rsid w:val="00B14717"/>
    <w:rsid w:val="00B14C84"/>
    <w:rsid w:val="00B14CE6"/>
    <w:rsid w:val="00B151B8"/>
    <w:rsid w:val="00B152D3"/>
    <w:rsid w:val="00B15520"/>
    <w:rsid w:val="00B15B4B"/>
    <w:rsid w:val="00B174EF"/>
    <w:rsid w:val="00B20020"/>
    <w:rsid w:val="00B200A6"/>
    <w:rsid w:val="00B20128"/>
    <w:rsid w:val="00B204D4"/>
    <w:rsid w:val="00B2073B"/>
    <w:rsid w:val="00B2090D"/>
    <w:rsid w:val="00B20AF3"/>
    <w:rsid w:val="00B20DAB"/>
    <w:rsid w:val="00B21C90"/>
    <w:rsid w:val="00B21CB5"/>
    <w:rsid w:val="00B21DE9"/>
    <w:rsid w:val="00B21E0A"/>
    <w:rsid w:val="00B21E25"/>
    <w:rsid w:val="00B2240C"/>
    <w:rsid w:val="00B22612"/>
    <w:rsid w:val="00B22CDB"/>
    <w:rsid w:val="00B22E02"/>
    <w:rsid w:val="00B22E97"/>
    <w:rsid w:val="00B233B7"/>
    <w:rsid w:val="00B23402"/>
    <w:rsid w:val="00B238E3"/>
    <w:rsid w:val="00B23B57"/>
    <w:rsid w:val="00B24492"/>
    <w:rsid w:val="00B248E8"/>
    <w:rsid w:val="00B24B83"/>
    <w:rsid w:val="00B24C32"/>
    <w:rsid w:val="00B252C2"/>
    <w:rsid w:val="00B253DB"/>
    <w:rsid w:val="00B25C8A"/>
    <w:rsid w:val="00B25D0C"/>
    <w:rsid w:val="00B25D33"/>
    <w:rsid w:val="00B26045"/>
    <w:rsid w:val="00B26189"/>
    <w:rsid w:val="00B2646F"/>
    <w:rsid w:val="00B26FEA"/>
    <w:rsid w:val="00B27234"/>
    <w:rsid w:val="00B2789C"/>
    <w:rsid w:val="00B27A0B"/>
    <w:rsid w:val="00B27E51"/>
    <w:rsid w:val="00B27F3A"/>
    <w:rsid w:val="00B3029C"/>
    <w:rsid w:val="00B30DF8"/>
    <w:rsid w:val="00B311E0"/>
    <w:rsid w:val="00B31602"/>
    <w:rsid w:val="00B31A22"/>
    <w:rsid w:val="00B31E14"/>
    <w:rsid w:val="00B321D5"/>
    <w:rsid w:val="00B32990"/>
    <w:rsid w:val="00B32F52"/>
    <w:rsid w:val="00B334FC"/>
    <w:rsid w:val="00B3401D"/>
    <w:rsid w:val="00B34350"/>
    <w:rsid w:val="00B34549"/>
    <w:rsid w:val="00B34651"/>
    <w:rsid w:val="00B34663"/>
    <w:rsid w:val="00B34B9B"/>
    <w:rsid w:val="00B34F44"/>
    <w:rsid w:val="00B35613"/>
    <w:rsid w:val="00B35818"/>
    <w:rsid w:val="00B3616B"/>
    <w:rsid w:val="00B3622D"/>
    <w:rsid w:val="00B362CB"/>
    <w:rsid w:val="00B36378"/>
    <w:rsid w:val="00B36AA8"/>
    <w:rsid w:val="00B36B7E"/>
    <w:rsid w:val="00B36FDF"/>
    <w:rsid w:val="00B37414"/>
    <w:rsid w:val="00B40192"/>
    <w:rsid w:val="00B401B5"/>
    <w:rsid w:val="00B40390"/>
    <w:rsid w:val="00B40421"/>
    <w:rsid w:val="00B40CB5"/>
    <w:rsid w:val="00B40D39"/>
    <w:rsid w:val="00B41511"/>
    <w:rsid w:val="00B4152A"/>
    <w:rsid w:val="00B41575"/>
    <w:rsid w:val="00B416D2"/>
    <w:rsid w:val="00B4194D"/>
    <w:rsid w:val="00B4242E"/>
    <w:rsid w:val="00B42434"/>
    <w:rsid w:val="00B42D84"/>
    <w:rsid w:val="00B430A4"/>
    <w:rsid w:val="00B432C4"/>
    <w:rsid w:val="00B433D0"/>
    <w:rsid w:val="00B43649"/>
    <w:rsid w:val="00B43857"/>
    <w:rsid w:val="00B43D3A"/>
    <w:rsid w:val="00B43E15"/>
    <w:rsid w:val="00B442E9"/>
    <w:rsid w:val="00B44794"/>
    <w:rsid w:val="00B44D97"/>
    <w:rsid w:val="00B45311"/>
    <w:rsid w:val="00B454E7"/>
    <w:rsid w:val="00B459E1"/>
    <w:rsid w:val="00B45D54"/>
    <w:rsid w:val="00B45E08"/>
    <w:rsid w:val="00B45F10"/>
    <w:rsid w:val="00B4636B"/>
    <w:rsid w:val="00B4658C"/>
    <w:rsid w:val="00B471BB"/>
    <w:rsid w:val="00B473BD"/>
    <w:rsid w:val="00B477EE"/>
    <w:rsid w:val="00B47821"/>
    <w:rsid w:val="00B5038A"/>
    <w:rsid w:val="00B504AF"/>
    <w:rsid w:val="00B509AE"/>
    <w:rsid w:val="00B51415"/>
    <w:rsid w:val="00B51458"/>
    <w:rsid w:val="00B514C9"/>
    <w:rsid w:val="00B519E7"/>
    <w:rsid w:val="00B52EE2"/>
    <w:rsid w:val="00B5314D"/>
    <w:rsid w:val="00B535FE"/>
    <w:rsid w:val="00B537CE"/>
    <w:rsid w:val="00B53EC2"/>
    <w:rsid w:val="00B53FDF"/>
    <w:rsid w:val="00B540CA"/>
    <w:rsid w:val="00B54157"/>
    <w:rsid w:val="00B54DE9"/>
    <w:rsid w:val="00B5508A"/>
    <w:rsid w:val="00B550CD"/>
    <w:rsid w:val="00B55114"/>
    <w:rsid w:val="00B55649"/>
    <w:rsid w:val="00B560DC"/>
    <w:rsid w:val="00B561E0"/>
    <w:rsid w:val="00B563C6"/>
    <w:rsid w:val="00B567A1"/>
    <w:rsid w:val="00B56887"/>
    <w:rsid w:val="00B576C8"/>
    <w:rsid w:val="00B60274"/>
    <w:rsid w:val="00B6027A"/>
    <w:rsid w:val="00B60297"/>
    <w:rsid w:val="00B603BC"/>
    <w:rsid w:val="00B61857"/>
    <w:rsid w:val="00B61C6F"/>
    <w:rsid w:val="00B61CE7"/>
    <w:rsid w:val="00B61D24"/>
    <w:rsid w:val="00B61D6D"/>
    <w:rsid w:val="00B62DF8"/>
    <w:rsid w:val="00B62EBB"/>
    <w:rsid w:val="00B632F8"/>
    <w:rsid w:val="00B64398"/>
    <w:rsid w:val="00B64B55"/>
    <w:rsid w:val="00B64B77"/>
    <w:rsid w:val="00B65611"/>
    <w:rsid w:val="00B65A63"/>
    <w:rsid w:val="00B65FB3"/>
    <w:rsid w:val="00B663C6"/>
    <w:rsid w:val="00B66758"/>
    <w:rsid w:val="00B66894"/>
    <w:rsid w:val="00B66E29"/>
    <w:rsid w:val="00B670F7"/>
    <w:rsid w:val="00B67216"/>
    <w:rsid w:val="00B673E9"/>
    <w:rsid w:val="00B67576"/>
    <w:rsid w:val="00B675ED"/>
    <w:rsid w:val="00B676DF"/>
    <w:rsid w:val="00B67CE3"/>
    <w:rsid w:val="00B67FC6"/>
    <w:rsid w:val="00B67FCB"/>
    <w:rsid w:val="00B7076E"/>
    <w:rsid w:val="00B709F4"/>
    <w:rsid w:val="00B70CD0"/>
    <w:rsid w:val="00B7142F"/>
    <w:rsid w:val="00B71666"/>
    <w:rsid w:val="00B71945"/>
    <w:rsid w:val="00B719AD"/>
    <w:rsid w:val="00B7203A"/>
    <w:rsid w:val="00B72EF6"/>
    <w:rsid w:val="00B7300B"/>
    <w:rsid w:val="00B73535"/>
    <w:rsid w:val="00B737E2"/>
    <w:rsid w:val="00B73BE3"/>
    <w:rsid w:val="00B7441E"/>
    <w:rsid w:val="00B744FD"/>
    <w:rsid w:val="00B74A01"/>
    <w:rsid w:val="00B759E3"/>
    <w:rsid w:val="00B75A29"/>
    <w:rsid w:val="00B75E0D"/>
    <w:rsid w:val="00B764E5"/>
    <w:rsid w:val="00B768A0"/>
    <w:rsid w:val="00B76F62"/>
    <w:rsid w:val="00B77107"/>
    <w:rsid w:val="00B7759F"/>
    <w:rsid w:val="00B775B1"/>
    <w:rsid w:val="00B778B0"/>
    <w:rsid w:val="00B80062"/>
    <w:rsid w:val="00B81246"/>
    <w:rsid w:val="00B81366"/>
    <w:rsid w:val="00B815A1"/>
    <w:rsid w:val="00B815D0"/>
    <w:rsid w:val="00B818A0"/>
    <w:rsid w:val="00B81AD3"/>
    <w:rsid w:val="00B81B47"/>
    <w:rsid w:val="00B81B4B"/>
    <w:rsid w:val="00B81CBE"/>
    <w:rsid w:val="00B81D9D"/>
    <w:rsid w:val="00B8220E"/>
    <w:rsid w:val="00B82AA0"/>
    <w:rsid w:val="00B83279"/>
    <w:rsid w:val="00B83A90"/>
    <w:rsid w:val="00B83CBB"/>
    <w:rsid w:val="00B84372"/>
    <w:rsid w:val="00B846E1"/>
    <w:rsid w:val="00B84A9B"/>
    <w:rsid w:val="00B84B99"/>
    <w:rsid w:val="00B84E45"/>
    <w:rsid w:val="00B858D7"/>
    <w:rsid w:val="00B85AFC"/>
    <w:rsid w:val="00B85EAD"/>
    <w:rsid w:val="00B86570"/>
    <w:rsid w:val="00B871AD"/>
    <w:rsid w:val="00B87C91"/>
    <w:rsid w:val="00B87CC0"/>
    <w:rsid w:val="00B87DAF"/>
    <w:rsid w:val="00B904C3"/>
    <w:rsid w:val="00B905D9"/>
    <w:rsid w:val="00B90F96"/>
    <w:rsid w:val="00B917C5"/>
    <w:rsid w:val="00B91AC1"/>
    <w:rsid w:val="00B91B1C"/>
    <w:rsid w:val="00B928FC"/>
    <w:rsid w:val="00B9402F"/>
    <w:rsid w:val="00B942F6"/>
    <w:rsid w:val="00B94E50"/>
    <w:rsid w:val="00B953AE"/>
    <w:rsid w:val="00B953FC"/>
    <w:rsid w:val="00B9569C"/>
    <w:rsid w:val="00B956EA"/>
    <w:rsid w:val="00B95BF0"/>
    <w:rsid w:val="00B96129"/>
    <w:rsid w:val="00B96218"/>
    <w:rsid w:val="00B962E9"/>
    <w:rsid w:val="00B963CF"/>
    <w:rsid w:val="00B964FA"/>
    <w:rsid w:val="00B96A60"/>
    <w:rsid w:val="00B96C6D"/>
    <w:rsid w:val="00B970FD"/>
    <w:rsid w:val="00B971FC"/>
    <w:rsid w:val="00B97533"/>
    <w:rsid w:val="00B97914"/>
    <w:rsid w:val="00B97F18"/>
    <w:rsid w:val="00B97F6F"/>
    <w:rsid w:val="00BA0138"/>
    <w:rsid w:val="00BA0947"/>
    <w:rsid w:val="00BA0F7A"/>
    <w:rsid w:val="00BA179A"/>
    <w:rsid w:val="00BA18CC"/>
    <w:rsid w:val="00BA1C7B"/>
    <w:rsid w:val="00BA1D35"/>
    <w:rsid w:val="00BA1D83"/>
    <w:rsid w:val="00BA1DD7"/>
    <w:rsid w:val="00BA1EBA"/>
    <w:rsid w:val="00BA27F2"/>
    <w:rsid w:val="00BA2C0C"/>
    <w:rsid w:val="00BA2DA9"/>
    <w:rsid w:val="00BA304A"/>
    <w:rsid w:val="00BA30AC"/>
    <w:rsid w:val="00BA345F"/>
    <w:rsid w:val="00BA3B6B"/>
    <w:rsid w:val="00BA3CC6"/>
    <w:rsid w:val="00BA46DD"/>
    <w:rsid w:val="00BA4D8C"/>
    <w:rsid w:val="00BA5A3F"/>
    <w:rsid w:val="00BA6409"/>
    <w:rsid w:val="00BA6B80"/>
    <w:rsid w:val="00BA6C2D"/>
    <w:rsid w:val="00BA6DED"/>
    <w:rsid w:val="00BA760D"/>
    <w:rsid w:val="00BA79DC"/>
    <w:rsid w:val="00BA7BF1"/>
    <w:rsid w:val="00BA7FEB"/>
    <w:rsid w:val="00BB0088"/>
    <w:rsid w:val="00BB0221"/>
    <w:rsid w:val="00BB092C"/>
    <w:rsid w:val="00BB0C97"/>
    <w:rsid w:val="00BB0D5D"/>
    <w:rsid w:val="00BB0DCC"/>
    <w:rsid w:val="00BB0DE1"/>
    <w:rsid w:val="00BB0E81"/>
    <w:rsid w:val="00BB12D0"/>
    <w:rsid w:val="00BB1712"/>
    <w:rsid w:val="00BB1D5E"/>
    <w:rsid w:val="00BB1E0C"/>
    <w:rsid w:val="00BB1FD0"/>
    <w:rsid w:val="00BB2022"/>
    <w:rsid w:val="00BB26D7"/>
    <w:rsid w:val="00BB2DE2"/>
    <w:rsid w:val="00BB3221"/>
    <w:rsid w:val="00BB33AC"/>
    <w:rsid w:val="00BB481A"/>
    <w:rsid w:val="00BB48EE"/>
    <w:rsid w:val="00BB4C7D"/>
    <w:rsid w:val="00BB4E31"/>
    <w:rsid w:val="00BB51AC"/>
    <w:rsid w:val="00BB51BD"/>
    <w:rsid w:val="00BB5256"/>
    <w:rsid w:val="00BB5510"/>
    <w:rsid w:val="00BB57D4"/>
    <w:rsid w:val="00BB6AE7"/>
    <w:rsid w:val="00BB6C68"/>
    <w:rsid w:val="00BB6DB1"/>
    <w:rsid w:val="00BB6E41"/>
    <w:rsid w:val="00BB7409"/>
    <w:rsid w:val="00BB7B78"/>
    <w:rsid w:val="00BB7ECA"/>
    <w:rsid w:val="00BC01D2"/>
    <w:rsid w:val="00BC075D"/>
    <w:rsid w:val="00BC0DEA"/>
    <w:rsid w:val="00BC16B1"/>
    <w:rsid w:val="00BC2296"/>
    <w:rsid w:val="00BC2443"/>
    <w:rsid w:val="00BC2518"/>
    <w:rsid w:val="00BC2B04"/>
    <w:rsid w:val="00BC2EE3"/>
    <w:rsid w:val="00BC31FD"/>
    <w:rsid w:val="00BC37EF"/>
    <w:rsid w:val="00BC3A93"/>
    <w:rsid w:val="00BC43A0"/>
    <w:rsid w:val="00BC43F1"/>
    <w:rsid w:val="00BC44C7"/>
    <w:rsid w:val="00BC4620"/>
    <w:rsid w:val="00BC4D23"/>
    <w:rsid w:val="00BC4D7B"/>
    <w:rsid w:val="00BC5B86"/>
    <w:rsid w:val="00BC60A4"/>
    <w:rsid w:val="00BC6264"/>
    <w:rsid w:val="00BC7425"/>
    <w:rsid w:val="00BC743A"/>
    <w:rsid w:val="00BD0092"/>
    <w:rsid w:val="00BD09E5"/>
    <w:rsid w:val="00BD0D91"/>
    <w:rsid w:val="00BD1381"/>
    <w:rsid w:val="00BD1DF4"/>
    <w:rsid w:val="00BD1DFA"/>
    <w:rsid w:val="00BD2114"/>
    <w:rsid w:val="00BD2365"/>
    <w:rsid w:val="00BD25FF"/>
    <w:rsid w:val="00BD277E"/>
    <w:rsid w:val="00BD28D9"/>
    <w:rsid w:val="00BD2A78"/>
    <w:rsid w:val="00BD405D"/>
    <w:rsid w:val="00BD4175"/>
    <w:rsid w:val="00BD418A"/>
    <w:rsid w:val="00BD44CB"/>
    <w:rsid w:val="00BD546A"/>
    <w:rsid w:val="00BD5500"/>
    <w:rsid w:val="00BD557D"/>
    <w:rsid w:val="00BD5A80"/>
    <w:rsid w:val="00BD5DEA"/>
    <w:rsid w:val="00BD6751"/>
    <w:rsid w:val="00BD67E2"/>
    <w:rsid w:val="00BD6899"/>
    <w:rsid w:val="00BD6F15"/>
    <w:rsid w:val="00BD731A"/>
    <w:rsid w:val="00BD7923"/>
    <w:rsid w:val="00BD79E9"/>
    <w:rsid w:val="00BD7AE8"/>
    <w:rsid w:val="00BD7D8B"/>
    <w:rsid w:val="00BD7E72"/>
    <w:rsid w:val="00BE012F"/>
    <w:rsid w:val="00BE02FA"/>
    <w:rsid w:val="00BE0386"/>
    <w:rsid w:val="00BE0909"/>
    <w:rsid w:val="00BE0E12"/>
    <w:rsid w:val="00BE0F34"/>
    <w:rsid w:val="00BE1ABE"/>
    <w:rsid w:val="00BE1BBA"/>
    <w:rsid w:val="00BE24B0"/>
    <w:rsid w:val="00BE2F18"/>
    <w:rsid w:val="00BE3BD8"/>
    <w:rsid w:val="00BE3E60"/>
    <w:rsid w:val="00BE3E74"/>
    <w:rsid w:val="00BE3FD9"/>
    <w:rsid w:val="00BE5887"/>
    <w:rsid w:val="00BE5D31"/>
    <w:rsid w:val="00BE604B"/>
    <w:rsid w:val="00BE6784"/>
    <w:rsid w:val="00BE67A7"/>
    <w:rsid w:val="00BE69FE"/>
    <w:rsid w:val="00BE6C1D"/>
    <w:rsid w:val="00BE7D92"/>
    <w:rsid w:val="00BF067F"/>
    <w:rsid w:val="00BF0DE0"/>
    <w:rsid w:val="00BF0F93"/>
    <w:rsid w:val="00BF1542"/>
    <w:rsid w:val="00BF20DA"/>
    <w:rsid w:val="00BF2255"/>
    <w:rsid w:val="00BF22C6"/>
    <w:rsid w:val="00BF23E5"/>
    <w:rsid w:val="00BF23FA"/>
    <w:rsid w:val="00BF2474"/>
    <w:rsid w:val="00BF2ACE"/>
    <w:rsid w:val="00BF2D14"/>
    <w:rsid w:val="00BF2D72"/>
    <w:rsid w:val="00BF2F93"/>
    <w:rsid w:val="00BF38DA"/>
    <w:rsid w:val="00BF3AE8"/>
    <w:rsid w:val="00BF3D4D"/>
    <w:rsid w:val="00BF3D5D"/>
    <w:rsid w:val="00BF3DAC"/>
    <w:rsid w:val="00BF4267"/>
    <w:rsid w:val="00BF4A69"/>
    <w:rsid w:val="00BF4C5C"/>
    <w:rsid w:val="00BF4EF7"/>
    <w:rsid w:val="00BF59F0"/>
    <w:rsid w:val="00BF62A4"/>
    <w:rsid w:val="00BF682B"/>
    <w:rsid w:val="00BF6CFC"/>
    <w:rsid w:val="00BF7039"/>
    <w:rsid w:val="00BF7BD9"/>
    <w:rsid w:val="00C00358"/>
    <w:rsid w:val="00C0077F"/>
    <w:rsid w:val="00C00C1F"/>
    <w:rsid w:val="00C01004"/>
    <w:rsid w:val="00C01BF0"/>
    <w:rsid w:val="00C01EB8"/>
    <w:rsid w:val="00C02814"/>
    <w:rsid w:val="00C02AD3"/>
    <w:rsid w:val="00C02FCD"/>
    <w:rsid w:val="00C03277"/>
    <w:rsid w:val="00C032C3"/>
    <w:rsid w:val="00C05AE6"/>
    <w:rsid w:val="00C05B1A"/>
    <w:rsid w:val="00C06310"/>
    <w:rsid w:val="00C064BF"/>
    <w:rsid w:val="00C069C4"/>
    <w:rsid w:val="00C07286"/>
    <w:rsid w:val="00C07927"/>
    <w:rsid w:val="00C101BF"/>
    <w:rsid w:val="00C10350"/>
    <w:rsid w:val="00C10587"/>
    <w:rsid w:val="00C10851"/>
    <w:rsid w:val="00C10A6D"/>
    <w:rsid w:val="00C10C8C"/>
    <w:rsid w:val="00C10DE7"/>
    <w:rsid w:val="00C11E70"/>
    <w:rsid w:val="00C1206C"/>
    <w:rsid w:val="00C12415"/>
    <w:rsid w:val="00C124C9"/>
    <w:rsid w:val="00C1389D"/>
    <w:rsid w:val="00C13A42"/>
    <w:rsid w:val="00C13E56"/>
    <w:rsid w:val="00C14166"/>
    <w:rsid w:val="00C14421"/>
    <w:rsid w:val="00C145E2"/>
    <w:rsid w:val="00C15125"/>
    <w:rsid w:val="00C1524D"/>
    <w:rsid w:val="00C15549"/>
    <w:rsid w:val="00C155C7"/>
    <w:rsid w:val="00C15617"/>
    <w:rsid w:val="00C15653"/>
    <w:rsid w:val="00C15661"/>
    <w:rsid w:val="00C15712"/>
    <w:rsid w:val="00C15791"/>
    <w:rsid w:val="00C15912"/>
    <w:rsid w:val="00C159CD"/>
    <w:rsid w:val="00C161B3"/>
    <w:rsid w:val="00C163F7"/>
    <w:rsid w:val="00C165AE"/>
    <w:rsid w:val="00C16771"/>
    <w:rsid w:val="00C1682B"/>
    <w:rsid w:val="00C169FC"/>
    <w:rsid w:val="00C16C05"/>
    <w:rsid w:val="00C16E32"/>
    <w:rsid w:val="00C170C2"/>
    <w:rsid w:val="00C174B1"/>
    <w:rsid w:val="00C17976"/>
    <w:rsid w:val="00C17A64"/>
    <w:rsid w:val="00C17AA4"/>
    <w:rsid w:val="00C17E90"/>
    <w:rsid w:val="00C17FB6"/>
    <w:rsid w:val="00C20D47"/>
    <w:rsid w:val="00C21CF1"/>
    <w:rsid w:val="00C22E97"/>
    <w:rsid w:val="00C232F7"/>
    <w:rsid w:val="00C23426"/>
    <w:rsid w:val="00C23EE6"/>
    <w:rsid w:val="00C23F88"/>
    <w:rsid w:val="00C24268"/>
    <w:rsid w:val="00C243C3"/>
    <w:rsid w:val="00C24653"/>
    <w:rsid w:val="00C24FE2"/>
    <w:rsid w:val="00C252C4"/>
    <w:rsid w:val="00C258C3"/>
    <w:rsid w:val="00C25F13"/>
    <w:rsid w:val="00C262F7"/>
    <w:rsid w:val="00C26343"/>
    <w:rsid w:val="00C264A4"/>
    <w:rsid w:val="00C26D0D"/>
    <w:rsid w:val="00C26DE0"/>
    <w:rsid w:val="00C27528"/>
    <w:rsid w:val="00C275AF"/>
    <w:rsid w:val="00C27787"/>
    <w:rsid w:val="00C27CCB"/>
    <w:rsid w:val="00C306C8"/>
    <w:rsid w:val="00C306FB"/>
    <w:rsid w:val="00C30A84"/>
    <w:rsid w:val="00C30F33"/>
    <w:rsid w:val="00C31A13"/>
    <w:rsid w:val="00C31EFC"/>
    <w:rsid w:val="00C32D8F"/>
    <w:rsid w:val="00C32E92"/>
    <w:rsid w:val="00C32F00"/>
    <w:rsid w:val="00C32F4B"/>
    <w:rsid w:val="00C33282"/>
    <w:rsid w:val="00C33A86"/>
    <w:rsid w:val="00C34364"/>
    <w:rsid w:val="00C355C5"/>
    <w:rsid w:val="00C359BD"/>
    <w:rsid w:val="00C35BFB"/>
    <w:rsid w:val="00C361E9"/>
    <w:rsid w:val="00C366D9"/>
    <w:rsid w:val="00C366FF"/>
    <w:rsid w:val="00C36719"/>
    <w:rsid w:val="00C36D52"/>
    <w:rsid w:val="00C36DF5"/>
    <w:rsid w:val="00C36FA2"/>
    <w:rsid w:val="00C374E2"/>
    <w:rsid w:val="00C37658"/>
    <w:rsid w:val="00C37846"/>
    <w:rsid w:val="00C3787D"/>
    <w:rsid w:val="00C37B7C"/>
    <w:rsid w:val="00C37D7B"/>
    <w:rsid w:val="00C40212"/>
    <w:rsid w:val="00C40F69"/>
    <w:rsid w:val="00C4151B"/>
    <w:rsid w:val="00C41AF1"/>
    <w:rsid w:val="00C41C3A"/>
    <w:rsid w:val="00C41C54"/>
    <w:rsid w:val="00C41C84"/>
    <w:rsid w:val="00C41CBA"/>
    <w:rsid w:val="00C41DFF"/>
    <w:rsid w:val="00C41E2B"/>
    <w:rsid w:val="00C4269C"/>
    <w:rsid w:val="00C4281C"/>
    <w:rsid w:val="00C428DD"/>
    <w:rsid w:val="00C43C13"/>
    <w:rsid w:val="00C43CB5"/>
    <w:rsid w:val="00C43E29"/>
    <w:rsid w:val="00C43E34"/>
    <w:rsid w:val="00C4409C"/>
    <w:rsid w:val="00C44118"/>
    <w:rsid w:val="00C44AA9"/>
    <w:rsid w:val="00C44D8E"/>
    <w:rsid w:val="00C44F20"/>
    <w:rsid w:val="00C452C3"/>
    <w:rsid w:val="00C45549"/>
    <w:rsid w:val="00C45BF9"/>
    <w:rsid w:val="00C45D88"/>
    <w:rsid w:val="00C46081"/>
    <w:rsid w:val="00C4612C"/>
    <w:rsid w:val="00C46308"/>
    <w:rsid w:val="00C4675D"/>
    <w:rsid w:val="00C471F6"/>
    <w:rsid w:val="00C4758E"/>
    <w:rsid w:val="00C477D4"/>
    <w:rsid w:val="00C479FD"/>
    <w:rsid w:val="00C503AB"/>
    <w:rsid w:val="00C5049D"/>
    <w:rsid w:val="00C50670"/>
    <w:rsid w:val="00C50932"/>
    <w:rsid w:val="00C50F99"/>
    <w:rsid w:val="00C51BB9"/>
    <w:rsid w:val="00C51D89"/>
    <w:rsid w:val="00C51F10"/>
    <w:rsid w:val="00C52055"/>
    <w:rsid w:val="00C52745"/>
    <w:rsid w:val="00C52868"/>
    <w:rsid w:val="00C5397D"/>
    <w:rsid w:val="00C53B6A"/>
    <w:rsid w:val="00C53CFA"/>
    <w:rsid w:val="00C5401E"/>
    <w:rsid w:val="00C5431F"/>
    <w:rsid w:val="00C5470F"/>
    <w:rsid w:val="00C549DF"/>
    <w:rsid w:val="00C54BB4"/>
    <w:rsid w:val="00C54F69"/>
    <w:rsid w:val="00C5503B"/>
    <w:rsid w:val="00C550C8"/>
    <w:rsid w:val="00C5568E"/>
    <w:rsid w:val="00C56B94"/>
    <w:rsid w:val="00C56CC4"/>
    <w:rsid w:val="00C57529"/>
    <w:rsid w:val="00C575A8"/>
    <w:rsid w:val="00C57644"/>
    <w:rsid w:val="00C57681"/>
    <w:rsid w:val="00C57819"/>
    <w:rsid w:val="00C57829"/>
    <w:rsid w:val="00C57A64"/>
    <w:rsid w:val="00C6047E"/>
    <w:rsid w:val="00C61180"/>
    <w:rsid w:val="00C61253"/>
    <w:rsid w:val="00C61A87"/>
    <w:rsid w:val="00C6226B"/>
    <w:rsid w:val="00C624D8"/>
    <w:rsid w:val="00C62621"/>
    <w:rsid w:val="00C62BC7"/>
    <w:rsid w:val="00C633B2"/>
    <w:rsid w:val="00C637F1"/>
    <w:rsid w:val="00C64735"/>
    <w:rsid w:val="00C6504C"/>
    <w:rsid w:val="00C65115"/>
    <w:rsid w:val="00C653BA"/>
    <w:rsid w:val="00C655E7"/>
    <w:rsid w:val="00C65735"/>
    <w:rsid w:val="00C658F2"/>
    <w:rsid w:val="00C65950"/>
    <w:rsid w:val="00C65B6D"/>
    <w:rsid w:val="00C65DC2"/>
    <w:rsid w:val="00C66048"/>
    <w:rsid w:val="00C661AB"/>
    <w:rsid w:val="00C661DC"/>
    <w:rsid w:val="00C6650D"/>
    <w:rsid w:val="00C665E1"/>
    <w:rsid w:val="00C66A92"/>
    <w:rsid w:val="00C66D74"/>
    <w:rsid w:val="00C678A9"/>
    <w:rsid w:val="00C67AA2"/>
    <w:rsid w:val="00C704E1"/>
    <w:rsid w:val="00C70716"/>
    <w:rsid w:val="00C70CA1"/>
    <w:rsid w:val="00C70D97"/>
    <w:rsid w:val="00C715D4"/>
    <w:rsid w:val="00C7168B"/>
    <w:rsid w:val="00C7200C"/>
    <w:rsid w:val="00C72B7A"/>
    <w:rsid w:val="00C72C92"/>
    <w:rsid w:val="00C72EAB"/>
    <w:rsid w:val="00C730B9"/>
    <w:rsid w:val="00C7338C"/>
    <w:rsid w:val="00C73390"/>
    <w:rsid w:val="00C73C54"/>
    <w:rsid w:val="00C73D58"/>
    <w:rsid w:val="00C73F4A"/>
    <w:rsid w:val="00C74002"/>
    <w:rsid w:val="00C74050"/>
    <w:rsid w:val="00C745E5"/>
    <w:rsid w:val="00C74BC3"/>
    <w:rsid w:val="00C74DA0"/>
    <w:rsid w:val="00C75781"/>
    <w:rsid w:val="00C75A4E"/>
    <w:rsid w:val="00C76A20"/>
    <w:rsid w:val="00C76C65"/>
    <w:rsid w:val="00C77432"/>
    <w:rsid w:val="00C77BD6"/>
    <w:rsid w:val="00C80782"/>
    <w:rsid w:val="00C808E6"/>
    <w:rsid w:val="00C80F25"/>
    <w:rsid w:val="00C80FBB"/>
    <w:rsid w:val="00C81CAD"/>
    <w:rsid w:val="00C81F33"/>
    <w:rsid w:val="00C8207D"/>
    <w:rsid w:val="00C825C3"/>
    <w:rsid w:val="00C8277A"/>
    <w:rsid w:val="00C82AE6"/>
    <w:rsid w:val="00C8329E"/>
    <w:rsid w:val="00C833A7"/>
    <w:rsid w:val="00C835AC"/>
    <w:rsid w:val="00C83DC7"/>
    <w:rsid w:val="00C84096"/>
    <w:rsid w:val="00C840FE"/>
    <w:rsid w:val="00C85259"/>
    <w:rsid w:val="00C853B6"/>
    <w:rsid w:val="00C85603"/>
    <w:rsid w:val="00C8567B"/>
    <w:rsid w:val="00C8599F"/>
    <w:rsid w:val="00C860BF"/>
    <w:rsid w:val="00C86BFF"/>
    <w:rsid w:val="00C86C3A"/>
    <w:rsid w:val="00C8702C"/>
    <w:rsid w:val="00C87374"/>
    <w:rsid w:val="00C87815"/>
    <w:rsid w:val="00C87AB2"/>
    <w:rsid w:val="00C87AEB"/>
    <w:rsid w:val="00C9019D"/>
    <w:rsid w:val="00C9044D"/>
    <w:rsid w:val="00C90482"/>
    <w:rsid w:val="00C904C5"/>
    <w:rsid w:val="00C907E2"/>
    <w:rsid w:val="00C90937"/>
    <w:rsid w:val="00C90ECB"/>
    <w:rsid w:val="00C915E2"/>
    <w:rsid w:val="00C91A9D"/>
    <w:rsid w:val="00C91ACF"/>
    <w:rsid w:val="00C91C6D"/>
    <w:rsid w:val="00C91CBA"/>
    <w:rsid w:val="00C91ED9"/>
    <w:rsid w:val="00C91F26"/>
    <w:rsid w:val="00C9291F"/>
    <w:rsid w:val="00C92B27"/>
    <w:rsid w:val="00C92B73"/>
    <w:rsid w:val="00C93100"/>
    <w:rsid w:val="00C93348"/>
    <w:rsid w:val="00C93748"/>
    <w:rsid w:val="00C93C74"/>
    <w:rsid w:val="00C93CE9"/>
    <w:rsid w:val="00C93E43"/>
    <w:rsid w:val="00C93E68"/>
    <w:rsid w:val="00C9422A"/>
    <w:rsid w:val="00C9437F"/>
    <w:rsid w:val="00C94792"/>
    <w:rsid w:val="00C94BD5"/>
    <w:rsid w:val="00C94F10"/>
    <w:rsid w:val="00C9519B"/>
    <w:rsid w:val="00C95253"/>
    <w:rsid w:val="00C952D4"/>
    <w:rsid w:val="00C95AE8"/>
    <w:rsid w:val="00C95E8E"/>
    <w:rsid w:val="00C9630C"/>
    <w:rsid w:val="00C9654C"/>
    <w:rsid w:val="00C96579"/>
    <w:rsid w:val="00C965D4"/>
    <w:rsid w:val="00C96F62"/>
    <w:rsid w:val="00C97333"/>
    <w:rsid w:val="00C97DE0"/>
    <w:rsid w:val="00CA0288"/>
    <w:rsid w:val="00CA041E"/>
    <w:rsid w:val="00CA0536"/>
    <w:rsid w:val="00CA0738"/>
    <w:rsid w:val="00CA0750"/>
    <w:rsid w:val="00CA0F02"/>
    <w:rsid w:val="00CA17A7"/>
    <w:rsid w:val="00CA184F"/>
    <w:rsid w:val="00CA1B85"/>
    <w:rsid w:val="00CA1E00"/>
    <w:rsid w:val="00CA1F1E"/>
    <w:rsid w:val="00CA2159"/>
    <w:rsid w:val="00CA3166"/>
    <w:rsid w:val="00CA344D"/>
    <w:rsid w:val="00CA3A4C"/>
    <w:rsid w:val="00CA3ABC"/>
    <w:rsid w:val="00CA3C1E"/>
    <w:rsid w:val="00CA4182"/>
    <w:rsid w:val="00CA4748"/>
    <w:rsid w:val="00CA4910"/>
    <w:rsid w:val="00CA4914"/>
    <w:rsid w:val="00CA4A18"/>
    <w:rsid w:val="00CA4C6F"/>
    <w:rsid w:val="00CA5136"/>
    <w:rsid w:val="00CA537A"/>
    <w:rsid w:val="00CA5BC1"/>
    <w:rsid w:val="00CA5CB4"/>
    <w:rsid w:val="00CA621A"/>
    <w:rsid w:val="00CA6502"/>
    <w:rsid w:val="00CA6FA0"/>
    <w:rsid w:val="00CA70ED"/>
    <w:rsid w:val="00CA7213"/>
    <w:rsid w:val="00CA7643"/>
    <w:rsid w:val="00CA7829"/>
    <w:rsid w:val="00CA7CFB"/>
    <w:rsid w:val="00CB0412"/>
    <w:rsid w:val="00CB0906"/>
    <w:rsid w:val="00CB12D5"/>
    <w:rsid w:val="00CB167E"/>
    <w:rsid w:val="00CB1878"/>
    <w:rsid w:val="00CB1B77"/>
    <w:rsid w:val="00CB225A"/>
    <w:rsid w:val="00CB2758"/>
    <w:rsid w:val="00CB2E06"/>
    <w:rsid w:val="00CB2E38"/>
    <w:rsid w:val="00CB36E5"/>
    <w:rsid w:val="00CB37CB"/>
    <w:rsid w:val="00CB391B"/>
    <w:rsid w:val="00CB3A78"/>
    <w:rsid w:val="00CB3B45"/>
    <w:rsid w:val="00CB3B53"/>
    <w:rsid w:val="00CB3FB9"/>
    <w:rsid w:val="00CB4503"/>
    <w:rsid w:val="00CB4797"/>
    <w:rsid w:val="00CB4B65"/>
    <w:rsid w:val="00CB4D04"/>
    <w:rsid w:val="00CB5624"/>
    <w:rsid w:val="00CB5664"/>
    <w:rsid w:val="00CB57B3"/>
    <w:rsid w:val="00CB5D5F"/>
    <w:rsid w:val="00CB5F4F"/>
    <w:rsid w:val="00CB65C0"/>
    <w:rsid w:val="00CB68E4"/>
    <w:rsid w:val="00CB6DB9"/>
    <w:rsid w:val="00CB6F6B"/>
    <w:rsid w:val="00CB6FB0"/>
    <w:rsid w:val="00CB70B4"/>
    <w:rsid w:val="00CB726C"/>
    <w:rsid w:val="00CB74F8"/>
    <w:rsid w:val="00CB7D5C"/>
    <w:rsid w:val="00CC0792"/>
    <w:rsid w:val="00CC1108"/>
    <w:rsid w:val="00CC126E"/>
    <w:rsid w:val="00CC1333"/>
    <w:rsid w:val="00CC14A7"/>
    <w:rsid w:val="00CC1794"/>
    <w:rsid w:val="00CC1A3B"/>
    <w:rsid w:val="00CC1FDB"/>
    <w:rsid w:val="00CC20B9"/>
    <w:rsid w:val="00CC2417"/>
    <w:rsid w:val="00CC29EE"/>
    <w:rsid w:val="00CC2A22"/>
    <w:rsid w:val="00CC34FF"/>
    <w:rsid w:val="00CC3642"/>
    <w:rsid w:val="00CC396B"/>
    <w:rsid w:val="00CC3B4E"/>
    <w:rsid w:val="00CC3D77"/>
    <w:rsid w:val="00CC44B5"/>
    <w:rsid w:val="00CC5343"/>
    <w:rsid w:val="00CC5738"/>
    <w:rsid w:val="00CC576D"/>
    <w:rsid w:val="00CC5DBE"/>
    <w:rsid w:val="00CC5E81"/>
    <w:rsid w:val="00CC5E92"/>
    <w:rsid w:val="00CC6198"/>
    <w:rsid w:val="00CC63DA"/>
    <w:rsid w:val="00CC6405"/>
    <w:rsid w:val="00CC693B"/>
    <w:rsid w:val="00CC72DD"/>
    <w:rsid w:val="00CC74FF"/>
    <w:rsid w:val="00CC77E2"/>
    <w:rsid w:val="00CC79D0"/>
    <w:rsid w:val="00CC7C06"/>
    <w:rsid w:val="00CC7C7A"/>
    <w:rsid w:val="00CC7D11"/>
    <w:rsid w:val="00CD0D55"/>
    <w:rsid w:val="00CD104E"/>
    <w:rsid w:val="00CD14A0"/>
    <w:rsid w:val="00CD1525"/>
    <w:rsid w:val="00CD1794"/>
    <w:rsid w:val="00CD190C"/>
    <w:rsid w:val="00CD24C0"/>
    <w:rsid w:val="00CD2735"/>
    <w:rsid w:val="00CD2871"/>
    <w:rsid w:val="00CD321B"/>
    <w:rsid w:val="00CD37CA"/>
    <w:rsid w:val="00CD3829"/>
    <w:rsid w:val="00CD38FD"/>
    <w:rsid w:val="00CD4449"/>
    <w:rsid w:val="00CD468F"/>
    <w:rsid w:val="00CD4B2C"/>
    <w:rsid w:val="00CD50AF"/>
    <w:rsid w:val="00CD52B6"/>
    <w:rsid w:val="00CD53BA"/>
    <w:rsid w:val="00CD5491"/>
    <w:rsid w:val="00CD5BBD"/>
    <w:rsid w:val="00CD5F82"/>
    <w:rsid w:val="00CD604F"/>
    <w:rsid w:val="00CD66CE"/>
    <w:rsid w:val="00CD674A"/>
    <w:rsid w:val="00CD6867"/>
    <w:rsid w:val="00CD74BB"/>
    <w:rsid w:val="00CD7603"/>
    <w:rsid w:val="00CD7725"/>
    <w:rsid w:val="00CD783C"/>
    <w:rsid w:val="00CE04C5"/>
    <w:rsid w:val="00CE058E"/>
    <w:rsid w:val="00CE0699"/>
    <w:rsid w:val="00CE0902"/>
    <w:rsid w:val="00CE10D0"/>
    <w:rsid w:val="00CE1DCC"/>
    <w:rsid w:val="00CE2041"/>
    <w:rsid w:val="00CE295C"/>
    <w:rsid w:val="00CE3B82"/>
    <w:rsid w:val="00CE43D4"/>
    <w:rsid w:val="00CE5278"/>
    <w:rsid w:val="00CE5513"/>
    <w:rsid w:val="00CE569C"/>
    <w:rsid w:val="00CE5D73"/>
    <w:rsid w:val="00CE5E1A"/>
    <w:rsid w:val="00CE5E54"/>
    <w:rsid w:val="00CE690C"/>
    <w:rsid w:val="00CE6D31"/>
    <w:rsid w:val="00CE74F6"/>
    <w:rsid w:val="00CE7BCB"/>
    <w:rsid w:val="00CE7FBC"/>
    <w:rsid w:val="00CF0172"/>
    <w:rsid w:val="00CF0555"/>
    <w:rsid w:val="00CF05F9"/>
    <w:rsid w:val="00CF0CB2"/>
    <w:rsid w:val="00CF1142"/>
    <w:rsid w:val="00CF15C2"/>
    <w:rsid w:val="00CF1C2B"/>
    <w:rsid w:val="00CF25FA"/>
    <w:rsid w:val="00CF26C0"/>
    <w:rsid w:val="00CF324F"/>
    <w:rsid w:val="00CF3308"/>
    <w:rsid w:val="00CF3B81"/>
    <w:rsid w:val="00CF4835"/>
    <w:rsid w:val="00CF4AE4"/>
    <w:rsid w:val="00CF4C8C"/>
    <w:rsid w:val="00CF536B"/>
    <w:rsid w:val="00CF5517"/>
    <w:rsid w:val="00CF58EB"/>
    <w:rsid w:val="00CF6612"/>
    <w:rsid w:val="00CF678A"/>
    <w:rsid w:val="00CF6CAF"/>
    <w:rsid w:val="00CF6EF6"/>
    <w:rsid w:val="00CF735C"/>
    <w:rsid w:val="00CF761A"/>
    <w:rsid w:val="00CF76A9"/>
    <w:rsid w:val="00CF770E"/>
    <w:rsid w:val="00CF7C4A"/>
    <w:rsid w:val="00D000A2"/>
    <w:rsid w:val="00D00D87"/>
    <w:rsid w:val="00D0131F"/>
    <w:rsid w:val="00D01E0D"/>
    <w:rsid w:val="00D03443"/>
    <w:rsid w:val="00D034A4"/>
    <w:rsid w:val="00D043FB"/>
    <w:rsid w:val="00D0461E"/>
    <w:rsid w:val="00D04D59"/>
    <w:rsid w:val="00D0529E"/>
    <w:rsid w:val="00D05803"/>
    <w:rsid w:val="00D05E41"/>
    <w:rsid w:val="00D06036"/>
    <w:rsid w:val="00D06598"/>
    <w:rsid w:val="00D06F65"/>
    <w:rsid w:val="00D070B9"/>
    <w:rsid w:val="00D07371"/>
    <w:rsid w:val="00D106A0"/>
    <w:rsid w:val="00D11299"/>
    <w:rsid w:val="00D11701"/>
    <w:rsid w:val="00D11FE0"/>
    <w:rsid w:val="00D120A3"/>
    <w:rsid w:val="00D125BE"/>
    <w:rsid w:val="00D12BB8"/>
    <w:rsid w:val="00D12D22"/>
    <w:rsid w:val="00D132A1"/>
    <w:rsid w:val="00D132AD"/>
    <w:rsid w:val="00D134A2"/>
    <w:rsid w:val="00D1395B"/>
    <w:rsid w:val="00D14328"/>
    <w:rsid w:val="00D1434F"/>
    <w:rsid w:val="00D144C2"/>
    <w:rsid w:val="00D14A72"/>
    <w:rsid w:val="00D15B04"/>
    <w:rsid w:val="00D15CFF"/>
    <w:rsid w:val="00D16605"/>
    <w:rsid w:val="00D16696"/>
    <w:rsid w:val="00D1685E"/>
    <w:rsid w:val="00D16952"/>
    <w:rsid w:val="00D16CA7"/>
    <w:rsid w:val="00D16D7C"/>
    <w:rsid w:val="00D17605"/>
    <w:rsid w:val="00D2059F"/>
    <w:rsid w:val="00D20B03"/>
    <w:rsid w:val="00D20EA6"/>
    <w:rsid w:val="00D20FF7"/>
    <w:rsid w:val="00D2108F"/>
    <w:rsid w:val="00D213A5"/>
    <w:rsid w:val="00D214DB"/>
    <w:rsid w:val="00D2197A"/>
    <w:rsid w:val="00D21A8D"/>
    <w:rsid w:val="00D22CC9"/>
    <w:rsid w:val="00D2396E"/>
    <w:rsid w:val="00D23F83"/>
    <w:rsid w:val="00D24150"/>
    <w:rsid w:val="00D244C1"/>
    <w:rsid w:val="00D24ACA"/>
    <w:rsid w:val="00D25879"/>
    <w:rsid w:val="00D25BDB"/>
    <w:rsid w:val="00D262FA"/>
    <w:rsid w:val="00D26346"/>
    <w:rsid w:val="00D265B7"/>
    <w:rsid w:val="00D2663D"/>
    <w:rsid w:val="00D26971"/>
    <w:rsid w:val="00D274D7"/>
    <w:rsid w:val="00D2759B"/>
    <w:rsid w:val="00D27911"/>
    <w:rsid w:val="00D27ABD"/>
    <w:rsid w:val="00D27BF0"/>
    <w:rsid w:val="00D27D04"/>
    <w:rsid w:val="00D27E17"/>
    <w:rsid w:val="00D30033"/>
    <w:rsid w:val="00D30043"/>
    <w:rsid w:val="00D3035E"/>
    <w:rsid w:val="00D304E7"/>
    <w:rsid w:val="00D30812"/>
    <w:rsid w:val="00D3086B"/>
    <w:rsid w:val="00D30B85"/>
    <w:rsid w:val="00D3184C"/>
    <w:rsid w:val="00D32102"/>
    <w:rsid w:val="00D325F1"/>
    <w:rsid w:val="00D33245"/>
    <w:rsid w:val="00D334D4"/>
    <w:rsid w:val="00D3353F"/>
    <w:rsid w:val="00D3364F"/>
    <w:rsid w:val="00D336D9"/>
    <w:rsid w:val="00D33980"/>
    <w:rsid w:val="00D33D40"/>
    <w:rsid w:val="00D33EFD"/>
    <w:rsid w:val="00D34193"/>
    <w:rsid w:val="00D34FFE"/>
    <w:rsid w:val="00D35193"/>
    <w:rsid w:val="00D35349"/>
    <w:rsid w:val="00D3548E"/>
    <w:rsid w:val="00D354D4"/>
    <w:rsid w:val="00D35AE0"/>
    <w:rsid w:val="00D35B81"/>
    <w:rsid w:val="00D36706"/>
    <w:rsid w:val="00D3679E"/>
    <w:rsid w:val="00D3690A"/>
    <w:rsid w:val="00D36EA3"/>
    <w:rsid w:val="00D3766C"/>
    <w:rsid w:val="00D37929"/>
    <w:rsid w:val="00D37D85"/>
    <w:rsid w:val="00D37F56"/>
    <w:rsid w:val="00D402C5"/>
    <w:rsid w:val="00D4057C"/>
    <w:rsid w:val="00D4077B"/>
    <w:rsid w:val="00D40A60"/>
    <w:rsid w:val="00D40E89"/>
    <w:rsid w:val="00D413F9"/>
    <w:rsid w:val="00D41BEA"/>
    <w:rsid w:val="00D41D35"/>
    <w:rsid w:val="00D41D80"/>
    <w:rsid w:val="00D4216F"/>
    <w:rsid w:val="00D42B5A"/>
    <w:rsid w:val="00D42BA7"/>
    <w:rsid w:val="00D42D7F"/>
    <w:rsid w:val="00D43198"/>
    <w:rsid w:val="00D4324E"/>
    <w:rsid w:val="00D43354"/>
    <w:rsid w:val="00D43506"/>
    <w:rsid w:val="00D43AC7"/>
    <w:rsid w:val="00D44093"/>
    <w:rsid w:val="00D44A74"/>
    <w:rsid w:val="00D450A7"/>
    <w:rsid w:val="00D450BF"/>
    <w:rsid w:val="00D4598D"/>
    <w:rsid w:val="00D45B43"/>
    <w:rsid w:val="00D4636F"/>
    <w:rsid w:val="00D464DE"/>
    <w:rsid w:val="00D469AB"/>
    <w:rsid w:val="00D46B90"/>
    <w:rsid w:val="00D4714F"/>
    <w:rsid w:val="00D47578"/>
    <w:rsid w:val="00D47C1E"/>
    <w:rsid w:val="00D47DA6"/>
    <w:rsid w:val="00D47E8C"/>
    <w:rsid w:val="00D50052"/>
    <w:rsid w:val="00D50B41"/>
    <w:rsid w:val="00D5115A"/>
    <w:rsid w:val="00D51287"/>
    <w:rsid w:val="00D512DE"/>
    <w:rsid w:val="00D528C9"/>
    <w:rsid w:val="00D52CFF"/>
    <w:rsid w:val="00D52F20"/>
    <w:rsid w:val="00D536F1"/>
    <w:rsid w:val="00D53D55"/>
    <w:rsid w:val="00D54069"/>
    <w:rsid w:val="00D54267"/>
    <w:rsid w:val="00D546B8"/>
    <w:rsid w:val="00D54B86"/>
    <w:rsid w:val="00D54BB1"/>
    <w:rsid w:val="00D54C48"/>
    <w:rsid w:val="00D55692"/>
    <w:rsid w:val="00D556D4"/>
    <w:rsid w:val="00D55CE1"/>
    <w:rsid w:val="00D55D65"/>
    <w:rsid w:val="00D565AA"/>
    <w:rsid w:val="00D568FE"/>
    <w:rsid w:val="00D56C36"/>
    <w:rsid w:val="00D56ECD"/>
    <w:rsid w:val="00D57372"/>
    <w:rsid w:val="00D577E2"/>
    <w:rsid w:val="00D57842"/>
    <w:rsid w:val="00D57E9C"/>
    <w:rsid w:val="00D6041E"/>
    <w:rsid w:val="00D60471"/>
    <w:rsid w:val="00D60A37"/>
    <w:rsid w:val="00D60A79"/>
    <w:rsid w:val="00D60D3C"/>
    <w:rsid w:val="00D60F50"/>
    <w:rsid w:val="00D61848"/>
    <w:rsid w:val="00D61B48"/>
    <w:rsid w:val="00D6236A"/>
    <w:rsid w:val="00D62E28"/>
    <w:rsid w:val="00D63764"/>
    <w:rsid w:val="00D640B7"/>
    <w:rsid w:val="00D640DF"/>
    <w:rsid w:val="00D6424A"/>
    <w:rsid w:val="00D6436E"/>
    <w:rsid w:val="00D644BF"/>
    <w:rsid w:val="00D646B4"/>
    <w:rsid w:val="00D64C6D"/>
    <w:rsid w:val="00D6518A"/>
    <w:rsid w:val="00D65648"/>
    <w:rsid w:val="00D6596A"/>
    <w:rsid w:val="00D65A78"/>
    <w:rsid w:val="00D65AC3"/>
    <w:rsid w:val="00D66C64"/>
    <w:rsid w:val="00D66FD9"/>
    <w:rsid w:val="00D672FF"/>
    <w:rsid w:val="00D67338"/>
    <w:rsid w:val="00D673C1"/>
    <w:rsid w:val="00D675A1"/>
    <w:rsid w:val="00D675DD"/>
    <w:rsid w:val="00D67878"/>
    <w:rsid w:val="00D7041B"/>
    <w:rsid w:val="00D70695"/>
    <w:rsid w:val="00D70B9E"/>
    <w:rsid w:val="00D70CB8"/>
    <w:rsid w:val="00D70D9A"/>
    <w:rsid w:val="00D7106E"/>
    <w:rsid w:val="00D71C6C"/>
    <w:rsid w:val="00D724B6"/>
    <w:rsid w:val="00D72716"/>
    <w:rsid w:val="00D72CC4"/>
    <w:rsid w:val="00D732D2"/>
    <w:rsid w:val="00D73342"/>
    <w:rsid w:val="00D7360E"/>
    <w:rsid w:val="00D736E8"/>
    <w:rsid w:val="00D73D2D"/>
    <w:rsid w:val="00D73FCC"/>
    <w:rsid w:val="00D742B7"/>
    <w:rsid w:val="00D74B92"/>
    <w:rsid w:val="00D75231"/>
    <w:rsid w:val="00D75363"/>
    <w:rsid w:val="00D7559F"/>
    <w:rsid w:val="00D75EAA"/>
    <w:rsid w:val="00D765AE"/>
    <w:rsid w:val="00D76637"/>
    <w:rsid w:val="00D766AD"/>
    <w:rsid w:val="00D766FA"/>
    <w:rsid w:val="00D771F8"/>
    <w:rsid w:val="00D77276"/>
    <w:rsid w:val="00D775C2"/>
    <w:rsid w:val="00D77AF0"/>
    <w:rsid w:val="00D77FB2"/>
    <w:rsid w:val="00D77FDE"/>
    <w:rsid w:val="00D80070"/>
    <w:rsid w:val="00D8033E"/>
    <w:rsid w:val="00D807BF"/>
    <w:rsid w:val="00D81208"/>
    <w:rsid w:val="00D81AA4"/>
    <w:rsid w:val="00D821A7"/>
    <w:rsid w:val="00D82626"/>
    <w:rsid w:val="00D82A16"/>
    <w:rsid w:val="00D82B4B"/>
    <w:rsid w:val="00D82DD9"/>
    <w:rsid w:val="00D836A8"/>
    <w:rsid w:val="00D84C99"/>
    <w:rsid w:val="00D84CAB"/>
    <w:rsid w:val="00D8514A"/>
    <w:rsid w:val="00D85339"/>
    <w:rsid w:val="00D856EA"/>
    <w:rsid w:val="00D8579F"/>
    <w:rsid w:val="00D85C2C"/>
    <w:rsid w:val="00D860A2"/>
    <w:rsid w:val="00D862AB"/>
    <w:rsid w:val="00D8680B"/>
    <w:rsid w:val="00D86A2B"/>
    <w:rsid w:val="00D86B99"/>
    <w:rsid w:val="00D86D2E"/>
    <w:rsid w:val="00D87A4E"/>
    <w:rsid w:val="00D9124B"/>
    <w:rsid w:val="00D91C2A"/>
    <w:rsid w:val="00D91DD4"/>
    <w:rsid w:val="00D9201D"/>
    <w:rsid w:val="00D92264"/>
    <w:rsid w:val="00D92453"/>
    <w:rsid w:val="00D93836"/>
    <w:rsid w:val="00D93AF6"/>
    <w:rsid w:val="00D93C11"/>
    <w:rsid w:val="00D93E16"/>
    <w:rsid w:val="00D94569"/>
    <w:rsid w:val="00D9469E"/>
    <w:rsid w:val="00D94BB9"/>
    <w:rsid w:val="00D95418"/>
    <w:rsid w:val="00D95B20"/>
    <w:rsid w:val="00D95BB4"/>
    <w:rsid w:val="00D95C79"/>
    <w:rsid w:val="00D96614"/>
    <w:rsid w:val="00D96910"/>
    <w:rsid w:val="00D974E1"/>
    <w:rsid w:val="00D97BB3"/>
    <w:rsid w:val="00DA0929"/>
    <w:rsid w:val="00DA1178"/>
    <w:rsid w:val="00DA13A2"/>
    <w:rsid w:val="00DA1B7B"/>
    <w:rsid w:val="00DA1E98"/>
    <w:rsid w:val="00DA221A"/>
    <w:rsid w:val="00DA31E2"/>
    <w:rsid w:val="00DA369D"/>
    <w:rsid w:val="00DA3747"/>
    <w:rsid w:val="00DA3BEF"/>
    <w:rsid w:val="00DA41CC"/>
    <w:rsid w:val="00DA4BF4"/>
    <w:rsid w:val="00DA4DDF"/>
    <w:rsid w:val="00DA4F46"/>
    <w:rsid w:val="00DA503E"/>
    <w:rsid w:val="00DA50CE"/>
    <w:rsid w:val="00DA51B5"/>
    <w:rsid w:val="00DA5654"/>
    <w:rsid w:val="00DA5D07"/>
    <w:rsid w:val="00DA6489"/>
    <w:rsid w:val="00DA6507"/>
    <w:rsid w:val="00DA6A86"/>
    <w:rsid w:val="00DA6B5A"/>
    <w:rsid w:val="00DA6F67"/>
    <w:rsid w:val="00DA7581"/>
    <w:rsid w:val="00DA7FA0"/>
    <w:rsid w:val="00DAB056"/>
    <w:rsid w:val="00DB0A6B"/>
    <w:rsid w:val="00DB176A"/>
    <w:rsid w:val="00DB1CC6"/>
    <w:rsid w:val="00DB2878"/>
    <w:rsid w:val="00DB3878"/>
    <w:rsid w:val="00DB471D"/>
    <w:rsid w:val="00DB4889"/>
    <w:rsid w:val="00DB51C1"/>
    <w:rsid w:val="00DB55F4"/>
    <w:rsid w:val="00DB5C58"/>
    <w:rsid w:val="00DB5D7E"/>
    <w:rsid w:val="00DB5F3A"/>
    <w:rsid w:val="00DB66D8"/>
    <w:rsid w:val="00DB6A3A"/>
    <w:rsid w:val="00DB6A86"/>
    <w:rsid w:val="00DB6C3F"/>
    <w:rsid w:val="00DB6D79"/>
    <w:rsid w:val="00DB7065"/>
    <w:rsid w:val="00DB7083"/>
    <w:rsid w:val="00DB73FE"/>
    <w:rsid w:val="00DB772A"/>
    <w:rsid w:val="00DB7A20"/>
    <w:rsid w:val="00DB7D8C"/>
    <w:rsid w:val="00DC01CC"/>
    <w:rsid w:val="00DC0458"/>
    <w:rsid w:val="00DC111D"/>
    <w:rsid w:val="00DC11EE"/>
    <w:rsid w:val="00DC1AB9"/>
    <w:rsid w:val="00DC1C11"/>
    <w:rsid w:val="00DC2506"/>
    <w:rsid w:val="00DC271D"/>
    <w:rsid w:val="00DC2933"/>
    <w:rsid w:val="00DC2CA5"/>
    <w:rsid w:val="00DC2CD1"/>
    <w:rsid w:val="00DC2DC9"/>
    <w:rsid w:val="00DC3116"/>
    <w:rsid w:val="00DC3141"/>
    <w:rsid w:val="00DC3284"/>
    <w:rsid w:val="00DC3889"/>
    <w:rsid w:val="00DC3CBA"/>
    <w:rsid w:val="00DC3D57"/>
    <w:rsid w:val="00DC3FFA"/>
    <w:rsid w:val="00DC4EAE"/>
    <w:rsid w:val="00DC598C"/>
    <w:rsid w:val="00DC5D8C"/>
    <w:rsid w:val="00DC609B"/>
    <w:rsid w:val="00DC64B0"/>
    <w:rsid w:val="00DC657F"/>
    <w:rsid w:val="00DC6634"/>
    <w:rsid w:val="00DC6916"/>
    <w:rsid w:val="00DC69BF"/>
    <w:rsid w:val="00DC69F6"/>
    <w:rsid w:val="00DC6C2B"/>
    <w:rsid w:val="00DC6E7C"/>
    <w:rsid w:val="00DC71C2"/>
    <w:rsid w:val="00DC761C"/>
    <w:rsid w:val="00DC7A99"/>
    <w:rsid w:val="00DC7C86"/>
    <w:rsid w:val="00DD03DF"/>
    <w:rsid w:val="00DD1176"/>
    <w:rsid w:val="00DD17BE"/>
    <w:rsid w:val="00DD18A3"/>
    <w:rsid w:val="00DD1AE0"/>
    <w:rsid w:val="00DD1F5F"/>
    <w:rsid w:val="00DD29C5"/>
    <w:rsid w:val="00DD2C10"/>
    <w:rsid w:val="00DD3CB5"/>
    <w:rsid w:val="00DD3D7B"/>
    <w:rsid w:val="00DD3F86"/>
    <w:rsid w:val="00DD47D8"/>
    <w:rsid w:val="00DD4E16"/>
    <w:rsid w:val="00DD54A4"/>
    <w:rsid w:val="00DD5851"/>
    <w:rsid w:val="00DD5995"/>
    <w:rsid w:val="00DD5AD9"/>
    <w:rsid w:val="00DD61C4"/>
    <w:rsid w:val="00DD61E2"/>
    <w:rsid w:val="00DD69B5"/>
    <w:rsid w:val="00DD6F6D"/>
    <w:rsid w:val="00DD6FFB"/>
    <w:rsid w:val="00DD7805"/>
    <w:rsid w:val="00DD7B27"/>
    <w:rsid w:val="00DD7FE3"/>
    <w:rsid w:val="00DE0082"/>
    <w:rsid w:val="00DE09F1"/>
    <w:rsid w:val="00DE1199"/>
    <w:rsid w:val="00DE1536"/>
    <w:rsid w:val="00DE1F1C"/>
    <w:rsid w:val="00DE2AA7"/>
    <w:rsid w:val="00DE2B16"/>
    <w:rsid w:val="00DE2CC9"/>
    <w:rsid w:val="00DE2CCE"/>
    <w:rsid w:val="00DE334C"/>
    <w:rsid w:val="00DE36E0"/>
    <w:rsid w:val="00DE4002"/>
    <w:rsid w:val="00DE4BB4"/>
    <w:rsid w:val="00DE4C31"/>
    <w:rsid w:val="00DE5200"/>
    <w:rsid w:val="00DE65CF"/>
    <w:rsid w:val="00DE7492"/>
    <w:rsid w:val="00DE76A5"/>
    <w:rsid w:val="00DE76EA"/>
    <w:rsid w:val="00DE79B1"/>
    <w:rsid w:val="00DE7BAA"/>
    <w:rsid w:val="00DF01B4"/>
    <w:rsid w:val="00DF1EC4"/>
    <w:rsid w:val="00DF2CB4"/>
    <w:rsid w:val="00DF365B"/>
    <w:rsid w:val="00DF38E9"/>
    <w:rsid w:val="00DF3AF9"/>
    <w:rsid w:val="00DF4AE1"/>
    <w:rsid w:val="00DF4F2B"/>
    <w:rsid w:val="00DF502C"/>
    <w:rsid w:val="00DF5046"/>
    <w:rsid w:val="00DF5D4F"/>
    <w:rsid w:val="00DF64A3"/>
    <w:rsid w:val="00DF699E"/>
    <w:rsid w:val="00DF6AA7"/>
    <w:rsid w:val="00DF6AC2"/>
    <w:rsid w:val="00DF6B82"/>
    <w:rsid w:val="00DF779F"/>
    <w:rsid w:val="00DF7AE9"/>
    <w:rsid w:val="00DF7AF6"/>
    <w:rsid w:val="00DF7D90"/>
    <w:rsid w:val="00E00322"/>
    <w:rsid w:val="00E00752"/>
    <w:rsid w:val="00E00D32"/>
    <w:rsid w:val="00E013D4"/>
    <w:rsid w:val="00E01433"/>
    <w:rsid w:val="00E01BD1"/>
    <w:rsid w:val="00E02F0C"/>
    <w:rsid w:val="00E037FC"/>
    <w:rsid w:val="00E03EB7"/>
    <w:rsid w:val="00E03EDA"/>
    <w:rsid w:val="00E042CB"/>
    <w:rsid w:val="00E04435"/>
    <w:rsid w:val="00E044A3"/>
    <w:rsid w:val="00E04C4D"/>
    <w:rsid w:val="00E04E12"/>
    <w:rsid w:val="00E0523A"/>
    <w:rsid w:val="00E053E7"/>
    <w:rsid w:val="00E05629"/>
    <w:rsid w:val="00E059A7"/>
    <w:rsid w:val="00E059B6"/>
    <w:rsid w:val="00E05CAB"/>
    <w:rsid w:val="00E0607B"/>
    <w:rsid w:val="00E06C70"/>
    <w:rsid w:val="00E07A65"/>
    <w:rsid w:val="00E07AEB"/>
    <w:rsid w:val="00E07B55"/>
    <w:rsid w:val="00E07CBE"/>
    <w:rsid w:val="00E07E3D"/>
    <w:rsid w:val="00E1006A"/>
    <w:rsid w:val="00E106E0"/>
    <w:rsid w:val="00E10873"/>
    <w:rsid w:val="00E11922"/>
    <w:rsid w:val="00E11A56"/>
    <w:rsid w:val="00E11D99"/>
    <w:rsid w:val="00E12118"/>
    <w:rsid w:val="00E122C7"/>
    <w:rsid w:val="00E137A0"/>
    <w:rsid w:val="00E13B16"/>
    <w:rsid w:val="00E14149"/>
    <w:rsid w:val="00E1486E"/>
    <w:rsid w:val="00E151F5"/>
    <w:rsid w:val="00E15266"/>
    <w:rsid w:val="00E1550E"/>
    <w:rsid w:val="00E155DA"/>
    <w:rsid w:val="00E161AB"/>
    <w:rsid w:val="00E164AD"/>
    <w:rsid w:val="00E169EF"/>
    <w:rsid w:val="00E17663"/>
    <w:rsid w:val="00E17D66"/>
    <w:rsid w:val="00E17D6A"/>
    <w:rsid w:val="00E17DFB"/>
    <w:rsid w:val="00E17E58"/>
    <w:rsid w:val="00E17F51"/>
    <w:rsid w:val="00E20667"/>
    <w:rsid w:val="00E206F4"/>
    <w:rsid w:val="00E208FD"/>
    <w:rsid w:val="00E20A21"/>
    <w:rsid w:val="00E20D37"/>
    <w:rsid w:val="00E20F8F"/>
    <w:rsid w:val="00E20FA4"/>
    <w:rsid w:val="00E211D4"/>
    <w:rsid w:val="00E21218"/>
    <w:rsid w:val="00E213DD"/>
    <w:rsid w:val="00E216AA"/>
    <w:rsid w:val="00E21B6A"/>
    <w:rsid w:val="00E22006"/>
    <w:rsid w:val="00E2207C"/>
    <w:rsid w:val="00E2221A"/>
    <w:rsid w:val="00E22490"/>
    <w:rsid w:val="00E22505"/>
    <w:rsid w:val="00E225FF"/>
    <w:rsid w:val="00E22711"/>
    <w:rsid w:val="00E22AFE"/>
    <w:rsid w:val="00E23327"/>
    <w:rsid w:val="00E23664"/>
    <w:rsid w:val="00E23BBC"/>
    <w:rsid w:val="00E23E83"/>
    <w:rsid w:val="00E23E8F"/>
    <w:rsid w:val="00E24D0E"/>
    <w:rsid w:val="00E24EA7"/>
    <w:rsid w:val="00E2562D"/>
    <w:rsid w:val="00E25E23"/>
    <w:rsid w:val="00E26836"/>
    <w:rsid w:val="00E27316"/>
    <w:rsid w:val="00E27498"/>
    <w:rsid w:val="00E275F3"/>
    <w:rsid w:val="00E27C6C"/>
    <w:rsid w:val="00E3088E"/>
    <w:rsid w:val="00E30DDB"/>
    <w:rsid w:val="00E31918"/>
    <w:rsid w:val="00E319A4"/>
    <w:rsid w:val="00E31BBB"/>
    <w:rsid w:val="00E31E7A"/>
    <w:rsid w:val="00E32148"/>
    <w:rsid w:val="00E324E1"/>
    <w:rsid w:val="00E32C16"/>
    <w:rsid w:val="00E32F61"/>
    <w:rsid w:val="00E331D3"/>
    <w:rsid w:val="00E3357A"/>
    <w:rsid w:val="00E3360C"/>
    <w:rsid w:val="00E336AE"/>
    <w:rsid w:val="00E33A29"/>
    <w:rsid w:val="00E340B7"/>
    <w:rsid w:val="00E341FF"/>
    <w:rsid w:val="00E3443C"/>
    <w:rsid w:val="00E3452D"/>
    <w:rsid w:val="00E34970"/>
    <w:rsid w:val="00E34C07"/>
    <w:rsid w:val="00E353BC"/>
    <w:rsid w:val="00E35CF3"/>
    <w:rsid w:val="00E360B3"/>
    <w:rsid w:val="00E36197"/>
    <w:rsid w:val="00E36773"/>
    <w:rsid w:val="00E36C4E"/>
    <w:rsid w:val="00E36E9A"/>
    <w:rsid w:val="00E37444"/>
    <w:rsid w:val="00E37658"/>
    <w:rsid w:val="00E37E95"/>
    <w:rsid w:val="00E40CCE"/>
    <w:rsid w:val="00E40F6E"/>
    <w:rsid w:val="00E414DA"/>
    <w:rsid w:val="00E41893"/>
    <w:rsid w:val="00E41CF2"/>
    <w:rsid w:val="00E41EE5"/>
    <w:rsid w:val="00E422A0"/>
    <w:rsid w:val="00E426C6"/>
    <w:rsid w:val="00E43021"/>
    <w:rsid w:val="00E43532"/>
    <w:rsid w:val="00E4366C"/>
    <w:rsid w:val="00E43B5D"/>
    <w:rsid w:val="00E4449D"/>
    <w:rsid w:val="00E44903"/>
    <w:rsid w:val="00E44C03"/>
    <w:rsid w:val="00E44DF3"/>
    <w:rsid w:val="00E456F3"/>
    <w:rsid w:val="00E457F4"/>
    <w:rsid w:val="00E45937"/>
    <w:rsid w:val="00E45C67"/>
    <w:rsid w:val="00E45F47"/>
    <w:rsid w:val="00E4651F"/>
    <w:rsid w:val="00E4658D"/>
    <w:rsid w:val="00E46852"/>
    <w:rsid w:val="00E47181"/>
    <w:rsid w:val="00E4786A"/>
    <w:rsid w:val="00E478D2"/>
    <w:rsid w:val="00E47F82"/>
    <w:rsid w:val="00E5043A"/>
    <w:rsid w:val="00E50C85"/>
    <w:rsid w:val="00E50CF5"/>
    <w:rsid w:val="00E51069"/>
    <w:rsid w:val="00E51187"/>
    <w:rsid w:val="00E5149C"/>
    <w:rsid w:val="00E52752"/>
    <w:rsid w:val="00E52B92"/>
    <w:rsid w:val="00E52D1C"/>
    <w:rsid w:val="00E5305B"/>
    <w:rsid w:val="00E53296"/>
    <w:rsid w:val="00E534C9"/>
    <w:rsid w:val="00E535B2"/>
    <w:rsid w:val="00E537E7"/>
    <w:rsid w:val="00E538CF"/>
    <w:rsid w:val="00E53930"/>
    <w:rsid w:val="00E53AA5"/>
    <w:rsid w:val="00E53AC7"/>
    <w:rsid w:val="00E5450F"/>
    <w:rsid w:val="00E5457D"/>
    <w:rsid w:val="00E54684"/>
    <w:rsid w:val="00E546AD"/>
    <w:rsid w:val="00E54847"/>
    <w:rsid w:val="00E55AEB"/>
    <w:rsid w:val="00E55DA7"/>
    <w:rsid w:val="00E5610E"/>
    <w:rsid w:val="00E56134"/>
    <w:rsid w:val="00E56145"/>
    <w:rsid w:val="00E57140"/>
    <w:rsid w:val="00E5729C"/>
    <w:rsid w:val="00E57446"/>
    <w:rsid w:val="00E57702"/>
    <w:rsid w:val="00E57E32"/>
    <w:rsid w:val="00E57FA4"/>
    <w:rsid w:val="00E6059E"/>
    <w:rsid w:val="00E6086C"/>
    <w:rsid w:val="00E6089B"/>
    <w:rsid w:val="00E61013"/>
    <w:rsid w:val="00E61047"/>
    <w:rsid w:val="00E611DB"/>
    <w:rsid w:val="00E61252"/>
    <w:rsid w:val="00E61270"/>
    <w:rsid w:val="00E6169B"/>
    <w:rsid w:val="00E61859"/>
    <w:rsid w:val="00E6197E"/>
    <w:rsid w:val="00E61D69"/>
    <w:rsid w:val="00E61EC6"/>
    <w:rsid w:val="00E623B6"/>
    <w:rsid w:val="00E623BE"/>
    <w:rsid w:val="00E628B1"/>
    <w:rsid w:val="00E62A41"/>
    <w:rsid w:val="00E62B67"/>
    <w:rsid w:val="00E6336E"/>
    <w:rsid w:val="00E6386A"/>
    <w:rsid w:val="00E64D2D"/>
    <w:rsid w:val="00E650D2"/>
    <w:rsid w:val="00E652E1"/>
    <w:rsid w:val="00E653AD"/>
    <w:rsid w:val="00E659A0"/>
    <w:rsid w:val="00E65A82"/>
    <w:rsid w:val="00E65B0C"/>
    <w:rsid w:val="00E65B5B"/>
    <w:rsid w:val="00E66174"/>
    <w:rsid w:val="00E66A72"/>
    <w:rsid w:val="00E66FEE"/>
    <w:rsid w:val="00E67541"/>
    <w:rsid w:val="00E67623"/>
    <w:rsid w:val="00E67BF8"/>
    <w:rsid w:val="00E67EB0"/>
    <w:rsid w:val="00E70120"/>
    <w:rsid w:val="00E70732"/>
    <w:rsid w:val="00E7098F"/>
    <w:rsid w:val="00E712EA"/>
    <w:rsid w:val="00E71472"/>
    <w:rsid w:val="00E71517"/>
    <w:rsid w:val="00E715FC"/>
    <w:rsid w:val="00E71A74"/>
    <w:rsid w:val="00E71C75"/>
    <w:rsid w:val="00E71DDB"/>
    <w:rsid w:val="00E71EAD"/>
    <w:rsid w:val="00E725F0"/>
    <w:rsid w:val="00E72DAE"/>
    <w:rsid w:val="00E72FC1"/>
    <w:rsid w:val="00E733D2"/>
    <w:rsid w:val="00E7340B"/>
    <w:rsid w:val="00E73979"/>
    <w:rsid w:val="00E73AA4"/>
    <w:rsid w:val="00E73D63"/>
    <w:rsid w:val="00E73D69"/>
    <w:rsid w:val="00E73F0E"/>
    <w:rsid w:val="00E73F66"/>
    <w:rsid w:val="00E74ED0"/>
    <w:rsid w:val="00E7523D"/>
    <w:rsid w:val="00E75804"/>
    <w:rsid w:val="00E75BC0"/>
    <w:rsid w:val="00E75DDA"/>
    <w:rsid w:val="00E76161"/>
    <w:rsid w:val="00E7621E"/>
    <w:rsid w:val="00E763A5"/>
    <w:rsid w:val="00E77157"/>
    <w:rsid w:val="00E7775C"/>
    <w:rsid w:val="00E77DEA"/>
    <w:rsid w:val="00E80686"/>
    <w:rsid w:val="00E806D9"/>
    <w:rsid w:val="00E8107A"/>
    <w:rsid w:val="00E8116C"/>
    <w:rsid w:val="00E815E5"/>
    <w:rsid w:val="00E81BE2"/>
    <w:rsid w:val="00E83134"/>
    <w:rsid w:val="00E83550"/>
    <w:rsid w:val="00E8365D"/>
    <w:rsid w:val="00E8373F"/>
    <w:rsid w:val="00E83866"/>
    <w:rsid w:val="00E839B6"/>
    <w:rsid w:val="00E84356"/>
    <w:rsid w:val="00E848BB"/>
    <w:rsid w:val="00E84FD9"/>
    <w:rsid w:val="00E8501F"/>
    <w:rsid w:val="00E8503C"/>
    <w:rsid w:val="00E850FD"/>
    <w:rsid w:val="00E85231"/>
    <w:rsid w:val="00E852E0"/>
    <w:rsid w:val="00E853E0"/>
    <w:rsid w:val="00E8547B"/>
    <w:rsid w:val="00E8567E"/>
    <w:rsid w:val="00E85B0B"/>
    <w:rsid w:val="00E85CC1"/>
    <w:rsid w:val="00E8675C"/>
    <w:rsid w:val="00E86A0D"/>
    <w:rsid w:val="00E87323"/>
    <w:rsid w:val="00E879F5"/>
    <w:rsid w:val="00E87AF2"/>
    <w:rsid w:val="00E87F5F"/>
    <w:rsid w:val="00E90312"/>
    <w:rsid w:val="00E90801"/>
    <w:rsid w:val="00E90975"/>
    <w:rsid w:val="00E90A33"/>
    <w:rsid w:val="00E911FF"/>
    <w:rsid w:val="00E91268"/>
    <w:rsid w:val="00E913A9"/>
    <w:rsid w:val="00E91862"/>
    <w:rsid w:val="00E91BBB"/>
    <w:rsid w:val="00E91BFD"/>
    <w:rsid w:val="00E91CEF"/>
    <w:rsid w:val="00E9200F"/>
    <w:rsid w:val="00E92DF5"/>
    <w:rsid w:val="00E93EF8"/>
    <w:rsid w:val="00E94320"/>
    <w:rsid w:val="00E946E5"/>
    <w:rsid w:val="00E949C6"/>
    <w:rsid w:val="00E949F6"/>
    <w:rsid w:val="00E9547C"/>
    <w:rsid w:val="00E957AB"/>
    <w:rsid w:val="00E95812"/>
    <w:rsid w:val="00E964D8"/>
    <w:rsid w:val="00E96BCF"/>
    <w:rsid w:val="00E96CFA"/>
    <w:rsid w:val="00E96DB0"/>
    <w:rsid w:val="00E97052"/>
    <w:rsid w:val="00E970A3"/>
    <w:rsid w:val="00E97E3B"/>
    <w:rsid w:val="00EA0041"/>
    <w:rsid w:val="00EA0539"/>
    <w:rsid w:val="00EA070A"/>
    <w:rsid w:val="00EA0B92"/>
    <w:rsid w:val="00EA0CC8"/>
    <w:rsid w:val="00EA0D3E"/>
    <w:rsid w:val="00EA0E4B"/>
    <w:rsid w:val="00EA134E"/>
    <w:rsid w:val="00EA19C5"/>
    <w:rsid w:val="00EA1CA0"/>
    <w:rsid w:val="00EA2780"/>
    <w:rsid w:val="00EA27B0"/>
    <w:rsid w:val="00EA2A87"/>
    <w:rsid w:val="00EA2C06"/>
    <w:rsid w:val="00EA319A"/>
    <w:rsid w:val="00EA34C9"/>
    <w:rsid w:val="00EA3A18"/>
    <w:rsid w:val="00EA4114"/>
    <w:rsid w:val="00EA440A"/>
    <w:rsid w:val="00EA477A"/>
    <w:rsid w:val="00EA48D2"/>
    <w:rsid w:val="00EA49A4"/>
    <w:rsid w:val="00EA4BD2"/>
    <w:rsid w:val="00EA4BDF"/>
    <w:rsid w:val="00EA4D4F"/>
    <w:rsid w:val="00EA4F31"/>
    <w:rsid w:val="00EA52A5"/>
    <w:rsid w:val="00EA56BB"/>
    <w:rsid w:val="00EA5EA4"/>
    <w:rsid w:val="00EA65E7"/>
    <w:rsid w:val="00EA6C1F"/>
    <w:rsid w:val="00EA6CDF"/>
    <w:rsid w:val="00EA6FA6"/>
    <w:rsid w:val="00EA71D4"/>
    <w:rsid w:val="00EA72B7"/>
    <w:rsid w:val="00EA76EA"/>
    <w:rsid w:val="00EA7CBE"/>
    <w:rsid w:val="00EA7E3C"/>
    <w:rsid w:val="00EA7E97"/>
    <w:rsid w:val="00EA7F9D"/>
    <w:rsid w:val="00EB0022"/>
    <w:rsid w:val="00EB0A96"/>
    <w:rsid w:val="00EB0B05"/>
    <w:rsid w:val="00EB0BC5"/>
    <w:rsid w:val="00EB0CD8"/>
    <w:rsid w:val="00EB0DBC"/>
    <w:rsid w:val="00EB12B6"/>
    <w:rsid w:val="00EB144B"/>
    <w:rsid w:val="00EB167B"/>
    <w:rsid w:val="00EB198D"/>
    <w:rsid w:val="00EB1F8B"/>
    <w:rsid w:val="00EB2025"/>
    <w:rsid w:val="00EB2612"/>
    <w:rsid w:val="00EB2857"/>
    <w:rsid w:val="00EB29F2"/>
    <w:rsid w:val="00EB380A"/>
    <w:rsid w:val="00EB3D18"/>
    <w:rsid w:val="00EB3E61"/>
    <w:rsid w:val="00EB40B0"/>
    <w:rsid w:val="00EB41FE"/>
    <w:rsid w:val="00EB4736"/>
    <w:rsid w:val="00EB4A1E"/>
    <w:rsid w:val="00EB4B8F"/>
    <w:rsid w:val="00EB4F6E"/>
    <w:rsid w:val="00EB5193"/>
    <w:rsid w:val="00EB555D"/>
    <w:rsid w:val="00EB5629"/>
    <w:rsid w:val="00EB5808"/>
    <w:rsid w:val="00EB5D1F"/>
    <w:rsid w:val="00EB5FA7"/>
    <w:rsid w:val="00EB65D6"/>
    <w:rsid w:val="00EB6CC5"/>
    <w:rsid w:val="00EB6E35"/>
    <w:rsid w:val="00EB6E98"/>
    <w:rsid w:val="00EB7136"/>
    <w:rsid w:val="00EB744C"/>
    <w:rsid w:val="00EB7915"/>
    <w:rsid w:val="00EC0411"/>
    <w:rsid w:val="00EC06DA"/>
    <w:rsid w:val="00EC099A"/>
    <w:rsid w:val="00EC0F39"/>
    <w:rsid w:val="00EC1063"/>
    <w:rsid w:val="00EC121C"/>
    <w:rsid w:val="00EC15FB"/>
    <w:rsid w:val="00EC1DAA"/>
    <w:rsid w:val="00EC2095"/>
    <w:rsid w:val="00EC219B"/>
    <w:rsid w:val="00EC2503"/>
    <w:rsid w:val="00EC2D54"/>
    <w:rsid w:val="00EC2F7A"/>
    <w:rsid w:val="00EC34D4"/>
    <w:rsid w:val="00EC39B7"/>
    <w:rsid w:val="00EC3A09"/>
    <w:rsid w:val="00EC3D8D"/>
    <w:rsid w:val="00EC446A"/>
    <w:rsid w:val="00EC4537"/>
    <w:rsid w:val="00EC496E"/>
    <w:rsid w:val="00EC4FC0"/>
    <w:rsid w:val="00EC50A3"/>
    <w:rsid w:val="00EC50E7"/>
    <w:rsid w:val="00EC59E2"/>
    <w:rsid w:val="00EC5D97"/>
    <w:rsid w:val="00EC6253"/>
    <w:rsid w:val="00EC725D"/>
    <w:rsid w:val="00EC758B"/>
    <w:rsid w:val="00EC769C"/>
    <w:rsid w:val="00EC79DA"/>
    <w:rsid w:val="00EC7DAC"/>
    <w:rsid w:val="00ED0001"/>
    <w:rsid w:val="00ED000C"/>
    <w:rsid w:val="00ED0297"/>
    <w:rsid w:val="00ED0ACA"/>
    <w:rsid w:val="00ED0C8D"/>
    <w:rsid w:val="00ED1334"/>
    <w:rsid w:val="00ED1586"/>
    <w:rsid w:val="00ED1A31"/>
    <w:rsid w:val="00ED1AC6"/>
    <w:rsid w:val="00ED1C74"/>
    <w:rsid w:val="00ED1ED0"/>
    <w:rsid w:val="00ED2455"/>
    <w:rsid w:val="00ED2B06"/>
    <w:rsid w:val="00ED2CE9"/>
    <w:rsid w:val="00ED33C7"/>
    <w:rsid w:val="00ED3887"/>
    <w:rsid w:val="00ED3AD1"/>
    <w:rsid w:val="00ED3FD3"/>
    <w:rsid w:val="00ED4260"/>
    <w:rsid w:val="00ED4D34"/>
    <w:rsid w:val="00ED4F7D"/>
    <w:rsid w:val="00ED568D"/>
    <w:rsid w:val="00ED6156"/>
    <w:rsid w:val="00ED65E0"/>
    <w:rsid w:val="00ED6783"/>
    <w:rsid w:val="00ED67C6"/>
    <w:rsid w:val="00ED6861"/>
    <w:rsid w:val="00ED6AA2"/>
    <w:rsid w:val="00ED6FFC"/>
    <w:rsid w:val="00ED7042"/>
    <w:rsid w:val="00ED73E7"/>
    <w:rsid w:val="00ED7513"/>
    <w:rsid w:val="00EE014A"/>
    <w:rsid w:val="00EE17B7"/>
    <w:rsid w:val="00EE1987"/>
    <w:rsid w:val="00EE1FA7"/>
    <w:rsid w:val="00EE2083"/>
    <w:rsid w:val="00EE25E6"/>
    <w:rsid w:val="00EE2794"/>
    <w:rsid w:val="00EE2EFD"/>
    <w:rsid w:val="00EE31DC"/>
    <w:rsid w:val="00EE3428"/>
    <w:rsid w:val="00EE352B"/>
    <w:rsid w:val="00EE35A8"/>
    <w:rsid w:val="00EE381D"/>
    <w:rsid w:val="00EE3CAB"/>
    <w:rsid w:val="00EE4194"/>
    <w:rsid w:val="00EE4F25"/>
    <w:rsid w:val="00EE53CE"/>
    <w:rsid w:val="00EE5564"/>
    <w:rsid w:val="00EE5644"/>
    <w:rsid w:val="00EE5A2C"/>
    <w:rsid w:val="00EE5A5B"/>
    <w:rsid w:val="00EE67A3"/>
    <w:rsid w:val="00EE768F"/>
    <w:rsid w:val="00EE76DB"/>
    <w:rsid w:val="00EF00F2"/>
    <w:rsid w:val="00EF1660"/>
    <w:rsid w:val="00EF1814"/>
    <w:rsid w:val="00EF2771"/>
    <w:rsid w:val="00EF3017"/>
    <w:rsid w:val="00EF30BD"/>
    <w:rsid w:val="00EF3221"/>
    <w:rsid w:val="00EF32BF"/>
    <w:rsid w:val="00EF3484"/>
    <w:rsid w:val="00EF3875"/>
    <w:rsid w:val="00EF4994"/>
    <w:rsid w:val="00EF4AF8"/>
    <w:rsid w:val="00EF50E5"/>
    <w:rsid w:val="00EF51E5"/>
    <w:rsid w:val="00EF520C"/>
    <w:rsid w:val="00EF5E62"/>
    <w:rsid w:val="00EF6158"/>
    <w:rsid w:val="00EF61F7"/>
    <w:rsid w:val="00EF643F"/>
    <w:rsid w:val="00EF65CE"/>
    <w:rsid w:val="00EF65D1"/>
    <w:rsid w:val="00EF696A"/>
    <w:rsid w:val="00EF6DC8"/>
    <w:rsid w:val="00EF6E6E"/>
    <w:rsid w:val="00EF70EE"/>
    <w:rsid w:val="00EF751B"/>
    <w:rsid w:val="00EF7898"/>
    <w:rsid w:val="00EF7E79"/>
    <w:rsid w:val="00EF7EB0"/>
    <w:rsid w:val="00F000D9"/>
    <w:rsid w:val="00F0020A"/>
    <w:rsid w:val="00F01052"/>
    <w:rsid w:val="00F0150B"/>
    <w:rsid w:val="00F016EC"/>
    <w:rsid w:val="00F01A31"/>
    <w:rsid w:val="00F01AF4"/>
    <w:rsid w:val="00F01FA7"/>
    <w:rsid w:val="00F021B3"/>
    <w:rsid w:val="00F02D85"/>
    <w:rsid w:val="00F030A4"/>
    <w:rsid w:val="00F030E3"/>
    <w:rsid w:val="00F037C7"/>
    <w:rsid w:val="00F03933"/>
    <w:rsid w:val="00F04251"/>
    <w:rsid w:val="00F044C6"/>
    <w:rsid w:val="00F04684"/>
    <w:rsid w:val="00F04A13"/>
    <w:rsid w:val="00F052A7"/>
    <w:rsid w:val="00F0602A"/>
    <w:rsid w:val="00F06207"/>
    <w:rsid w:val="00F0630C"/>
    <w:rsid w:val="00F065A9"/>
    <w:rsid w:val="00F0701B"/>
    <w:rsid w:val="00F071FA"/>
    <w:rsid w:val="00F073B7"/>
    <w:rsid w:val="00F074AA"/>
    <w:rsid w:val="00F075C1"/>
    <w:rsid w:val="00F07B8B"/>
    <w:rsid w:val="00F10819"/>
    <w:rsid w:val="00F1137F"/>
    <w:rsid w:val="00F11C25"/>
    <w:rsid w:val="00F11E54"/>
    <w:rsid w:val="00F11E76"/>
    <w:rsid w:val="00F11E9F"/>
    <w:rsid w:val="00F1208A"/>
    <w:rsid w:val="00F1262B"/>
    <w:rsid w:val="00F13C06"/>
    <w:rsid w:val="00F13E8A"/>
    <w:rsid w:val="00F1419B"/>
    <w:rsid w:val="00F14706"/>
    <w:rsid w:val="00F1471C"/>
    <w:rsid w:val="00F14773"/>
    <w:rsid w:val="00F1523D"/>
    <w:rsid w:val="00F15649"/>
    <w:rsid w:val="00F156F4"/>
    <w:rsid w:val="00F15F15"/>
    <w:rsid w:val="00F16389"/>
    <w:rsid w:val="00F16C30"/>
    <w:rsid w:val="00F1711E"/>
    <w:rsid w:val="00F173FA"/>
    <w:rsid w:val="00F1760D"/>
    <w:rsid w:val="00F177E7"/>
    <w:rsid w:val="00F20004"/>
    <w:rsid w:val="00F205AD"/>
    <w:rsid w:val="00F20C2E"/>
    <w:rsid w:val="00F212A0"/>
    <w:rsid w:val="00F214B4"/>
    <w:rsid w:val="00F21638"/>
    <w:rsid w:val="00F216A0"/>
    <w:rsid w:val="00F217EA"/>
    <w:rsid w:val="00F21A17"/>
    <w:rsid w:val="00F21C6D"/>
    <w:rsid w:val="00F21E27"/>
    <w:rsid w:val="00F22630"/>
    <w:rsid w:val="00F227D3"/>
    <w:rsid w:val="00F22B3A"/>
    <w:rsid w:val="00F22D90"/>
    <w:rsid w:val="00F22F2F"/>
    <w:rsid w:val="00F2396E"/>
    <w:rsid w:val="00F23CE2"/>
    <w:rsid w:val="00F23CFF"/>
    <w:rsid w:val="00F24248"/>
    <w:rsid w:val="00F249E6"/>
    <w:rsid w:val="00F25099"/>
    <w:rsid w:val="00F256DB"/>
    <w:rsid w:val="00F25A9D"/>
    <w:rsid w:val="00F25CC7"/>
    <w:rsid w:val="00F26337"/>
    <w:rsid w:val="00F2633E"/>
    <w:rsid w:val="00F2688B"/>
    <w:rsid w:val="00F2766D"/>
    <w:rsid w:val="00F278BF"/>
    <w:rsid w:val="00F3019D"/>
    <w:rsid w:val="00F3042D"/>
    <w:rsid w:val="00F30638"/>
    <w:rsid w:val="00F307BA"/>
    <w:rsid w:val="00F308D2"/>
    <w:rsid w:val="00F30A98"/>
    <w:rsid w:val="00F30B63"/>
    <w:rsid w:val="00F314E7"/>
    <w:rsid w:val="00F3195F"/>
    <w:rsid w:val="00F321F8"/>
    <w:rsid w:val="00F3237C"/>
    <w:rsid w:val="00F32A68"/>
    <w:rsid w:val="00F331B5"/>
    <w:rsid w:val="00F331BE"/>
    <w:rsid w:val="00F33240"/>
    <w:rsid w:val="00F335B5"/>
    <w:rsid w:val="00F33619"/>
    <w:rsid w:val="00F33B9C"/>
    <w:rsid w:val="00F33E2A"/>
    <w:rsid w:val="00F33E7E"/>
    <w:rsid w:val="00F342B7"/>
    <w:rsid w:val="00F344F1"/>
    <w:rsid w:val="00F34CD1"/>
    <w:rsid w:val="00F35F2E"/>
    <w:rsid w:val="00F35F66"/>
    <w:rsid w:val="00F36C36"/>
    <w:rsid w:val="00F36CD0"/>
    <w:rsid w:val="00F372CF"/>
    <w:rsid w:val="00F37C97"/>
    <w:rsid w:val="00F40597"/>
    <w:rsid w:val="00F40831"/>
    <w:rsid w:val="00F40E81"/>
    <w:rsid w:val="00F4184B"/>
    <w:rsid w:val="00F41931"/>
    <w:rsid w:val="00F41D25"/>
    <w:rsid w:val="00F41E40"/>
    <w:rsid w:val="00F41F01"/>
    <w:rsid w:val="00F421EF"/>
    <w:rsid w:val="00F423C3"/>
    <w:rsid w:val="00F42496"/>
    <w:rsid w:val="00F42996"/>
    <w:rsid w:val="00F437F2"/>
    <w:rsid w:val="00F43991"/>
    <w:rsid w:val="00F43FD4"/>
    <w:rsid w:val="00F44221"/>
    <w:rsid w:val="00F44342"/>
    <w:rsid w:val="00F44C76"/>
    <w:rsid w:val="00F44C95"/>
    <w:rsid w:val="00F44DA7"/>
    <w:rsid w:val="00F451F7"/>
    <w:rsid w:val="00F45A11"/>
    <w:rsid w:val="00F45F58"/>
    <w:rsid w:val="00F466D2"/>
    <w:rsid w:val="00F46C13"/>
    <w:rsid w:val="00F46D7A"/>
    <w:rsid w:val="00F46E4F"/>
    <w:rsid w:val="00F46E66"/>
    <w:rsid w:val="00F46EEA"/>
    <w:rsid w:val="00F47C39"/>
    <w:rsid w:val="00F47DA6"/>
    <w:rsid w:val="00F47DF5"/>
    <w:rsid w:val="00F50030"/>
    <w:rsid w:val="00F5046D"/>
    <w:rsid w:val="00F507D2"/>
    <w:rsid w:val="00F509BB"/>
    <w:rsid w:val="00F51059"/>
    <w:rsid w:val="00F5159D"/>
    <w:rsid w:val="00F51DDD"/>
    <w:rsid w:val="00F51EC6"/>
    <w:rsid w:val="00F52998"/>
    <w:rsid w:val="00F52D1E"/>
    <w:rsid w:val="00F530F9"/>
    <w:rsid w:val="00F53192"/>
    <w:rsid w:val="00F5345A"/>
    <w:rsid w:val="00F5422B"/>
    <w:rsid w:val="00F5428B"/>
    <w:rsid w:val="00F5467A"/>
    <w:rsid w:val="00F54A23"/>
    <w:rsid w:val="00F5532B"/>
    <w:rsid w:val="00F55AE1"/>
    <w:rsid w:val="00F564BE"/>
    <w:rsid w:val="00F56C1D"/>
    <w:rsid w:val="00F56DF5"/>
    <w:rsid w:val="00F56E96"/>
    <w:rsid w:val="00F57071"/>
    <w:rsid w:val="00F571B2"/>
    <w:rsid w:val="00F57F74"/>
    <w:rsid w:val="00F601BD"/>
    <w:rsid w:val="00F605FD"/>
    <w:rsid w:val="00F606A1"/>
    <w:rsid w:val="00F60CD2"/>
    <w:rsid w:val="00F60FFB"/>
    <w:rsid w:val="00F61875"/>
    <w:rsid w:val="00F61D59"/>
    <w:rsid w:val="00F6256C"/>
    <w:rsid w:val="00F6291C"/>
    <w:rsid w:val="00F62986"/>
    <w:rsid w:val="00F633C7"/>
    <w:rsid w:val="00F63447"/>
    <w:rsid w:val="00F63C3E"/>
    <w:rsid w:val="00F63D69"/>
    <w:rsid w:val="00F64150"/>
    <w:rsid w:val="00F64269"/>
    <w:rsid w:val="00F64907"/>
    <w:rsid w:val="00F64B05"/>
    <w:rsid w:val="00F64C64"/>
    <w:rsid w:val="00F64DB0"/>
    <w:rsid w:val="00F65212"/>
    <w:rsid w:val="00F65231"/>
    <w:rsid w:val="00F653DF"/>
    <w:rsid w:val="00F658CE"/>
    <w:rsid w:val="00F65972"/>
    <w:rsid w:val="00F65B81"/>
    <w:rsid w:val="00F65BE9"/>
    <w:rsid w:val="00F65F22"/>
    <w:rsid w:val="00F6604B"/>
    <w:rsid w:val="00F662E8"/>
    <w:rsid w:val="00F6640D"/>
    <w:rsid w:val="00F66FF6"/>
    <w:rsid w:val="00F671F9"/>
    <w:rsid w:val="00F67821"/>
    <w:rsid w:val="00F67B87"/>
    <w:rsid w:val="00F67B9A"/>
    <w:rsid w:val="00F67C37"/>
    <w:rsid w:val="00F67F88"/>
    <w:rsid w:val="00F706E4"/>
    <w:rsid w:val="00F70878"/>
    <w:rsid w:val="00F72362"/>
    <w:rsid w:val="00F72BF7"/>
    <w:rsid w:val="00F72C5F"/>
    <w:rsid w:val="00F72C8F"/>
    <w:rsid w:val="00F72C9E"/>
    <w:rsid w:val="00F72D16"/>
    <w:rsid w:val="00F7315A"/>
    <w:rsid w:val="00F7405B"/>
    <w:rsid w:val="00F74C2D"/>
    <w:rsid w:val="00F7566E"/>
    <w:rsid w:val="00F7567A"/>
    <w:rsid w:val="00F75AAA"/>
    <w:rsid w:val="00F75BBB"/>
    <w:rsid w:val="00F75E5F"/>
    <w:rsid w:val="00F769F3"/>
    <w:rsid w:val="00F76C8A"/>
    <w:rsid w:val="00F773C6"/>
    <w:rsid w:val="00F77A28"/>
    <w:rsid w:val="00F800E6"/>
    <w:rsid w:val="00F8035C"/>
    <w:rsid w:val="00F80BDE"/>
    <w:rsid w:val="00F80DBA"/>
    <w:rsid w:val="00F810BA"/>
    <w:rsid w:val="00F8116E"/>
    <w:rsid w:val="00F82BF1"/>
    <w:rsid w:val="00F82CBA"/>
    <w:rsid w:val="00F82FEE"/>
    <w:rsid w:val="00F83094"/>
    <w:rsid w:val="00F830B0"/>
    <w:rsid w:val="00F830DB"/>
    <w:rsid w:val="00F8349B"/>
    <w:rsid w:val="00F835F4"/>
    <w:rsid w:val="00F83E13"/>
    <w:rsid w:val="00F83EC7"/>
    <w:rsid w:val="00F8449F"/>
    <w:rsid w:val="00F84771"/>
    <w:rsid w:val="00F84809"/>
    <w:rsid w:val="00F84860"/>
    <w:rsid w:val="00F84B0E"/>
    <w:rsid w:val="00F84E0E"/>
    <w:rsid w:val="00F85420"/>
    <w:rsid w:val="00F85E98"/>
    <w:rsid w:val="00F86748"/>
    <w:rsid w:val="00F86A6A"/>
    <w:rsid w:val="00F86E25"/>
    <w:rsid w:val="00F86E77"/>
    <w:rsid w:val="00F8725C"/>
    <w:rsid w:val="00F874F3"/>
    <w:rsid w:val="00F87F2B"/>
    <w:rsid w:val="00F87F97"/>
    <w:rsid w:val="00F87FFD"/>
    <w:rsid w:val="00F90289"/>
    <w:rsid w:val="00F90E4D"/>
    <w:rsid w:val="00F91595"/>
    <w:rsid w:val="00F916C8"/>
    <w:rsid w:val="00F91B99"/>
    <w:rsid w:val="00F91DAC"/>
    <w:rsid w:val="00F91E34"/>
    <w:rsid w:val="00F92076"/>
    <w:rsid w:val="00F92194"/>
    <w:rsid w:val="00F925A0"/>
    <w:rsid w:val="00F92AC8"/>
    <w:rsid w:val="00F92D74"/>
    <w:rsid w:val="00F92E59"/>
    <w:rsid w:val="00F9317E"/>
    <w:rsid w:val="00F932B9"/>
    <w:rsid w:val="00F935FF"/>
    <w:rsid w:val="00F9362A"/>
    <w:rsid w:val="00F93998"/>
    <w:rsid w:val="00F93FA5"/>
    <w:rsid w:val="00F940B5"/>
    <w:rsid w:val="00F94342"/>
    <w:rsid w:val="00F94ECB"/>
    <w:rsid w:val="00F94F72"/>
    <w:rsid w:val="00F94F8B"/>
    <w:rsid w:val="00F95700"/>
    <w:rsid w:val="00F95E90"/>
    <w:rsid w:val="00F96123"/>
    <w:rsid w:val="00F96930"/>
    <w:rsid w:val="00F96B54"/>
    <w:rsid w:val="00F96DD8"/>
    <w:rsid w:val="00F97296"/>
    <w:rsid w:val="00F97796"/>
    <w:rsid w:val="00F978DA"/>
    <w:rsid w:val="00F97DEB"/>
    <w:rsid w:val="00FA04F1"/>
    <w:rsid w:val="00FA0581"/>
    <w:rsid w:val="00FA05F7"/>
    <w:rsid w:val="00FA09A0"/>
    <w:rsid w:val="00FA0B55"/>
    <w:rsid w:val="00FA0FE1"/>
    <w:rsid w:val="00FA11C6"/>
    <w:rsid w:val="00FA149E"/>
    <w:rsid w:val="00FA2302"/>
    <w:rsid w:val="00FA2BFC"/>
    <w:rsid w:val="00FA2C08"/>
    <w:rsid w:val="00FA2F87"/>
    <w:rsid w:val="00FA3332"/>
    <w:rsid w:val="00FA38CD"/>
    <w:rsid w:val="00FA39AE"/>
    <w:rsid w:val="00FA3B2F"/>
    <w:rsid w:val="00FA3F6A"/>
    <w:rsid w:val="00FA4028"/>
    <w:rsid w:val="00FA404C"/>
    <w:rsid w:val="00FA481B"/>
    <w:rsid w:val="00FA4994"/>
    <w:rsid w:val="00FA4A10"/>
    <w:rsid w:val="00FA524C"/>
    <w:rsid w:val="00FA6EEB"/>
    <w:rsid w:val="00FA71CC"/>
    <w:rsid w:val="00FA7289"/>
    <w:rsid w:val="00FA7350"/>
    <w:rsid w:val="00FA751C"/>
    <w:rsid w:val="00FA7AFE"/>
    <w:rsid w:val="00FAA5A5"/>
    <w:rsid w:val="00FB07C1"/>
    <w:rsid w:val="00FB0BD9"/>
    <w:rsid w:val="00FB0E4C"/>
    <w:rsid w:val="00FB0F05"/>
    <w:rsid w:val="00FB0FF9"/>
    <w:rsid w:val="00FB10BD"/>
    <w:rsid w:val="00FB13D3"/>
    <w:rsid w:val="00FB16D1"/>
    <w:rsid w:val="00FB2010"/>
    <w:rsid w:val="00FB27F5"/>
    <w:rsid w:val="00FB287A"/>
    <w:rsid w:val="00FB295F"/>
    <w:rsid w:val="00FB301F"/>
    <w:rsid w:val="00FB3439"/>
    <w:rsid w:val="00FB3466"/>
    <w:rsid w:val="00FB476C"/>
    <w:rsid w:val="00FB48B1"/>
    <w:rsid w:val="00FB4B7D"/>
    <w:rsid w:val="00FB4EF3"/>
    <w:rsid w:val="00FB5AEA"/>
    <w:rsid w:val="00FB5AFE"/>
    <w:rsid w:val="00FB62B5"/>
    <w:rsid w:val="00FB6459"/>
    <w:rsid w:val="00FB64B7"/>
    <w:rsid w:val="00FB6C30"/>
    <w:rsid w:val="00FB73BB"/>
    <w:rsid w:val="00FB7C4F"/>
    <w:rsid w:val="00FB7E3C"/>
    <w:rsid w:val="00FB7FC1"/>
    <w:rsid w:val="00FC020E"/>
    <w:rsid w:val="00FC0254"/>
    <w:rsid w:val="00FC08A0"/>
    <w:rsid w:val="00FC08C1"/>
    <w:rsid w:val="00FC09FA"/>
    <w:rsid w:val="00FC0A43"/>
    <w:rsid w:val="00FC0B47"/>
    <w:rsid w:val="00FC10EE"/>
    <w:rsid w:val="00FC1C7D"/>
    <w:rsid w:val="00FC1F4B"/>
    <w:rsid w:val="00FC36E7"/>
    <w:rsid w:val="00FC3804"/>
    <w:rsid w:val="00FC3883"/>
    <w:rsid w:val="00FC3951"/>
    <w:rsid w:val="00FC3B70"/>
    <w:rsid w:val="00FC3F77"/>
    <w:rsid w:val="00FC43BA"/>
    <w:rsid w:val="00FC462C"/>
    <w:rsid w:val="00FC47A7"/>
    <w:rsid w:val="00FC482A"/>
    <w:rsid w:val="00FC490F"/>
    <w:rsid w:val="00FC4B2D"/>
    <w:rsid w:val="00FC4D06"/>
    <w:rsid w:val="00FC4F71"/>
    <w:rsid w:val="00FC52B9"/>
    <w:rsid w:val="00FC58EB"/>
    <w:rsid w:val="00FC5F59"/>
    <w:rsid w:val="00FC63E4"/>
    <w:rsid w:val="00FC664C"/>
    <w:rsid w:val="00FC6ACA"/>
    <w:rsid w:val="00FC6BE9"/>
    <w:rsid w:val="00FC6D79"/>
    <w:rsid w:val="00FC6DDB"/>
    <w:rsid w:val="00FC6FA3"/>
    <w:rsid w:val="00FC6FF0"/>
    <w:rsid w:val="00FC74A6"/>
    <w:rsid w:val="00FC7B5A"/>
    <w:rsid w:val="00FD01BF"/>
    <w:rsid w:val="00FD08C0"/>
    <w:rsid w:val="00FD0A03"/>
    <w:rsid w:val="00FD106D"/>
    <w:rsid w:val="00FD1801"/>
    <w:rsid w:val="00FD1E53"/>
    <w:rsid w:val="00FD210A"/>
    <w:rsid w:val="00FD2648"/>
    <w:rsid w:val="00FD2CC3"/>
    <w:rsid w:val="00FD35C1"/>
    <w:rsid w:val="00FD36AC"/>
    <w:rsid w:val="00FD3960"/>
    <w:rsid w:val="00FD3FCA"/>
    <w:rsid w:val="00FD40E6"/>
    <w:rsid w:val="00FD4F11"/>
    <w:rsid w:val="00FD4FAF"/>
    <w:rsid w:val="00FD53FD"/>
    <w:rsid w:val="00FD547D"/>
    <w:rsid w:val="00FD57D5"/>
    <w:rsid w:val="00FD5BE7"/>
    <w:rsid w:val="00FD5FB9"/>
    <w:rsid w:val="00FD607C"/>
    <w:rsid w:val="00FD6338"/>
    <w:rsid w:val="00FD63FC"/>
    <w:rsid w:val="00FD668D"/>
    <w:rsid w:val="00FD7152"/>
    <w:rsid w:val="00FD728B"/>
    <w:rsid w:val="00FD72A3"/>
    <w:rsid w:val="00FD7318"/>
    <w:rsid w:val="00FD7721"/>
    <w:rsid w:val="00FD79E1"/>
    <w:rsid w:val="00FD7B2A"/>
    <w:rsid w:val="00FD7D39"/>
    <w:rsid w:val="00FD7DF4"/>
    <w:rsid w:val="00FD7F81"/>
    <w:rsid w:val="00FE061F"/>
    <w:rsid w:val="00FE0753"/>
    <w:rsid w:val="00FE089C"/>
    <w:rsid w:val="00FE09AD"/>
    <w:rsid w:val="00FE0A1D"/>
    <w:rsid w:val="00FE1573"/>
    <w:rsid w:val="00FE1934"/>
    <w:rsid w:val="00FE1E68"/>
    <w:rsid w:val="00FE2285"/>
    <w:rsid w:val="00FE3103"/>
    <w:rsid w:val="00FE3380"/>
    <w:rsid w:val="00FE365F"/>
    <w:rsid w:val="00FE3B6B"/>
    <w:rsid w:val="00FE3BA4"/>
    <w:rsid w:val="00FE3E35"/>
    <w:rsid w:val="00FE4007"/>
    <w:rsid w:val="00FE40B1"/>
    <w:rsid w:val="00FE44F3"/>
    <w:rsid w:val="00FE483E"/>
    <w:rsid w:val="00FE4A2D"/>
    <w:rsid w:val="00FE50B6"/>
    <w:rsid w:val="00FE5963"/>
    <w:rsid w:val="00FE5A1D"/>
    <w:rsid w:val="00FE5A6D"/>
    <w:rsid w:val="00FE5EE3"/>
    <w:rsid w:val="00FE640A"/>
    <w:rsid w:val="00FE6A9D"/>
    <w:rsid w:val="00FE723E"/>
    <w:rsid w:val="00FE7337"/>
    <w:rsid w:val="00FE7828"/>
    <w:rsid w:val="00FE7866"/>
    <w:rsid w:val="00FE7A8F"/>
    <w:rsid w:val="00FE7B9D"/>
    <w:rsid w:val="00FF05A8"/>
    <w:rsid w:val="00FF08B4"/>
    <w:rsid w:val="00FF093F"/>
    <w:rsid w:val="00FF09EC"/>
    <w:rsid w:val="00FF0B0B"/>
    <w:rsid w:val="00FF0B64"/>
    <w:rsid w:val="00FF0CFC"/>
    <w:rsid w:val="00FF1759"/>
    <w:rsid w:val="00FF17E0"/>
    <w:rsid w:val="00FF1A99"/>
    <w:rsid w:val="00FF1D72"/>
    <w:rsid w:val="00FF2195"/>
    <w:rsid w:val="00FF275C"/>
    <w:rsid w:val="00FF2D7D"/>
    <w:rsid w:val="00FF3758"/>
    <w:rsid w:val="00FF3C9D"/>
    <w:rsid w:val="00FF4707"/>
    <w:rsid w:val="00FF4941"/>
    <w:rsid w:val="00FF4E17"/>
    <w:rsid w:val="00FF5808"/>
    <w:rsid w:val="00FF5FBC"/>
    <w:rsid w:val="00FF6570"/>
    <w:rsid w:val="00FF6940"/>
    <w:rsid w:val="00FF6A30"/>
    <w:rsid w:val="00FF7052"/>
    <w:rsid w:val="015226F5"/>
    <w:rsid w:val="016DF8D0"/>
    <w:rsid w:val="01998EE9"/>
    <w:rsid w:val="01CEE2AB"/>
    <w:rsid w:val="02A481C2"/>
    <w:rsid w:val="02BC69CC"/>
    <w:rsid w:val="02BE0622"/>
    <w:rsid w:val="02CE1373"/>
    <w:rsid w:val="02D177FD"/>
    <w:rsid w:val="03096756"/>
    <w:rsid w:val="03101D53"/>
    <w:rsid w:val="03319A1F"/>
    <w:rsid w:val="0342CCA6"/>
    <w:rsid w:val="03B7BEBF"/>
    <w:rsid w:val="04B145B5"/>
    <w:rsid w:val="04D1668F"/>
    <w:rsid w:val="0534FBA1"/>
    <w:rsid w:val="05AF965C"/>
    <w:rsid w:val="05C636FB"/>
    <w:rsid w:val="05CEDEA7"/>
    <w:rsid w:val="05D4CD85"/>
    <w:rsid w:val="061CEEDF"/>
    <w:rsid w:val="061D1E73"/>
    <w:rsid w:val="07C76587"/>
    <w:rsid w:val="07D9C0A4"/>
    <w:rsid w:val="07DEDA8E"/>
    <w:rsid w:val="0810073F"/>
    <w:rsid w:val="081EBFCA"/>
    <w:rsid w:val="084CF3FF"/>
    <w:rsid w:val="0879608E"/>
    <w:rsid w:val="08EB0F29"/>
    <w:rsid w:val="09007D63"/>
    <w:rsid w:val="0959E1DE"/>
    <w:rsid w:val="0A45EA1C"/>
    <w:rsid w:val="0A486F0D"/>
    <w:rsid w:val="0A73B0EC"/>
    <w:rsid w:val="0A81436D"/>
    <w:rsid w:val="0AA8888E"/>
    <w:rsid w:val="0AA8D789"/>
    <w:rsid w:val="0AB25907"/>
    <w:rsid w:val="0AD76739"/>
    <w:rsid w:val="0B1AD596"/>
    <w:rsid w:val="0B635E0B"/>
    <w:rsid w:val="0B83CE02"/>
    <w:rsid w:val="0B8E3791"/>
    <w:rsid w:val="0B8F9F4E"/>
    <w:rsid w:val="0C2563A5"/>
    <w:rsid w:val="0C73379A"/>
    <w:rsid w:val="0CCD964F"/>
    <w:rsid w:val="0CDB2F68"/>
    <w:rsid w:val="0CFCD245"/>
    <w:rsid w:val="0D1625BD"/>
    <w:rsid w:val="0D6DDAC2"/>
    <w:rsid w:val="0D961192"/>
    <w:rsid w:val="0E041EBD"/>
    <w:rsid w:val="0E0F07FB"/>
    <w:rsid w:val="0E22E7AA"/>
    <w:rsid w:val="0E353F8C"/>
    <w:rsid w:val="0E3908CA"/>
    <w:rsid w:val="0E7064B1"/>
    <w:rsid w:val="0E784FAC"/>
    <w:rsid w:val="0EAC85A4"/>
    <w:rsid w:val="0EB96D8E"/>
    <w:rsid w:val="0EC4FA79"/>
    <w:rsid w:val="0EDB3DDE"/>
    <w:rsid w:val="0F323C89"/>
    <w:rsid w:val="0F961E79"/>
    <w:rsid w:val="0FC5ECE6"/>
    <w:rsid w:val="0FFF9FD0"/>
    <w:rsid w:val="109E9B4F"/>
    <w:rsid w:val="10D86AE2"/>
    <w:rsid w:val="10F6BC90"/>
    <w:rsid w:val="1100CEA9"/>
    <w:rsid w:val="111B60D4"/>
    <w:rsid w:val="11B3205F"/>
    <w:rsid w:val="11F8398A"/>
    <w:rsid w:val="126535CD"/>
    <w:rsid w:val="126C6677"/>
    <w:rsid w:val="128B1B93"/>
    <w:rsid w:val="12A327C1"/>
    <w:rsid w:val="1366DA93"/>
    <w:rsid w:val="13EC3D0D"/>
    <w:rsid w:val="1455C7EE"/>
    <w:rsid w:val="148CD58D"/>
    <w:rsid w:val="1491C090"/>
    <w:rsid w:val="14B75A28"/>
    <w:rsid w:val="14FA47FC"/>
    <w:rsid w:val="1560F347"/>
    <w:rsid w:val="15F6FFAD"/>
    <w:rsid w:val="160BD658"/>
    <w:rsid w:val="1641EFA0"/>
    <w:rsid w:val="16460FA8"/>
    <w:rsid w:val="1646DD36"/>
    <w:rsid w:val="165E49C3"/>
    <w:rsid w:val="16A4065F"/>
    <w:rsid w:val="16BEB2E9"/>
    <w:rsid w:val="16C107A3"/>
    <w:rsid w:val="16C23233"/>
    <w:rsid w:val="16D2B219"/>
    <w:rsid w:val="16E86A72"/>
    <w:rsid w:val="175BCF43"/>
    <w:rsid w:val="17A18DCA"/>
    <w:rsid w:val="17B3C26F"/>
    <w:rsid w:val="17B5ACB3"/>
    <w:rsid w:val="17BFD247"/>
    <w:rsid w:val="17D73DC2"/>
    <w:rsid w:val="17DBC3BD"/>
    <w:rsid w:val="17FABB48"/>
    <w:rsid w:val="184927E0"/>
    <w:rsid w:val="186F2D73"/>
    <w:rsid w:val="1885CE6A"/>
    <w:rsid w:val="18BB9D35"/>
    <w:rsid w:val="18D53021"/>
    <w:rsid w:val="191C66C4"/>
    <w:rsid w:val="192A7F97"/>
    <w:rsid w:val="19457D22"/>
    <w:rsid w:val="195D0F01"/>
    <w:rsid w:val="199D7027"/>
    <w:rsid w:val="19C39270"/>
    <w:rsid w:val="19DF25C8"/>
    <w:rsid w:val="19FA7EBF"/>
    <w:rsid w:val="1A779853"/>
    <w:rsid w:val="1A8BF520"/>
    <w:rsid w:val="1AA6079B"/>
    <w:rsid w:val="1AE5C8F3"/>
    <w:rsid w:val="1B1C8A69"/>
    <w:rsid w:val="1B250CDD"/>
    <w:rsid w:val="1B2AB654"/>
    <w:rsid w:val="1B4D50F5"/>
    <w:rsid w:val="1B63EE73"/>
    <w:rsid w:val="1B646E55"/>
    <w:rsid w:val="1BEF7515"/>
    <w:rsid w:val="1BFBCCE1"/>
    <w:rsid w:val="1C2571B5"/>
    <w:rsid w:val="1C56CE83"/>
    <w:rsid w:val="1C8F80E3"/>
    <w:rsid w:val="1CCEFD94"/>
    <w:rsid w:val="1CD05FFF"/>
    <w:rsid w:val="1CD60650"/>
    <w:rsid w:val="1CDE2EA6"/>
    <w:rsid w:val="1CED2B63"/>
    <w:rsid w:val="1CF4C74D"/>
    <w:rsid w:val="1CF57EAA"/>
    <w:rsid w:val="1D0FA134"/>
    <w:rsid w:val="1D2ECC66"/>
    <w:rsid w:val="1D7D1E57"/>
    <w:rsid w:val="1D9DA83F"/>
    <w:rsid w:val="1DE4C85D"/>
    <w:rsid w:val="1E992DA9"/>
    <w:rsid w:val="1F00CC1A"/>
    <w:rsid w:val="1F16C114"/>
    <w:rsid w:val="1F2728BF"/>
    <w:rsid w:val="1F37257F"/>
    <w:rsid w:val="1F4F09E4"/>
    <w:rsid w:val="1FAA00DF"/>
    <w:rsid w:val="1FAED6B8"/>
    <w:rsid w:val="1FE65475"/>
    <w:rsid w:val="20047B71"/>
    <w:rsid w:val="20C09B56"/>
    <w:rsid w:val="20C43F9A"/>
    <w:rsid w:val="20EEF4E7"/>
    <w:rsid w:val="20FB1A0B"/>
    <w:rsid w:val="21384075"/>
    <w:rsid w:val="213F18DA"/>
    <w:rsid w:val="2167D2E0"/>
    <w:rsid w:val="21EF252C"/>
    <w:rsid w:val="228CFA10"/>
    <w:rsid w:val="22C866A1"/>
    <w:rsid w:val="22D73956"/>
    <w:rsid w:val="22F0049B"/>
    <w:rsid w:val="233544E7"/>
    <w:rsid w:val="234D9451"/>
    <w:rsid w:val="236D2CE3"/>
    <w:rsid w:val="23D698DE"/>
    <w:rsid w:val="2443BDC0"/>
    <w:rsid w:val="244AAFD1"/>
    <w:rsid w:val="24556B27"/>
    <w:rsid w:val="245CF9DB"/>
    <w:rsid w:val="24C9BCF8"/>
    <w:rsid w:val="24D46039"/>
    <w:rsid w:val="25160804"/>
    <w:rsid w:val="25209540"/>
    <w:rsid w:val="256B71E8"/>
    <w:rsid w:val="257ED99A"/>
    <w:rsid w:val="25EDD73E"/>
    <w:rsid w:val="26001A06"/>
    <w:rsid w:val="261EDCA1"/>
    <w:rsid w:val="26205C3E"/>
    <w:rsid w:val="2630AAD4"/>
    <w:rsid w:val="26ADAC98"/>
    <w:rsid w:val="26C9208F"/>
    <w:rsid w:val="26DDB119"/>
    <w:rsid w:val="26F91166"/>
    <w:rsid w:val="271225F8"/>
    <w:rsid w:val="271646A4"/>
    <w:rsid w:val="272858FD"/>
    <w:rsid w:val="27371AF9"/>
    <w:rsid w:val="27612BEE"/>
    <w:rsid w:val="2793CD3C"/>
    <w:rsid w:val="27C852A2"/>
    <w:rsid w:val="27D3FB91"/>
    <w:rsid w:val="28312CAF"/>
    <w:rsid w:val="283ABA94"/>
    <w:rsid w:val="28826530"/>
    <w:rsid w:val="28FDA3BA"/>
    <w:rsid w:val="29271722"/>
    <w:rsid w:val="2937BAC8"/>
    <w:rsid w:val="2979E38C"/>
    <w:rsid w:val="29AEF899"/>
    <w:rsid w:val="29C0A3EA"/>
    <w:rsid w:val="29D81BE8"/>
    <w:rsid w:val="29FD8550"/>
    <w:rsid w:val="2A0591D0"/>
    <w:rsid w:val="2A46EB65"/>
    <w:rsid w:val="2A84FBCB"/>
    <w:rsid w:val="2A9CE54C"/>
    <w:rsid w:val="2AC65B47"/>
    <w:rsid w:val="2B99E98B"/>
    <w:rsid w:val="2C4BEC3C"/>
    <w:rsid w:val="2C4F96C3"/>
    <w:rsid w:val="2C5869CF"/>
    <w:rsid w:val="2CA03458"/>
    <w:rsid w:val="2CC662BB"/>
    <w:rsid w:val="2CDEF733"/>
    <w:rsid w:val="2CEFBFE4"/>
    <w:rsid w:val="2D11A57A"/>
    <w:rsid w:val="2D15D455"/>
    <w:rsid w:val="2D5DC222"/>
    <w:rsid w:val="2D644A70"/>
    <w:rsid w:val="2D8D28D8"/>
    <w:rsid w:val="2DD06D72"/>
    <w:rsid w:val="2DD5CE1A"/>
    <w:rsid w:val="2E3B84A2"/>
    <w:rsid w:val="2E48AF02"/>
    <w:rsid w:val="2E4C42EF"/>
    <w:rsid w:val="2E6DDCB7"/>
    <w:rsid w:val="2EFE7050"/>
    <w:rsid w:val="2F14945B"/>
    <w:rsid w:val="2F628980"/>
    <w:rsid w:val="2FBC709B"/>
    <w:rsid w:val="2FCB5BC3"/>
    <w:rsid w:val="2FDD1347"/>
    <w:rsid w:val="30290E6F"/>
    <w:rsid w:val="302E683D"/>
    <w:rsid w:val="30546863"/>
    <w:rsid w:val="3059CEF6"/>
    <w:rsid w:val="306B2568"/>
    <w:rsid w:val="3096DA08"/>
    <w:rsid w:val="30A07FAF"/>
    <w:rsid w:val="30A129F5"/>
    <w:rsid w:val="3109D8D5"/>
    <w:rsid w:val="3122E2EE"/>
    <w:rsid w:val="315B18CC"/>
    <w:rsid w:val="315D978A"/>
    <w:rsid w:val="316F1C1C"/>
    <w:rsid w:val="319E66DB"/>
    <w:rsid w:val="31E34DDC"/>
    <w:rsid w:val="3229B564"/>
    <w:rsid w:val="32501BDC"/>
    <w:rsid w:val="326F2E0C"/>
    <w:rsid w:val="3294097A"/>
    <w:rsid w:val="32A093E6"/>
    <w:rsid w:val="32C4B03F"/>
    <w:rsid w:val="32DA73C0"/>
    <w:rsid w:val="33197D99"/>
    <w:rsid w:val="33276A64"/>
    <w:rsid w:val="33383175"/>
    <w:rsid w:val="337D4863"/>
    <w:rsid w:val="339FB1A9"/>
    <w:rsid w:val="33B19C0C"/>
    <w:rsid w:val="33CBA05F"/>
    <w:rsid w:val="34068494"/>
    <w:rsid w:val="34525860"/>
    <w:rsid w:val="347F1AC9"/>
    <w:rsid w:val="348198C9"/>
    <w:rsid w:val="34C0BF6F"/>
    <w:rsid w:val="34E50BC1"/>
    <w:rsid w:val="3544C841"/>
    <w:rsid w:val="35E31B61"/>
    <w:rsid w:val="361F8D52"/>
    <w:rsid w:val="3643AB30"/>
    <w:rsid w:val="3650694E"/>
    <w:rsid w:val="37309E08"/>
    <w:rsid w:val="3763FD6C"/>
    <w:rsid w:val="376AC746"/>
    <w:rsid w:val="379887E1"/>
    <w:rsid w:val="37F5FF9F"/>
    <w:rsid w:val="38225AF2"/>
    <w:rsid w:val="3839B54D"/>
    <w:rsid w:val="38633A1A"/>
    <w:rsid w:val="3865972B"/>
    <w:rsid w:val="38BB2031"/>
    <w:rsid w:val="38C25F4E"/>
    <w:rsid w:val="3919D03D"/>
    <w:rsid w:val="392974F3"/>
    <w:rsid w:val="3989F76F"/>
    <w:rsid w:val="3A3196D4"/>
    <w:rsid w:val="3A486151"/>
    <w:rsid w:val="3ADE8E68"/>
    <w:rsid w:val="3B133EC2"/>
    <w:rsid w:val="3B1677A2"/>
    <w:rsid w:val="3B1741EB"/>
    <w:rsid w:val="3B874467"/>
    <w:rsid w:val="3B890172"/>
    <w:rsid w:val="3BA0A5F2"/>
    <w:rsid w:val="3BA6B80F"/>
    <w:rsid w:val="3BBD5565"/>
    <w:rsid w:val="3BD47E27"/>
    <w:rsid w:val="3C053A25"/>
    <w:rsid w:val="3C404DDD"/>
    <w:rsid w:val="3C4C752B"/>
    <w:rsid w:val="3C7D2D16"/>
    <w:rsid w:val="3C8CA3A7"/>
    <w:rsid w:val="3CBD8E8F"/>
    <w:rsid w:val="3DAD2010"/>
    <w:rsid w:val="3DB3723A"/>
    <w:rsid w:val="3DECFCA1"/>
    <w:rsid w:val="3DFA4960"/>
    <w:rsid w:val="3E2804DF"/>
    <w:rsid w:val="3E5CC576"/>
    <w:rsid w:val="3E6A630D"/>
    <w:rsid w:val="3E6A6C22"/>
    <w:rsid w:val="3EB6066F"/>
    <w:rsid w:val="3F248948"/>
    <w:rsid w:val="3F2F6815"/>
    <w:rsid w:val="4007A7E1"/>
    <w:rsid w:val="4095BDED"/>
    <w:rsid w:val="40BD9A09"/>
    <w:rsid w:val="40FA26FA"/>
    <w:rsid w:val="40FD2DFF"/>
    <w:rsid w:val="412CF0BB"/>
    <w:rsid w:val="4140F5FE"/>
    <w:rsid w:val="416D854D"/>
    <w:rsid w:val="416D94FD"/>
    <w:rsid w:val="41757EA1"/>
    <w:rsid w:val="419E9DCE"/>
    <w:rsid w:val="41B7B309"/>
    <w:rsid w:val="41EB5506"/>
    <w:rsid w:val="42037F9A"/>
    <w:rsid w:val="421557C9"/>
    <w:rsid w:val="421BC6A2"/>
    <w:rsid w:val="422B9520"/>
    <w:rsid w:val="42A62279"/>
    <w:rsid w:val="4309655E"/>
    <w:rsid w:val="432D43D7"/>
    <w:rsid w:val="43984A6F"/>
    <w:rsid w:val="43A945F1"/>
    <w:rsid w:val="43E69044"/>
    <w:rsid w:val="43EC3955"/>
    <w:rsid w:val="447F5662"/>
    <w:rsid w:val="4482827D"/>
    <w:rsid w:val="4497793A"/>
    <w:rsid w:val="44AD6815"/>
    <w:rsid w:val="44DB786F"/>
    <w:rsid w:val="45355BAF"/>
    <w:rsid w:val="4571A53B"/>
    <w:rsid w:val="45A14134"/>
    <w:rsid w:val="46094B12"/>
    <w:rsid w:val="464146C7"/>
    <w:rsid w:val="464EAEFE"/>
    <w:rsid w:val="46B42065"/>
    <w:rsid w:val="47381F30"/>
    <w:rsid w:val="4761011F"/>
    <w:rsid w:val="478B05A7"/>
    <w:rsid w:val="4796C8CE"/>
    <w:rsid w:val="47C7C7AB"/>
    <w:rsid w:val="47CAE078"/>
    <w:rsid w:val="47F59655"/>
    <w:rsid w:val="483F5C03"/>
    <w:rsid w:val="48577CAE"/>
    <w:rsid w:val="48A070E2"/>
    <w:rsid w:val="48B45F6A"/>
    <w:rsid w:val="4931CD84"/>
    <w:rsid w:val="4933A46F"/>
    <w:rsid w:val="4937ED18"/>
    <w:rsid w:val="4994987C"/>
    <w:rsid w:val="49A6B5C2"/>
    <w:rsid w:val="49E977F5"/>
    <w:rsid w:val="4A03EE6C"/>
    <w:rsid w:val="4A2FF402"/>
    <w:rsid w:val="4A6EA94D"/>
    <w:rsid w:val="4AB4C6D9"/>
    <w:rsid w:val="4AE54BCB"/>
    <w:rsid w:val="4B7EFA54"/>
    <w:rsid w:val="4B9E9410"/>
    <w:rsid w:val="4BA7D714"/>
    <w:rsid w:val="4BAB822B"/>
    <w:rsid w:val="4BEA095B"/>
    <w:rsid w:val="4C0ABABD"/>
    <w:rsid w:val="4C11B73D"/>
    <w:rsid w:val="4C1E04B2"/>
    <w:rsid w:val="4C20A893"/>
    <w:rsid w:val="4C2C86FC"/>
    <w:rsid w:val="4C3B505C"/>
    <w:rsid w:val="4C4FA9CE"/>
    <w:rsid w:val="4C80147A"/>
    <w:rsid w:val="4CA54324"/>
    <w:rsid w:val="4D3A71BE"/>
    <w:rsid w:val="4D412E4E"/>
    <w:rsid w:val="4DB7D1E5"/>
    <w:rsid w:val="4DCBCEE2"/>
    <w:rsid w:val="4DFA93A8"/>
    <w:rsid w:val="4E6A00A7"/>
    <w:rsid w:val="4E938FD1"/>
    <w:rsid w:val="4EBAC26D"/>
    <w:rsid w:val="4F09BBD7"/>
    <w:rsid w:val="4F16701D"/>
    <w:rsid w:val="4F1856D7"/>
    <w:rsid w:val="4F2A9670"/>
    <w:rsid w:val="4F49EFAB"/>
    <w:rsid w:val="4F56D32E"/>
    <w:rsid w:val="4FA08618"/>
    <w:rsid w:val="4FEB12A0"/>
    <w:rsid w:val="4FEC1B3A"/>
    <w:rsid w:val="4FFB28F6"/>
    <w:rsid w:val="4FFD0D21"/>
    <w:rsid w:val="502A167A"/>
    <w:rsid w:val="5070FD44"/>
    <w:rsid w:val="50815071"/>
    <w:rsid w:val="50B82B12"/>
    <w:rsid w:val="50C78598"/>
    <w:rsid w:val="5112A025"/>
    <w:rsid w:val="517C2269"/>
    <w:rsid w:val="51A09865"/>
    <w:rsid w:val="5209B23E"/>
    <w:rsid w:val="525EDC21"/>
    <w:rsid w:val="527B27F6"/>
    <w:rsid w:val="52A300BF"/>
    <w:rsid w:val="52F3AE64"/>
    <w:rsid w:val="530F88F9"/>
    <w:rsid w:val="533F9AD7"/>
    <w:rsid w:val="53582EF4"/>
    <w:rsid w:val="536ACE0D"/>
    <w:rsid w:val="537CA6AA"/>
    <w:rsid w:val="53B13459"/>
    <w:rsid w:val="53E4A828"/>
    <w:rsid w:val="5429859D"/>
    <w:rsid w:val="54A2312C"/>
    <w:rsid w:val="54AA84FA"/>
    <w:rsid w:val="5506186F"/>
    <w:rsid w:val="555A3DFD"/>
    <w:rsid w:val="55D20C66"/>
    <w:rsid w:val="55EB1DF1"/>
    <w:rsid w:val="56105F14"/>
    <w:rsid w:val="565CB49D"/>
    <w:rsid w:val="565FCA15"/>
    <w:rsid w:val="5662653D"/>
    <w:rsid w:val="566432FA"/>
    <w:rsid w:val="566CC04E"/>
    <w:rsid w:val="56F64249"/>
    <w:rsid w:val="5819EC73"/>
    <w:rsid w:val="5827A2D2"/>
    <w:rsid w:val="5882387E"/>
    <w:rsid w:val="588E121B"/>
    <w:rsid w:val="58D98DA8"/>
    <w:rsid w:val="58E6A82F"/>
    <w:rsid w:val="58EC7C5B"/>
    <w:rsid w:val="5925F33A"/>
    <w:rsid w:val="59849DC7"/>
    <w:rsid w:val="59FCE7AB"/>
    <w:rsid w:val="5A15530B"/>
    <w:rsid w:val="5A82E8AE"/>
    <w:rsid w:val="5AEED56C"/>
    <w:rsid w:val="5B273E27"/>
    <w:rsid w:val="5B36E1CC"/>
    <w:rsid w:val="5B510416"/>
    <w:rsid w:val="5B5FFA2D"/>
    <w:rsid w:val="5B63BB5A"/>
    <w:rsid w:val="5B7758F0"/>
    <w:rsid w:val="5C2476A4"/>
    <w:rsid w:val="5CC63688"/>
    <w:rsid w:val="5D0B2A63"/>
    <w:rsid w:val="5D41AB44"/>
    <w:rsid w:val="5DA10604"/>
    <w:rsid w:val="5DB894C7"/>
    <w:rsid w:val="5E0E9ED4"/>
    <w:rsid w:val="5EAB8BD3"/>
    <w:rsid w:val="5EE28726"/>
    <w:rsid w:val="5F09343A"/>
    <w:rsid w:val="5F16055F"/>
    <w:rsid w:val="5F3AAF49"/>
    <w:rsid w:val="5F96DBA5"/>
    <w:rsid w:val="5F9824B0"/>
    <w:rsid w:val="5F9AF25D"/>
    <w:rsid w:val="5FB77C92"/>
    <w:rsid w:val="5FC1C92E"/>
    <w:rsid w:val="5FE6D686"/>
    <w:rsid w:val="6022AA06"/>
    <w:rsid w:val="6066AD2C"/>
    <w:rsid w:val="6087BDF7"/>
    <w:rsid w:val="609CC86B"/>
    <w:rsid w:val="60C1CECA"/>
    <w:rsid w:val="61465252"/>
    <w:rsid w:val="61A4B040"/>
    <w:rsid w:val="61DA3C47"/>
    <w:rsid w:val="61EB1C55"/>
    <w:rsid w:val="625F702B"/>
    <w:rsid w:val="626B1B5C"/>
    <w:rsid w:val="627FCCDE"/>
    <w:rsid w:val="62AB60E8"/>
    <w:rsid w:val="6304D1B6"/>
    <w:rsid w:val="631B23CF"/>
    <w:rsid w:val="63ABB341"/>
    <w:rsid w:val="63C235FE"/>
    <w:rsid w:val="64163BD5"/>
    <w:rsid w:val="642447B7"/>
    <w:rsid w:val="643E1536"/>
    <w:rsid w:val="645769D3"/>
    <w:rsid w:val="646DFE4B"/>
    <w:rsid w:val="6487E16E"/>
    <w:rsid w:val="64CC45C9"/>
    <w:rsid w:val="6503975A"/>
    <w:rsid w:val="6518F5C4"/>
    <w:rsid w:val="65676DD0"/>
    <w:rsid w:val="65795509"/>
    <w:rsid w:val="657BA61C"/>
    <w:rsid w:val="658D9B1D"/>
    <w:rsid w:val="65B20C36"/>
    <w:rsid w:val="65C960AC"/>
    <w:rsid w:val="65D95CC4"/>
    <w:rsid w:val="65E0CC4A"/>
    <w:rsid w:val="65F79938"/>
    <w:rsid w:val="6616B4A4"/>
    <w:rsid w:val="6619E8EE"/>
    <w:rsid w:val="663206D1"/>
    <w:rsid w:val="66836385"/>
    <w:rsid w:val="66CBA687"/>
    <w:rsid w:val="66CCCADF"/>
    <w:rsid w:val="67223F8C"/>
    <w:rsid w:val="672275D3"/>
    <w:rsid w:val="672C9676"/>
    <w:rsid w:val="67334BC6"/>
    <w:rsid w:val="676A4B58"/>
    <w:rsid w:val="677174C2"/>
    <w:rsid w:val="67BDCCD2"/>
    <w:rsid w:val="67C70E19"/>
    <w:rsid w:val="67C8AC33"/>
    <w:rsid w:val="67FB249E"/>
    <w:rsid w:val="68050788"/>
    <w:rsid w:val="68320E19"/>
    <w:rsid w:val="6869FC06"/>
    <w:rsid w:val="6899C6A7"/>
    <w:rsid w:val="68DB6F06"/>
    <w:rsid w:val="68DF9779"/>
    <w:rsid w:val="68F052C2"/>
    <w:rsid w:val="68F0972C"/>
    <w:rsid w:val="68F43130"/>
    <w:rsid w:val="68F7D063"/>
    <w:rsid w:val="690B3F2C"/>
    <w:rsid w:val="6928B615"/>
    <w:rsid w:val="6949EEEF"/>
    <w:rsid w:val="69D46782"/>
    <w:rsid w:val="6A243EA7"/>
    <w:rsid w:val="6A7209F4"/>
    <w:rsid w:val="6A72501B"/>
    <w:rsid w:val="6A73CF61"/>
    <w:rsid w:val="6A9027FC"/>
    <w:rsid w:val="6B294E43"/>
    <w:rsid w:val="6B45A43B"/>
    <w:rsid w:val="6B4E281E"/>
    <w:rsid w:val="6B6C556F"/>
    <w:rsid w:val="6B8A3745"/>
    <w:rsid w:val="6B920020"/>
    <w:rsid w:val="6BABCC51"/>
    <w:rsid w:val="6BD19A3A"/>
    <w:rsid w:val="6BD2414C"/>
    <w:rsid w:val="6BD258C7"/>
    <w:rsid w:val="6C5292B4"/>
    <w:rsid w:val="6C71C17E"/>
    <w:rsid w:val="6C7FDBDB"/>
    <w:rsid w:val="6C83157C"/>
    <w:rsid w:val="6C8CFB8E"/>
    <w:rsid w:val="6CB21E85"/>
    <w:rsid w:val="6D0825D0"/>
    <w:rsid w:val="6D0D4879"/>
    <w:rsid w:val="6D3CF02D"/>
    <w:rsid w:val="6D91ED7C"/>
    <w:rsid w:val="6DA3F5BE"/>
    <w:rsid w:val="6DEAD76C"/>
    <w:rsid w:val="6E05BCA3"/>
    <w:rsid w:val="6E1D0012"/>
    <w:rsid w:val="6EB8F0D8"/>
    <w:rsid w:val="6EDC4F94"/>
    <w:rsid w:val="6F97B924"/>
    <w:rsid w:val="6FBB05F5"/>
    <w:rsid w:val="6FCA0B25"/>
    <w:rsid w:val="702168A3"/>
    <w:rsid w:val="703C7E1D"/>
    <w:rsid w:val="704E64FD"/>
    <w:rsid w:val="70710DDF"/>
    <w:rsid w:val="7082DD5F"/>
    <w:rsid w:val="71364C0C"/>
    <w:rsid w:val="7167D4BF"/>
    <w:rsid w:val="71C96526"/>
    <w:rsid w:val="71DB8012"/>
    <w:rsid w:val="7211109E"/>
    <w:rsid w:val="7211A3A4"/>
    <w:rsid w:val="721DAAA2"/>
    <w:rsid w:val="721F2582"/>
    <w:rsid w:val="7230F8D8"/>
    <w:rsid w:val="7241A84B"/>
    <w:rsid w:val="731B79FA"/>
    <w:rsid w:val="73C079E7"/>
    <w:rsid w:val="73CDB78C"/>
    <w:rsid w:val="73D036A5"/>
    <w:rsid w:val="73E1E63B"/>
    <w:rsid w:val="74378106"/>
    <w:rsid w:val="74589899"/>
    <w:rsid w:val="74591BF6"/>
    <w:rsid w:val="7467770E"/>
    <w:rsid w:val="746F4FD6"/>
    <w:rsid w:val="748828BC"/>
    <w:rsid w:val="75225AC3"/>
    <w:rsid w:val="75BAA650"/>
    <w:rsid w:val="760A56E9"/>
    <w:rsid w:val="76393DC4"/>
    <w:rsid w:val="76F2D015"/>
    <w:rsid w:val="77081F4B"/>
    <w:rsid w:val="7770F30B"/>
    <w:rsid w:val="77E8ECAA"/>
    <w:rsid w:val="7814F05A"/>
    <w:rsid w:val="784E6998"/>
    <w:rsid w:val="7932E739"/>
    <w:rsid w:val="79724CFB"/>
    <w:rsid w:val="7978AD2C"/>
    <w:rsid w:val="797EC3F1"/>
    <w:rsid w:val="79BD0797"/>
    <w:rsid w:val="7AC43621"/>
    <w:rsid w:val="7AE649CD"/>
    <w:rsid w:val="7BDEDFC2"/>
    <w:rsid w:val="7C373A96"/>
    <w:rsid w:val="7D148E51"/>
    <w:rsid w:val="7D157A65"/>
    <w:rsid w:val="7D4C3D47"/>
    <w:rsid w:val="7D5C8530"/>
    <w:rsid w:val="7D749D48"/>
    <w:rsid w:val="7DA60413"/>
    <w:rsid w:val="7DCCE60A"/>
    <w:rsid w:val="7E0D4635"/>
    <w:rsid w:val="7E17610C"/>
    <w:rsid w:val="7E192314"/>
    <w:rsid w:val="7E32982A"/>
    <w:rsid w:val="7E693004"/>
    <w:rsid w:val="7E7FD55B"/>
    <w:rsid w:val="7E962655"/>
    <w:rsid w:val="7EABFF5D"/>
    <w:rsid w:val="7EAF9009"/>
    <w:rsid w:val="7FAB0CD8"/>
    <w:rsid w:val="7FC781A4"/>
    <w:rsid w:val="7FE8E29F"/>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32729"/>
  <w15:chartTrackingRefBased/>
  <w15:docId w15:val="{D71EBF2F-71A5-44A6-942C-67E5749CE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9542F8"/>
    <w:pPr>
      <w:spacing w:line="288" w:lineRule="auto"/>
    </w:pPr>
    <w:rPr>
      <w:rFonts w:ascii="Arial" w:hAnsi="Arial"/>
      <w:color w:val="15272F" w:themeColor="text1"/>
      <w:lang w:val="en-AU"/>
    </w:rPr>
  </w:style>
  <w:style w:type="paragraph" w:styleId="Heading1">
    <w:name w:val="heading 1"/>
    <w:basedOn w:val="Normal"/>
    <w:next w:val="Normal"/>
    <w:link w:val="Heading1Char"/>
    <w:uiPriority w:val="9"/>
    <w:qFormat/>
    <w:rsid w:val="009355A4"/>
    <w:pPr>
      <w:keepNext/>
      <w:keepLines/>
      <w:spacing w:after="480"/>
      <w:outlineLvl w:val="0"/>
    </w:pPr>
    <w:rPr>
      <w:rFonts w:eastAsiaTheme="majorEastAsia" w:cstheme="majorBidi"/>
      <w:b/>
      <w:sz w:val="72"/>
      <w:szCs w:val="32"/>
    </w:rPr>
  </w:style>
  <w:style w:type="paragraph" w:styleId="Heading2">
    <w:name w:val="heading 2"/>
    <w:basedOn w:val="Normal"/>
    <w:next w:val="Normal"/>
    <w:link w:val="Heading2Char"/>
    <w:uiPriority w:val="9"/>
    <w:unhideWhenUsed/>
    <w:qFormat/>
    <w:rsid w:val="007B41F8"/>
    <w:pPr>
      <w:keepNext/>
      <w:keepLines/>
      <w:spacing w:before="240" w:after="240"/>
      <w:outlineLvl w:val="1"/>
    </w:pPr>
    <w:rPr>
      <w:rFonts w:eastAsiaTheme="majorEastAsia" w:cs="Arial"/>
      <w:b/>
      <w:color w:val="104F99" w:themeColor="accent2"/>
      <w:sz w:val="36"/>
      <w:szCs w:val="26"/>
    </w:rPr>
  </w:style>
  <w:style w:type="paragraph" w:styleId="Heading3">
    <w:name w:val="heading 3"/>
    <w:basedOn w:val="Normal"/>
    <w:next w:val="Normal"/>
    <w:link w:val="Heading3Char"/>
    <w:uiPriority w:val="9"/>
    <w:unhideWhenUsed/>
    <w:qFormat/>
    <w:rsid w:val="007861EC"/>
    <w:pPr>
      <w:keepNext/>
      <w:keepLines/>
      <w:spacing w:before="240" w:after="240"/>
      <w:outlineLvl w:val="2"/>
    </w:pPr>
    <w:rPr>
      <w:rFonts w:eastAsiaTheme="majorEastAsia" w:cs="Arial"/>
      <w:b/>
      <w:color w:val="008F55" w:themeColor="accent4"/>
      <w:sz w:val="26"/>
      <w:szCs w:val="24"/>
    </w:rPr>
  </w:style>
  <w:style w:type="paragraph" w:styleId="Heading4">
    <w:name w:val="heading 4"/>
    <w:basedOn w:val="Normal"/>
    <w:next w:val="Normal"/>
    <w:link w:val="Heading4Char"/>
    <w:uiPriority w:val="9"/>
    <w:unhideWhenUsed/>
    <w:qFormat/>
    <w:rsid w:val="009355A4"/>
    <w:pPr>
      <w:keepNext/>
      <w:keepLines/>
      <w:spacing w:before="12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rsid w:val="009355A4"/>
    <w:pPr>
      <w:keepNext/>
      <w:keepLines/>
      <w:spacing w:before="40" w:after="0"/>
      <w:outlineLvl w:val="4"/>
    </w:pPr>
    <w:rPr>
      <w:rFonts w:eastAsiaTheme="majorEastAsia" w:cstheme="majorBidi"/>
      <w:b/>
      <w:color w:val="0F1D2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5A4"/>
    <w:rPr>
      <w:rFonts w:ascii="Arial" w:eastAsiaTheme="majorEastAsia" w:hAnsi="Arial" w:cstheme="majorBidi"/>
      <w:b/>
      <w:color w:val="15272F" w:themeColor="text1"/>
      <w:sz w:val="72"/>
      <w:szCs w:val="32"/>
    </w:rPr>
  </w:style>
  <w:style w:type="paragraph" w:styleId="Title">
    <w:name w:val="Title"/>
    <w:basedOn w:val="Normal"/>
    <w:next w:val="Normal"/>
    <w:link w:val="TitleChar"/>
    <w:uiPriority w:val="10"/>
    <w:qFormat/>
    <w:rsid w:val="009355A4"/>
    <w:pPr>
      <w:spacing w:after="840" w:line="240" w:lineRule="auto"/>
      <w:contextualSpacing/>
    </w:pPr>
    <w:rPr>
      <w:rFonts w:eastAsiaTheme="majorEastAsia" w:cstheme="majorBidi"/>
      <w:b/>
      <w:spacing w:val="-10"/>
      <w:kern w:val="28"/>
      <w:sz w:val="84"/>
      <w:szCs w:val="56"/>
    </w:rPr>
  </w:style>
  <w:style w:type="character" w:customStyle="1" w:styleId="TitleChar">
    <w:name w:val="Title Char"/>
    <w:basedOn w:val="DefaultParagraphFont"/>
    <w:link w:val="Title"/>
    <w:uiPriority w:val="10"/>
    <w:rsid w:val="009355A4"/>
    <w:rPr>
      <w:rFonts w:ascii="Arial" w:eastAsiaTheme="majorEastAsia" w:hAnsi="Arial" w:cstheme="majorBidi"/>
      <w:b/>
      <w:color w:val="15272F" w:themeColor="text1"/>
      <w:spacing w:val="-10"/>
      <w:kern w:val="28"/>
      <w:sz w:val="84"/>
      <w:szCs w:val="56"/>
    </w:rPr>
  </w:style>
  <w:style w:type="character" w:customStyle="1" w:styleId="Heading2Char">
    <w:name w:val="Heading 2 Char"/>
    <w:basedOn w:val="DefaultParagraphFont"/>
    <w:link w:val="Heading2"/>
    <w:uiPriority w:val="9"/>
    <w:rsid w:val="007B41F8"/>
    <w:rPr>
      <w:rFonts w:ascii="Arial" w:eastAsiaTheme="majorEastAsia" w:hAnsi="Arial" w:cs="Arial"/>
      <w:b/>
      <w:color w:val="104F99" w:themeColor="accent2"/>
      <w:sz w:val="36"/>
      <w:szCs w:val="26"/>
      <w:lang w:val="en-AU"/>
    </w:rPr>
  </w:style>
  <w:style w:type="character" w:customStyle="1" w:styleId="Heading3Char">
    <w:name w:val="Heading 3 Char"/>
    <w:basedOn w:val="DefaultParagraphFont"/>
    <w:link w:val="Heading3"/>
    <w:uiPriority w:val="9"/>
    <w:rsid w:val="007861EC"/>
    <w:rPr>
      <w:rFonts w:ascii="Arial" w:eastAsiaTheme="majorEastAsia" w:hAnsi="Arial" w:cs="Arial"/>
      <w:b/>
      <w:color w:val="008F55" w:themeColor="accent4"/>
      <w:sz w:val="26"/>
      <w:szCs w:val="24"/>
      <w:lang w:val="en-AU"/>
    </w:rPr>
  </w:style>
  <w:style w:type="character" w:customStyle="1" w:styleId="Heading4Char">
    <w:name w:val="Heading 4 Char"/>
    <w:basedOn w:val="DefaultParagraphFont"/>
    <w:link w:val="Heading4"/>
    <w:uiPriority w:val="9"/>
    <w:rsid w:val="009355A4"/>
    <w:rPr>
      <w:rFonts w:ascii="Arial" w:eastAsiaTheme="majorEastAsia" w:hAnsi="Arial" w:cstheme="majorBidi"/>
      <w:b/>
      <w:iCs/>
      <w:color w:val="15272F" w:themeColor="text1"/>
    </w:rPr>
  </w:style>
  <w:style w:type="paragraph" w:customStyle="1" w:styleId="ListLevel1">
    <w:name w:val="List Level 1"/>
    <w:basedOn w:val="ListLevel2"/>
    <w:link w:val="ListLevel1Char"/>
    <w:qFormat/>
    <w:rsid w:val="009355A4"/>
  </w:style>
  <w:style w:type="paragraph" w:customStyle="1" w:styleId="ListLevel2">
    <w:name w:val="List Level 2"/>
    <w:basedOn w:val="Normal"/>
    <w:link w:val="ListLevel2Char"/>
    <w:qFormat/>
    <w:rsid w:val="009355A4"/>
    <w:pPr>
      <w:ind w:left="1080" w:hanging="360"/>
      <w:contextualSpacing/>
    </w:pPr>
  </w:style>
  <w:style w:type="paragraph" w:styleId="Header">
    <w:name w:val="header"/>
    <w:basedOn w:val="Normal"/>
    <w:link w:val="HeaderChar"/>
    <w:uiPriority w:val="99"/>
    <w:unhideWhenUsed/>
    <w:rsid w:val="009355A4"/>
    <w:pPr>
      <w:numPr>
        <w:ilvl w:val="1"/>
        <w:numId w:val="2"/>
      </w:numPr>
      <w:tabs>
        <w:tab w:val="center" w:pos="4680"/>
        <w:tab w:val="right" w:pos="9360"/>
      </w:tabs>
      <w:spacing w:after="0" w:line="240" w:lineRule="auto"/>
    </w:pPr>
  </w:style>
  <w:style w:type="character" w:customStyle="1" w:styleId="ListLevel1Char">
    <w:name w:val="List Level 1 Char"/>
    <w:basedOn w:val="ListLevel2Char"/>
    <w:link w:val="ListLevel1"/>
    <w:rsid w:val="009355A4"/>
    <w:rPr>
      <w:rFonts w:ascii="Arial" w:hAnsi="Arial"/>
      <w:color w:val="15272F" w:themeColor="text1"/>
      <w:lang w:val="en-AU"/>
    </w:rPr>
  </w:style>
  <w:style w:type="character" w:customStyle="1" w:styleId="ListLevel2Char">
    <w:name w:val="List Level 2 Char"/>
    <w:basedOn w:val="DefaultParagraphFont"/>
    <w:link w:val="ListLevel2"/>
    <w:rsid w:val="009355A4"/>
    <w:rPr>
      <w:rFonts w:ascii="Arial" w:hAnsi="Arial"/>
      <w:color w:val="15272F" w:themeColor="text1"/>
      <w:lang w:val="en-AU"/>
    </w:rPr>
  </w:style>
  <w:style w:type="character" w:customStyle="1" w:styleId="HeaderChar">
    <w:name w:val="Header Char"/>
    <w:basedOn w:val="DefaultParagraphFont"/>
    <w:link w:val="Header"/>
    <w:uiPriority w:val="99"/>
    <w:rsid w:val="009355A4"/>
    <w:rPr>
      <w:rFonts w:ascii="Arial" w:hAnsi="Arial"/>
      <w:color w:val="15272F" w:themeColor="text1"/>
      <w:lang w:val="en-AU"/>
    </w:rPr>
  </w:style>
  <w:style w:type="paragraph" w:styleId="Footer">
    <w:name w:val="footer"/>
    <w:basedOn w:val="Normal"/>
    <w:link w:val="FooterChar"/>
    <w:uiPriority w:val="99"/>
    <w:unhideWhenUsed/>
    <w:rsid w:val="009355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5A4"/>
    <w:rPr>
      <w:rFonts w:ascii="Arial" w:hAnsi="Arial"/>
      <w:color w:val="15272F" w:themeColor="text1"/>
    </w:rPr>
  </w:style>
  <w:style w:type="paragraph" w:styleId="ListParagraph">
    <w:name w:val="List Paragraph"/>
    <w:basedOn w:val="Normal"/>
    <w:uiPriority w:val="34"/>
    <w:rsid w:val="009355A4"/>
    <w:pPr>
      <w:ind w:left="720"/>
      <w:contextualSpacing/>
    </w:pPr>
  </w:style>
  <w:style w:type="paragraph" w:customStyle="1" w:styleId="TableFigureheading">
    <w:name w:val="Table/Figure heading"/>
    <w:basedOn w:val="Heading4"/>
    <w:link w:val="TableFigureheadingChar"/>
    <w:qFormat/>
    <w:rsid w:val="003C6B1A"/>
    <w:pPr>
      <w:spacing w:before="0" w:after="160"/>
    </w:pPr>
    <w:rPr>
      <w:rFonts w:cs="Arial"/>
      <w:b w:val="0"/>
      <w:color w:val="104F99" w:themeColor="accent2"/>
      <w:szCs w:val="20"/>
    </w:rPr>
  </w:style>
  <w:style w:type="table" w:customStyle="1" w:styleId="IHACPATable">
    <w:name w:val="IHACPA Table"/>
    <w:basedOn w:val="TableNormal"/>
    <w:uiPriority w:val="99"/>
    <w:rsid w:val="009355A4"/>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character" w:customStyle="1" w:styleId="TableFigureheadingChar">
    <w:name w:val="Table/Figure heading Char"/>
    <w:basedOn w:val="Heading4Char"/>
    <w:link w:val="TableFigureheading"/>
    <w:rsid w:val="003C6B1A"/>
    <w:rPr>
      <w:rFonts w:ascii="Arial" w:eastAsiaTheme="majorEastAsia" w:hAnsi="Arial" w:cs="Arial"/>
      <w:b w:val="0"/>
      <w:iCs/>
      <w:color w:val="104F99" w:themeColor="accent2"/>
      <w:szCs w:val="20"/>
      <w:lang w:val="en-AU"/>
    </w:rPr>
  </w:style>
  <w:style w:type="table" w:styleId="TableGrid">
    <w:name w:val="Table Grid"/>
    <w:basedOn w:val="TableNormal"/>
    <w:uiPriority w:val="39"/>
    <w:rsid w:val="00935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9355A4"/>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qFormat/>
    <w:rsid w:val="009355A4"/>
    <w:pPr>
      <w:spacing w:after="120"/>
    </w:pPr>
    <w:rPr>
      <w:sz w:val="16"/>
      <w:szCs w:val="15"/>
    </w:rPr>
  </w:style>
  <w:style w:type="character" w:customStyle="1" w:styleId="FootnoteChar">
    <w:name w:val="Footnote Char"/>
    <w:basedOn w:val="DefaultParagraphFont"/>
    <w:link w:val="Footnote"/>
    <w:rsid w:val="009355A4"/>
    <w:rPr>
      <w:rFonts w:ascii="Arial" w:hAnsi="Arial"/>
      <w:color w:val="15272F" w:themeColor="text1"/>
      <w:sz w:val="16"/>
      <w:szCs w:val="15"/>
    </w:rPr>
  </w:style>
  <w:style w:type="character" w:styleId="Hyperlink">
    <w:name w:val="Hyperlink"/>
    <w:basedOn w:val="DefaultParagraphFont"/>
    <w:uiPriority w:val="99"/>
    <w:unhideWhenUsed/>
    <w:rsid w:val="009355A4"/>
    <w:rPr>
      <w:color w:val="0080C4" w:themeColor="hyperlink"/>
      <w:u w:val="single"/>
    </w:rPr>
  </w:style>
  <w:style w:type="paragraph" w:styleId="TOC1">
    <w:name w:val="toc 1"/>
    <w:basedOn w:val="Normal"/>
    <w:next w:val="Normal"/>
    <w:autoRedefine/>
    <w:uiPriority w:val="39"/>
    <w:unhideWhenUsed/>
    <w:rsid w:val="00B45F10"/>
    <w:pPr>
      <w:tabs>
        <w:tab w:val="left" w:pos="660"/>
        <w:tab w:val="right" w:leader="dot" w:pos="9736"/>
      </w:tabs>
      <w:spacing w:after="360"/>
    </w:pPr>
    <w:rPr>
      <w:b/>
      <w:sz w:val="28"/>
    </w:rPr>
  </w:style>
  <w:style w:type="paragraph" w:customStyle="1" w:styleId="CoverTitle">
    <w:name w:val="Cover Title"/>
    <w:basedOn w:val="Title"/>
    <w:link w:val="CoverTitleChar"/>
    <w:qFormat/>
    <w:rsid w:val="009355A4"/>
    <w:pPr>
      <w:spacing w:after="720"/>
      <w:ind w:right="1242"/>
    </w:pPr>
    <w:rPr>
      <w:color w:val="FFFFFF" w:themeColor="background2"/>
      <w:sz w:val="96"/>
      <w:szCs w:val="96"/>
    </w:rPr>
  </w:style>
  <w:style w:type="paragraph" w:customStyle="1" w:styleId="Coversubtitle">
    <w:name w:val="Cover subtitle"/>
    <w:basedOn w:val="CoverTitle"/>
    <w:link w:val="CoversubtitleChar"/>
    <w:qFormat/>
    <w:rsid w:val="009355A4"/>
    <w:rPr>
      <w:color w:val="54C1AF" w:themeColor="accent5"/>
      <w:sz w:val="48"/>
      <w:szCs w:val="48"/>
    </w:rPr>
  </w:style>
  <w:style w:type="character" w:customStyle="1" w:styleId="CoverTitleChar">
    <w:name w:val="Cover Title Char"/>
    <w:basedOn w:val="TitleChar"/>
    <w:link w:val="CoverTitle"/>
    <w:rsid w:val="009355A4"/>
    <w:rPr>
      <w:rFonts w:ascii="Arial" w:eastAsiaTheme="majorEastAsia" w:hAnsi="Arial" w:cstheme="majorBidi"/>
      <w:b/>
      <w:color w:val="FFFFFF" w:themeColor="background2"/>
      <w:spacing w:val="-10"/>
      <w:kern w:val="28"/>
      <w:sz w:val="96"/>
      <w:szCs w:val="96"/>
    </w:rPr>
  </w:style>
  <w:style w:type="character" w:styleId="UnresolvedMention">
    <w:name w:val="Unresolved Mention"/>
    <w:basedOn w:val="DefaultParagraphFont"/>
    <w:uiPriority w:val="99"/>
    <w:semiHidden/>
    <w:unhideWhenUsed/>
    <w:rsid w:val="009355A4"/>
    <w:rPr>
      <w:color w:val="605E5C"/>
      <w:shd w:val="clear" w:color="auto" w:fill="E1DFDD"/>
    </w:rPr>
  </w:style>
  <w:style w:type="character" w:customStyle="1" w:styleId="CoversubtitleChar">
    <w:name w:val="Cover subtitle Char"/>
    <w:basedOn w:val="CoverTitleChar"/>
    <w:link w:val="Coversubtitle"/>
    <w:rsid w:val="009355A4"/>
    <w:rPr>
      <w:rFonts w:ascii="Arial" w:eastAsiaTheme="majorEastAsia" w:hAnsi="Arial" w:cstheme="majorBidi"/>
      <w:b/>
      <w:color w:val="54C1AF" w:themeColor="accent5"/>
      <w:spacing w:val="-10"/>
      <w:kern w:val="28"/>
      <w:sz w:val="48"/>
      <w:szCs w:val="48"/>
    </w:rPr>
  </w:style>
  <w:style w:type="paragraph" w:customStyle="1" w:styleId="Copyrightcopy">
    <w:name w:val="Copyright copy"/>
    <w:basedOn w:val="Normal"/>
    <w:next w:val="Normal"/>
    <w:qFormat/>
    <w:rsid w:val="009355A4"/>
    <w:pPr>
      <w:ind w:right="4064"/>
    </w:pPr>
    <w:rPr>
      <w:sz w:val="18"/>
    </w:rPr>
  </w:style>
  <w:style w:type="paragraph" w:customStyle="1" w:styleId="Copyrightheading">
    <w:name w:val="Copyright heading"/>
    <w:basedOn w:val="Heading4"/>
    <w:next w:val="Normal"/>
    <w:qFormat/>
    <w:rsid w:val="009355A4"/>
  </w:style>
  <w:style w:type="character" w:customStyle="1" w:styleId="Heading5Char">
    <w:name w:val="Heading 5 Char"/>
    <w:basedOn w:val="DefaultParagraphFont"/>
    <w:link w:val="Heading5"/>
    <w:uiPriority w:val="9"/>
    <w:semiHidden/>
    <w:rsid w:val="009355A4"/>
    <w:rPr>
      <w:rFonts w:ascii="Arial" w:eastAsiaTheme="majorEastAsia" w:hAnsi="Arial" w:cstheme="majorBidi"/>
      <w:b/>
      <w:color w:val="0F1D23" w:themeColor="accent1" w:themeShade="BF"/>
    </w:rPr>
  </w:style>
  <w:style w:type="paragraph" w:styleId="NoSpacing">
    <w:name w:val="No Spacing"/>
    <w:uiPriority w:val="1"/>
    <w:rsid w:val="009355A4"/>
    <w:pPr>
      <w:spacing w:after="0" w:line="240" w:lineRule="auto"/>
    </w:pPr>
    <w:rPr>
      <w:rFonts w:ascii="Arial" w:hAnsi="Arial"/>
      <w:color w:val="15272F" w:themeColor="text1"/>
    </w:rPr>
  </w:style>
  <w:style w:type="paragraph" w:styleId="Subtitle">
    <w:name w:val="Subtitle"/>
    <w:basedOn w:val="Normal"/>
    <w:next w:val="Normal"/>
    <w:link w:val="SubtitleChar"/>
    <w:uiPriority w:val="11"/>
    <w:rsid w:val="009355A4"/>
    <w:pPr>
      <w:numPr>
        <w:ilvl w:val="1"/>
      </w:numPr>
    </w:pPr>
    <w:rPr>
      <w:rFonts w:eastAsiaTheme="minorEastAsia"/>
      <w:color w:val="45809A" w:themeColor="text1" w:themeTint="A5"/>
      <w:spacing w:val="15"/>
    </w:rPr>
  </w:style>
  <w:style w:type="character" w:customStyle="1" w:styleId="SubtitleChar">
    <w:name w:val="Subtitle Char"/>
    <w:basedOn w:val="DefaultParagraphFont"/>
    <w:link w:val="Subtitle"/>
    <w:uiPriority w:val="11"/>
    <w:rsid w:val="009355A4"/>
    <w:rPr>
      <w:rFonts w:ascii="Arial" w:eastAsiaTheme="minorEastAsia" w:hAnsi="Arial"/>
      <w:color w:val="45809A" w:themeColor="text1" w:themeTint="A5"/>
      <w:spacing w:val="15"/>
    </w:rPr>
  </w:style>
  <w:style w:type="character" w:styleId="FollowedHyperlink">
    <w:name w:val="FollowedHyperlink"/>
    <w:basedOn w:val="DefaultParagraphFont"/>
    <w:uiPriority w:val="99"/>
    <w:semiHidden/>
    <w:unhideWhenUsed/>
    <w:rsid w:val="00DF2CB4"/>
    <w:rPr>
      <w:color w:val="104F99" w:themeColor="followedHyperlink"/>
      <w:u w:val="single"/>
    </w:rPr>
  </w:style>
  <w:style w:type="character" w:styleId="CommentReference">
    <w:name w:val="annotation reference"/>
    <w:basedOn w:val="DefaultParagraphFont"/>
    <w:uiPriority w:val="99"/>
    <w:semiHidden/>
    <w:unhideWhenUsed/>
    <w:rsid w:val="002501B6"/>
    <w:rPr>
      <w:sz w:val="16"/>
      <w:szCs w:val="16"/>
    </w:rPr>
  </w:style>
  <w:style w:type="paragraph" w:styleId="CommentText">
    <w:name w:val="annotation text"/>
    <w:basedOn w:val="Normal"/>
    <w:link w:val="CommentTextChar"/>
    <w:uiPriority w:val="99"/>
    <w:unhideWhenUsed/>
    <w:rsid w:val="002501B6"/>
    <w:pPr>
      <w:spacing w:line="240" w:lineRule="auto"/>
    </w:pPr>
    <w:rPr>
      <w:sz w:val="20"/>
      <w:szCs w:val="20"/>
    </w:rPr>
  </w:style>
  <w:style w:type="character" w:customStyle="1" w:styleId="CommentTextChar">
    <w:name w:val="Comment Text Char"/>
    <w:basedOn w:val="DefaultParagraphFont"/>
    <w:link w:val="CommentText"/>
    <w:uiPriority w:val="99"/>
    <w:rsid w:val="002501B6"/>
    <w:rPr>
      <w:rFonts w:ascii="Arial" w:hAnsi="Arial"/>
      <w:color w:val="15272F" w:themeColor="text1"/>
      <w:sz w:val="20"/>
      <w:szCs w:val="20"/>
    </w:rPr>
  </w:style>
  <w:style w:type="paragraph" w:styleId="CommentSubject">
    <w:name w:val="annotation subject"/>
    <w:basedOn w:val="CommentText"/>
    <w:next w:val="CommentText"/>
    <w:link w:val="CommentSubjectChar"/>
    <w:uiPriority w:val="99"/>
    <w:semiHidden/>
    <w:unhideWhenUsed/>
    <w:rsid w:val="002501B6"/>
    <w:rPr>
      <w:b/>
      <w:bCs/>
    </w:rPr>
  </w:style>
  <w:style w:type="character" w:customStyle="1" w:styleId="CommentSubjectChar">
    <w:name w:val="Comment Subject Char"/>
    <w:basedOn w:val="CommentTextChar"/>
    <w:link w:val="CommentSubject"/>
    <w:uiPriority w:val="99"/>
    <w:semiHidden/>
    <w:rsid w:val="002501B6"/>
    <w:rPr>
      <w:rFonts w:ascii="Arial" w:hAnsi="Arial"/>
      <w:b/>
      <w:bCs/>
      <w:color w:val="15272F" w:themeColor="text1"/>
      <w:sz w:val="20"/>
      <w:szCs w:val="20"/>
    </w:rPr>
  </w:style>
  <w:style w:type="paragraph" w:styleId="TOCHeading">
    <w:name w:val="TOC Heading"/>
    <w:basedOn w:val="Heading1"/>
    <w:next w:val="Normal"/>
    <w:uiPriority w:val="39"/>
    <w:unhideWhenUsed/>
    <w:qFormat/>
    <w:rsid w:val="006B31AB"/>
    <w:pPr>
      <w:spacing w:before="240" w:after="0" w:line="259" w:lineRule="auto"/>
      <w:outlineLvl w:val="9"/>
    </w:pPr>
    <w:rPr>
      <w:rFonts w:asciiTheme="majorHAnsi" w:hAnsiTheme="majorHAnsi"/>
      <w:b w:val="0"/>
      <w:color w:val="0F1D23" w:themeColor="accent1" w:themeShade="BF"/>
      <w:sz w:val="32"/>
      <w:lang w:val="en-US"/>
    </w:rPr>
  </w:style>
  <w:style w:type="paragraph" w:styleId="TOC3">
    <w:name w:val="toc 3"/>
    <w:basedOn w:val="Normal"/>
    <w:next w:val="Normal"/>
    <w:autoRedefine/>
    <w:uiPriority w:val="39"/>
    <w:unhideWhenUsed/>
    <w:rsid w:val="00B45F10"/>
    <w:pPr>
      <w:tabs>
        <w:tab w:val="right" w:leader="dot" w:pos="9735"/>
      </w:tabs>
      <w:spacing w:after="100"/>
      <w:ind w:left="440"/>
    </w:pPr>
    <w:rPr>
      <w:color w:val="auto"/>
    </w:rPr>
  </w:style>
  <w:style w:type="paragraph" w:styleId="TOC2">
    <w:name w:val="toc 2"/>
    <w:basedOn w:val="Normal"/>
    <w:next w:val="Normal"/>
    <w:autoRedefine/>
    <w:uiPriority w:val="39"/>
    <w:unhideWhenUsed/>
    <w:rsid w:val="005F11BC"/>
    <w:pPr>
      <w:tabs>
        <w:tab w:val="right" w:leader="dot" w:pos="9736"/>
      </w:tabs>
      <w:spacing w:after="100"/>
      <w:ind w:left="220"/>
    </w:pPr>
  </w:style>
  <w:style w:type="paragraph" w:styleId="Caption">
    <w:name w:val="caption"/>
    <w:basedOn w:val="Normal"/>
    <w:next w:val="Normal"/>
    <w:uiPriority w:val="35"/>
    <w:unhideWhenUsed/>
    <w:qFormat/>
    <w:rsid w:val="00183C52"/>
    <w:pPr>
      <w:spacing w:after="120" w:line="240" w:lineRule="auto"/>
    </w:pPr>
    <w:rPr>
      <w:bCs/>
      <w:szCs w:val="18"/>
    </w:rPr>
  </w:style>
  <w:style w:type="table" w:customStyle="1" w:styleId="TableGrid1">
    <w:name w:val="Table Grid1"/>
    <w:basedOn w:val="TableNormal"/>
    <w:next w:val="TableGrid"/>
    <w:uiPriority w:val="59"/>
    <w:rsid w:val="00A8441F"/>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E62B67"/>
    <w:pPr>
      <w:spacing w:after="0"/>
    </w:pPr>
  </w:style>
  <w:style w:type="paragraph" w:styleId="FootnoteText">
    <w:name w:val="footnote text"/>
    <w:basedOn w:val="Normal"/>
    <w:link w:val="FootnoteTextChar"/>
    <w:autoRedefine/>
    <w:uiPriority w:val="99"/>
    <w:unhideWhenUsed/>
    <w:rsid w:val="007157D9"/>
    <w:pPr>
      <w:keepLines/>
      <w:spacing w:after="0" w:line="240" w:lineRule="auto"/>
      <w:ind w:left="142" w:hanging="142"/>
    </w:pPr>
    <w:rPr>
      <w:rFonts w:eastAsia="Times New Roman" w:cs="Times New Roman"/>
      <w:color w:val="auto"/>
      <w:sz w:val="18"/>
      <w:szCs w:val="20"/>
      <w:lang w:eastAsia="en-AU"/>
    </w:rPr>
  </w:style>
  <w:style w:type="character" w:customStyle="1" w:styleId="FootnoteTextChar">
    <w:name w:val="Footnote Text Char"/>
    <w:basedOn w:val="DefaultParagraphFont"/>
    <w:link w:val="FootnoteText"/>
    <w:uiPriority w:val="99"/>
    <w:rsid w:val="007157D9"/>
    <w:rPr>
      <w:rFonts w:ascii="Arial" w:eastAsia="Times New Roman" w:hAnsi="Arial" w:cs="Times New Roman"/>
      <w:sz w:val="18"/>
      <w:szCs w:val="20"/>
      <w:lang w:val="en-AU" w:eastAsia="en-AU"/>
    </w:rPr>
  </w:style>
  <w:style w:type="character" w:styleId="FootnoteReference">
    <w:name w:val="footnote reference"/>
    <w:basedOn w:val="DefaultParagraphFont"/>
    <w:uiPriority w:val="99"/>
    <w:unhideWhenUsed/>
    <w:rsid w:val="00074BA3"/>
    <w:rPr>
      <w:vertAlign w:val="superscript"/>
    </w:rPr>
  </w:style>
  <w:style w:type="paragraph" w:styleId="Revision">
    <w:name w:val="Revision"/>
    <w:hidden/>
    <w:uiPriority w:val="99"/>
    <w:semiHidden/>
    <w:rsid w:val="00E21B6A"/>
    <w:pPr>
      <w:spacing w:after="0" w:line="240" w:lineRule="auto"/>
    </w:pPr>
    <w:rPr>
      <w:rFonts w:ascii="Arial" w:hAnsi="Arial"/>
      <w:color w:val="15272F" w:themeColor="text1"/>
    </w:rPr>
  </w:style>
  <w:style w:type="character" w:customStyle="1" w:styleId="cf01">
    <w:name w:val="cf01"/>
    <w:basedOn w:val="DefaultParagraphFont"/>
    <w:rsid w:val="00BB6E41"/>
    <w:rPr>
      <w:rFonts w:ascii="Segoe UI" w:hAnsi="Segoe UI" w:cs="Segoe UI" w:hint="default"/>
      <w:color w:val="15272F"/>
      <w:sz w:val="18"/>
      <w:szCs w:val="18"/>
    </w:rPr>
  </w:style>
  <w:style w:type="paragraph" w:styleId="NormalWeb">
    <w:name w:val="Normal (Web)"/>
    <w:basedOn w:val="Normal"/>
    <w:uiPriority w:val="99"/>
    <w:unhideWhenUsed/>
    <w:rsid w:val="00D807B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TOC4">
    <w:name w:val="toc 4"/>
    <w:basedOn w:val="Normal"/>
    <w:next w:val="Normal"/>
    <w:autoRedefine/>
    <w:uiPriority w:val="39"/>
    <w:unhideWhenUsed/>
    <w:rsid w:val="00E07B55"/>
    <w:pPr>
      <w:spacing w:after="100" w:line="259" w:lineRule="auto"/>
      <w:ind w:left="660"/>
    </w:pPr>
    <w:rPr>
      <w:rFonts w:asciiTheme="minorHAnsi" w:eastAsiaTheme="minorEastAsia" w:hAnsiTheme="minorHAnsi"/>
      <w:color w:val="auto"/>
      <w:lang w:eastAsia="en-AU"/>
    </w:rPr>
  </w:style>
  <w:style w:type="paragraph" w:styleId="TOC5">
    <w:name w:val="toc 5"/>
    <w:basedOn w:val="Normal"/>
    <w:next w:val="Normal"/>
    <w:autoRedefine/>
    <w:uiPriority w:val="39"/>
    <w:unhideWhenUsed/>
    <w:rsid w:val="00E07B55"/>
    <w:pPr>
      <w:spacing w:after="100" w:line="259" w:lineRule="auto"/>
      <w:ind w:left="880"/>
    </w:pPr>
    <w:rPr>
      <w:rFonts w:asciiTheme="minorHAnsi" w:eastAsiaTheme="minorEastAsia" w:hAnsiTheme="minorHAnsi"/>
      <w:color w:val="auto"/>
      <w:lang w:eastAsia="en-AU"/>
    </w:rPr>
  </w:style>
  <w:style w:type="paragraph" w:styleId="TOC6">
    <w:name w:val="toc 6"/>
    <w:basedOn w:val="Normal"/>
    <w:next w:val="Normal"/>
    <w:autoRedefine/>
    <w:uiPriority w:val="39"/>
    <w:unhideWhenUsed/>
    <w:rsid w:val="00E07B55"/>
    <w:pPr>
      <w:spacing w:after="100" w:line="259" w:lineRule="auto"/>
      <w:ind w:left="1100"/>
    </w:pPr>
    <w:rPr>
      <w:rFonts w:asciiTheme="minorHAnsi" w:eastAsiaTheme="minorEastAsia" w:hAnsiTheme="minorHAnsi"/>
      <w:color w:val="auto"/>
      <w:lang w:eastAsia="en-AU"/>
    </w:rPr>
  </w:style>
  <w:style w:type="paragraph" w:styleId="TOC7">
    <w:name w:val="toc 7"/>
    <w:basedOn w:val="Normal"/>
    <w:next w:val="Normal"/>
    <w:autoRedefine/>
    <w:uiPriority w:val="39"/>
    <w:unhideWhenUsed/>
    <w:rsid w:val="00E07B55"/>
    <w:pPr>
      <w:spacing w:after="100" w:line="259" w:lineRule="auto"/>
      <w:ind w:left="1320"/>
    </w:pPr>
    <w:rPr>
      <w:rFonts w:asciiTheme="minorHAnsi" w:eastAsiaTheme="minorEastAsia" w:hAnsiTheme="minorHAnsi"/>
      <w:color w:val="auto"/>
      <w:lang w:eastAsia="en-AU"/>
    </w:rPr>
  </w:style>
  <w:style w:type="paragraph" w:styleId="TOC8">
    <w:name w:val="toc 8"/>
    <w:basedOn w:val="Normal"/>
    <w:next w:val="Normal"/>
    <w:autoRedefine/>
    <w:uiPriority w:val="39"/>
    <w:unhideWhenUsed/>
    <w:rsid w:val="00E07B55"/>
    <w:pPr>
      <w:spacing w:after="100" w:line="259" w:lineRule="auto"/>
      <w:ind w:left="1540"/>
    </w:pPr>
    <w:rPr>
      <w:rFonts w:asciiTheme="minorHAnsi" w:eastAsiaTheme="minorEastAsia" w:hAnsiTheme="minorHAnsi"/>
      <w:color w:val="auto"/>
      <w:lang w:eastAsia="en-AU"/>
    </w:rPr>
  </w:style>
  <w:style w:type="paragraph" w:styleId="TOC9">
    <w:name w:val="toc 9"/>
    <w:basedOn w:val="Normal"/>
    <w:next w:val="Normal"/>
    <w:autoRedefine/>
    <w:uiPriority w:val="39"/>
    <w:unhideWhenUsed/>
    <w:rsid w:val="00E07B55"/>
    <w:pPr>
      <w:spacing w:after="100" w:line="259" w:lineRule="auto"/>
      <w:ind w:left="1760"/>
    </w:pPr>
    <w:rPr>
      <w:rFonts w:asciiTheme="minorHAnsi" w:eastAsiaTheme="minorEastAsia" w:hAnsiTheme="minorHAnsi"/>
      <w:color w:val="auto"/>
      <w:lang w:eastAsia="en-AU"/>
    </w:rPr>
  </w:style>
  <w:style w:type="table" w:styleId="ListTable1Light-Accent3">
    <w:name w:val="List Table 1 Light Accent 3"/>
    <w:basedOn w:val="TableNormal"/>
    <w:uiPriority w:val="46"/>
    <w:rsid w:val="00930984"/>
    <w:pPr>
      <w:spacing w:after="0" w:line="240" w:lineRule="auto"/>
    </w:pPr>
    <w:tblPr>
      <w:tblStyleRowBandSize w:val="1"/>
      <w:tblStyleColBandSize w:val="1"/>
    </w:tblPr>
    <w:tblStylePr w:type="firstRow">
      <w:rPr>
        <w:b/>
        <w:bCs/>
      </w:rPr>
      <w:tblPr/>
      <w:tcPr>
        <w:tcBorders>
          <w:bottom w:val="single" w:sz="4" w:space="0" w:color="42BDFF" w:themeColor="accent3" w:themeTint="99"/>
        </w:tcBorders>
      </w:tcPr>
    </w:tblStylePr>
    <w:tblStylePr w:type="lastRow">
      <w:rPr>
        <w:b/>
        <w:bCs/>
      </w:rPr>
      <w:tblPr/>
      <w:tcPr>
        <w:tcBorders>
          <w:top w:val="single" w:sz="4" w:space="0" w:color="42BDFF" w:themeColor="accent3" w:themeTint="99"/>
        </w:tcBorders>
      </w:tcPr>
    </w:tblStylePr>
    <w:tblStylePr w:type="firstCol">
      <w:rPr>
        <w:b/>
        <w:bCs/>
      </w:rPr>
    </w:tblStylePr>
    <w:tblStylePr w:type="lastCol">
      <w:rPr>
        <w:b/>
        <w:bCs/>
      </w:rPr>
    </w:tblStylePr>
    <w:tblStylePr w:type="band1Vert">
      <w:tblPr/>
      <w:tcPr>
        <w:shd w:val="clear" w:color="auto" w:fill="C0E9FF" w:themeFill="accent3" w:themeFillTint="33"/>
      </w:tcPr>
    </w:tblStylePr>
    <w:tblStylePr w:type="band1Horz">
      <w:tblPr/>
      <w:tcPr>
        <w:shd w:val="clear" w:color="auto" w:fill="C0E9FF" w:themeFill="accent3" w:themeFillTint="33"/>
      </w:tcPr>
    </w:tblStylePr>
  </w:style>
  <w:style w:type="table" w:styleId="GridTable5Dark-Accent3">
    <w:name w:val="Grid Table 5 Dark Accent 3"/>
    <w:basedOn w:val="TableNormal"/>
    <w:uiPriority w:val="50"/>
    <w:rsid w:val="00930984"/>
    <w:pPr>
      <w:spacing w:after="0" w:line="240" w:lineRule="auto"/>
    </w:pPr>
    <w:tblPr>
      <w:tblStyleRowBandSize w:val="1"/>
      <w:tblStyleColBandSize w:val="1"/>
      <w:tblBorders>
        <w:top w:val="single" w:sz="4" w:space="0" w:color="54C1AF" w:themeColor="background1"/>
        <w:left w:val="single" w:sz="4" w:space="0" w:color="54C1AF" w:themeColor="background1"/>
        <w:bottom w:val="single" w:sz="4" w:space="0" w:color="54C1AF" w:themeColor="background1"/>
        <w:right w:val="single" w:sz="4" w:space="0" w:color="54C1AF" w:themeColor="background1"/>
        <w:insideH w:val="single" w:sz="4" w:space="0" w:color="54C1AF" w:themeColor="background1"/>
        <w:insideV w:val="single" w:sz="4" w:space="0" w:color="54C1AF" w:themeColor="background1"/>
      </w:tblBorders>
    </w:tblPr>
    <w:tcPr>
      <w:shd w:val="clear" w:color="auto" w:fill="C0E9FF" w:themeFill="accent3" w:themeFillTint="33"/>
    </w:tcPr>
    <w:tblStylePr w:type="firstRow">
      <w:rPr>
        <w:b/>
        <w:bCs/>
        <w:color w:val="54C1AF" w:themeColor="background1"/>
      </w:rPr>
      <w:tblPr/>
      <w:tcPr>
        <w:tcBorders>
          <w:top w:val="single" w:sz="4" w:space="0" w:color="54C1AF" w:themeColor="background1"/>
          <w:left w:val="single" w:sz="4" w:space="0" w:color="54C1AF" w:themeColor="background1"/>
          <w:right w:val="single" w:sz="4" w:space="0" w:color="54C1AF" w:themeColor="background1"/>
          <w:insideH w:val="nil"/>
          <w:insideV w:val="nil"/>
        </w:tcBorders>
        <w:shd w:val="clear" w:color="auto" w:fill="0080C4" w:themeFill="accent3"/>
      </w:tcPr>
    </w:tblStylePr>
    <w:tblStylePr w:type="lastRow">
      <w:rPr>
        <w:b/>
        <w:bCs/>
        <w:color w:val="54C1AF" w:themeColor="background1"/>
      </w:rPr>
      <w:tblPr/>
      <w:tcPr>
        <w:tcBorders>
          <w:left w:val="single" w:sz="4" w:space="0" w:color="54C1AF" w:themeColor="background1"/>
          <w:bottom w:val="single" w:sz="4" w:space="0" w:color="54C1AF" w:themeColor="background1"/>
          <w:right w:val="single" w:sz="4" w:space="0" w:color="54C1AF" w:themeColor="background1"/>
          <w:insideH w:val="nil"/>
          <w:insideV w:val="nil"/>
        </w:tcBorders>
        <w:shd w:val="clear" w:color="auto" w:fill="0080C4" w:themeFill="accent3"/>
      </w:tcPr>
    </w:tblStylePr>
    <w:tblStylePr w:type="firstCol">
      <w:rPr>
        <w:b/>
        <w:bCs/>
        <w:color w:val="54C1AF" w:themeColor="background1"/>
      </w:rPr>
      <w:tblPr/>
      <w:tcPr>
        <w:tcBorders>
          <w:top w:val="single" w:sz="4" w:space="0" w:color="54C1AF" w:themeColor="background1"/>
          <w:left w:val="single" w:sz="4" w:space="0" w:color="54C1AF" w:themeColor="background1"/>
          <w:bottom w:val="single" w:sz="4" w:space="0" w:color="54C1AF" w:themeColor="background1"/>
          <w:insideV w:val="nil"/>
        </w:tcBorders>
        <w:shd w:val="clear" w:color="auto" w:fill="0080C4" w:themeFill="accent3"/>
      </w:tcPr>
    </w:tblStylePr>
    <w:tblStylePr w:type="lastCol">
      <w:rPr>
        <w:b/>
        <w:bCs/>
        <w:color w:val="54C1AF" w:themeColor="background1"/>
      </w:rPr>
      <w:tblPr/>
      <w:tcPr>
        <w:tcBorders>
          <w:top w:val="single" w:sz="4" w:space="0" w:color="54C1AF" w:themeColor="background1"/>
          <w:bottom w:val="single" w:sz="4" w:space="0" w:color="54C1AF" w:themeColor="background1"/>
          <w:right w:val="single" w:sz="4" w:space="0" w:color="54C1AF" w:themeColor="background1"/>
          <w:insideV w:val="nil"/>
        </w:tcBorders>
        <w:shd w:val="clear" w:color="auto" w:fill="0080C4" w:themeFill="accent3"/>
      </w:tcPr>
    </w:tblStylePr>
    <w:tblStylePr w:type="band1Vert">
      <w:tblPr/>
      <w:tcPr>
        <w:shd w:val="clear" w:color="auto" w:fill="81D3FF" w:themeFill="accent3" w:themeFillTint="66"/>
      </w:tcPr>
    </w:tblStylePr>
    <w:tblStylePr w:type="band1Horz">
      <w:tblPr/>
      <w:tcPr>
        <w:shd w:val="clear" w:color="auto" w:fill="81D3FF" w:themeFill="accent3" w:themeFillTint="66"/>
      </w:tcPr>
    </w:tblStylePr>
  </w:style>
  <w:style w:type="table" w:styleId="GridTable4-Accent2">
    <w:name w:val="Grid Table 4 Accent 2"/>
    <w:basedOn w:val="TableNormal"/>
    <w:uiPriority w:val="49"/>
    <w:rsid w:val="00930984"/>
    <w:pPr>
      <w:spacing w:after="0" w:line="240" w:lineRule="auto"/>
    </w:pPr>
    <w:tblPr>
      <w:tblStyleRowBandSize w:val="1"/>
      <w:tblStyleColBandSize w:val="1"/>
      <w:tblBorders>
        <w:top w:val="single" w:sz="4" w:space="0" w:color="4591EB" w:themeColor="accent2" w:themeTint="99"/>
        <w:left w:val="single" w:sz="4" w:space="0" w:color="4591EB" w:themeColor="accent2" w:themeTint="99"/>
        <w:bottom w:val="single" w:sz="4" w:space="0" w:color="4591EB" w:themeColor="accent2" w:themeTint="99"/>
        <w:right w:val="single" w:sz="4" w:space="0" w:color="4591EB" w:themeColor="accent2" w:themeTint="99"/>
        <w:insideH w:val="single" w:sz="4" w:space="0" w:color="4591EB" w:themeColor="accent2" w:themeTint="99"/>
        <w:insideV w:val="single" w:sz="4" w:space="0" w:color="4591EB" w:themeColor="accent2" w:themeTint="99"/>
      </w:tblBorders>
    </w:tblPr>
    <w:tblStylePr w:type="firstRow">
      <w:rPr>
        <w:b/>
        <w:bCs/>
        <w:color w:val="54C1AF" w:themeColor="background1"/>
      </w:rPr>
      <w:tblPr/>
      <w:tcPr>
        <w:tcBorders>
          <w:top w:val="single" w:sz="4" w:space="0" w:color="104F99" w:themeColor="accent2"/>
          <w:left w:val="single" w:sz="4" w:space="0" w:color="104F99" w:themeColor="accent2"/>
          <w:bottom w:val="single" w:sz="4" w:space="0" w:color="104F99" w:themeColor="accent2"/>
          <w:right w:val="single" w:sz="4" w:space="0" w:color="104F99" w:themeColor="accent2"/>
          <w:insideH w:val="nil"/>
          <w:insideV w:val="nil"/>
        </w:tcBorders>
        <w:shd w:val="clear" w:color="auto" w:fill="104F99" w:themeFill="accent2"/>
      </w:tcPr>
    </w:tblStylePr>
    <w:tblStylePr w:type="lastRow">
      <w:rPr>
        <w:b/>
        <w:bCs/>
      </w:rPr>
      <w:tblPr/>
      <w:tcPr>
        <w:tcBorders>
          <w:top w:val="double" w:sz="4" w:space="0" w:color="104F99" w:themeColor="accent2"/>
        </w:tcBorders>
      </w:tcPr>
    </w:tblStylePr>
    <w:tblStylePr w:type="firstCol">
      <w:rPr>
        <w:b/>
        <w:bCs/>
      </w:rPr>
    </w:tblStylePr>
    <w:tblStylePr w:type="lastCol">
      <w:rPr>
        <w:b/>
        <w:bCs/>
      </w:rPr>
    </w:tblStylePr>
    <w:tblStylePr w:type="band1Vert">
      <w:tblPr/>
      <w:tcPr>
        <w:shd w:val="clear" w:color="auto" w:fill="C1DAF8" w:themeFill="accent2" w:themeFillTint="33"/>
      </w:tcPr>
    </w:tblStylePr>
    <w:tblStylePr w:type="band1Horz">
      <w:tblPr/>
      <w:tcPr>
        <w:shd w:val="clear" w:color="auto" w:fill="C1DAF8" w:themeFill="accent2" w:themeFillTint="33"/>
      </w:tcPr>
    </w:tblStylePr>
  </w:style>
  <w:style w:type="paragraph" w:customStyle="1" w:styleId="Cross-reference">
    <w:name w:val="Cross-reference"/>
    <w:basedOn w:val="Normal"/>
    <w:link w:val="Cross-referenceChar"/>
    <w:qFormat/>
    <w:rsid w:val="00312FFA"/>
    <w:pPr>
      <w:spacing w:line="276" w:lineRule="auto"/>
    </w:pPr>
    <w:rPr>
      <w:rFonts w:cs="Arial"/>
    </w:rPr>
  </w:style>
  <w:style w:type="character" w:customStyle="1" w:styleId="Cross-referenceChar">
    <w:name w:val="Cross-reference Char"/>
    <w:basedOn w:val="DefaultParagraphFont"/>
    <w:link w:val="Cross-reference"/>
    <w:rsid w:val="00312FFA"/>
    <w:rPr>
      <w:rFonts w:ascii="Arial" w:hAnsi="Arial" w:cs="Arial"/>
      <w:color w:val="15272F" w:themeColor="text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1315">
      <w:bodyDiv w:val="1"/>
      <w:marLeft w:val="0"/>
      <w:marRight w:val="0"/>
      <w:marTop w:val="0"/>
      <w:marBottom w:val="0"/>
      <w:divBdr>
        <w:top w:val="none" w:sz="0" w:space="0" w:color="auto"/>
        <w:left w:val="none" w:sz="0" w:space="0" w:color="auto"/>
        <w:bottom w:val="none" w:sz="0" w:space="0" w:color="auto"/>
        <w:right w:val="none" w:sz="0" w:space="0" w:color="auto"/>
      </w:divBdr>
    </w:div>
    <w:div w:id="34158104">
      <w:bodyDiv w:val="1"/>
      <w:marLeft w:val="0"/>
      <w:marRight w:val="0"/>
      <w:marTop w:val="0"/>
      <w:marBottom w:val="0"/>
      <w:divBdr>
        <w:top w:val="none" w:sz="0" w:space="0" w:color="auto"/>
        <w:left w:val="none" w:sz="0" w:space="0" w:color="auto"/>
        <w:bottom w:val="none" w:sz="0" w:space="0" w:color="auto"/>
        <w:right w:val="none" w:sz="0" w:space="0" w:color="auto"/>
      </w:divBdr>
      <w:divsChild>
        <w:div w:id="1475217879">
          <w:marLeft w:val="0"/>
          <w:marRight w:val="0"/>
          <w:marTop w:val="0"/>
          <w:marBottom w:val="0"/>
          <w:divBdr>
            <w:top w:val="none" w:sz="0" w:space="0" w:color="auto"/>
            <w:left w:val="none" w:sz="0" w:space="0" w:color="auto"/>
            <w:bottom w:val="none" w:sz="0" w:space="0" w:color="auto"/>
            <w:right w:val="none" w:sz="0" w:space="0" w:color="auto"/>
          </w:divBdr>
        </w:div>
      </w:divsChild>
    </w:div>
    <w:div w:id="78253151">
      <w:bodyDiv w:val="1"/>
      <w:marLeft w:val="0"/>
      <w:marRight w:val="0"/>
      <w:marTop w:val="0"/>
      <w:marBottom w:val="0"/>
      <w:divBdr>
        <w:top w:val="none" w:sz="0" w:space="0" w:color="auto"/>
        <w:left w:val="none" w:sz="0" w:space="0" w:color="auto"/>
        <w:bottom w:val="none" w:sz="0" w:space="0" w:color="auto"/>
        <w:right w:val="none" w:sz="0" w:space="0" w:color="auto"/>
      </w:divBdr>
    </w:div>
    <w:div w:id="78870235">
      <w:bodyDiv w:val="1"/>
      <w:marLeft w:val="0"/>
      <w:marRight w:val="0"/>
      <w:marTop w:val="0"/>
      <w:marBottom w:val="0"/>
      <w:divBdr>
        <w:top w:val="none" w:sz="0" w:space="0" w:color="auto"/>
        <w:left w:val="none" w:sz="0" w:space="0" w:color="auto"/>
        <w:bottom w:val="none" w:sz="0" w:space="0" w:color="auto"/>
        <w:right w:val="none" w:sz="0" w:space="0" w:color="auto"/>
      </w:divBdr>
    </w:div>
    <w:div w:id="88895058">
      <w:bodyDiv w:val="1"/>
      <w:marLeft w:val="0"/>
      <w:marRight w:val="0"/>
      <w:marTop w:val="0"/>
      <w:marBottom w:val="0"/>
      <w:divBdr>
        <w:top w:val="none" w:sz="0" w:space="0" w:color="auto"/>
        <w:left w:val="none" w:sz="0" w:space="0" w:color="auto"/>
        <w:bottom w:val="none" w:sz="0" w:space="0" w:color="auto"/>
        <w:right w:val="none" w:sz="0" w:space="0" w:color="auto"/>
      </w:divBdr>
      <w:divsChild>
        <w:div w:id="1365981992">
          <w:marLeft w:val="547"/>
          <w:marRight w:val="0"/>
          <w:marTop w:val="0"/>
          <w:marBottom w:val="0"/>
          <w:divBdr>
            <w:top w:val="none" w:sz="0" w:space="0" w:color="auto"/>
            <w:left w:val="none" w:sz="0" w:space="0" w:color="auto"/>
            <w:bottom w:val="none" w:sz="0" w:space="0" w:color="auto"/>
            <w:right w:val="none" w:sz="0" w:space="0" w:color="auto"/>
          </w:divBdr>
        </w:div>
      </w:divsChild>
    </w:div>
    <w:div w:id="106970683">
      <w:bodyDiv w:val="1"/>
      <w:marLeft w:val="0"/>
      <w:marRight w:val="0"/>
      <w:marTop w:val="0"/>
      <w:marBottom w:val="0"/>
      <w:divBdr>
        <w:top w:val="none" w:sz="0" w:space="0" w:color="auto"/>
        <w:left w:val="none" w:sz="0" w:space="0" w:color="auto"/>
        <w:bottom w:val="none" w:sz="0" w:space="0" w:color="auto"/>
        <w:right w:val="none" w:sz="0" w:space="0" w:color="auto"/>
      </w:divBdr>
    </w:div>
    <w:div w:id="115566425">
      <w:bodyDiv w:val="1"/>
      <w:marLeft w:val="0"/>
      <w:marRight w:val="0"/>
      <w:marTop w:val="0"/>
      <w:marBottom w:val="0"/>
      <w:divBdr>
        <w:top w:val="none" w:sz="0" w:space="0" w:color="auto"/>
        <w:left w:val="none" w:sz="0" w:space="0" w:color="auto"/>
        <w:bottom w:val="none" w:sz="0" w:space="0" w:color="auto"/>
        <w:right w:val="none" w:sz="0" w:space="0" w:color="auto"/>
      </w:divBdr>
    </w:div>
    <w:div w:id="126633395">
      <w:bodyDiv w:val="1"/>
      <w:marLeft w:val="0"/>
      <w:marRight w:val="0"/>
      <w:marTop w:val="0"/>
      <w:marBottom w:val="0"/>
      <w:divBdr>
        <w:top w:val="none" w:sz="0" w:space="0" w:color="auto"/>
        <w:left w:val="none" w:sz="0" w:space="0" w:color="auto"/>
        <w:bottom w:val="none" w:sz="0" w:space="0" w:color="auto"/>
        <w:right w:val="none" w:sz="0" w:space="0" w:color="auto"/>
      </w:divBdr>
    </w:div>
    <w:div w:id="139420958">
      <w:bodyDiv w:val="1"/>
      <w:marLeft w:val="0"/>
      <w:marRight w:val="0"/>
      <w:marTop w:val="0"/>
      <w:marBottom w:val="0"/>
      <w:divBdr>
        <w:top w:val="none" w:sz="0" w:space="0" w:color="auto"/>
        <w:left w:val="none" w:sz="0" w:space="0" w:color="auto"/>
        <w:bottom w:val="none" w:sz="0" w:space="0" w:color="auto"/>
        <w:right w:val="none" w:sz="0" w:space="0" w:color="auto"/>
      </w:divBdr>
    </w:div>
    <w:div w:id="140004351">
      <w:bodyDiv w:val="1"/>
      <w:marLeft w:val="0"/>
      <w:marRight w:val="0"/>
      <w:marTop w:val="0"/>
      <w:marBottom w:val="0"/>
      <w:divBdr>
        <w:top w:val="none" w:sz="0" w:space="0" w:color="auto"/>
        <w:left w:val="none" w:sz="0" w:space="0" w:color="auto"/>
        <w:bottom w:val="none" w:sz="0" w:space="0" w:color="auto"/>
        <w:right w:val="none" w:sz="0" w:space="0" w:color="auto"/>
      </w:divBdr>
    </w:div>
    <w:div w:id="141311112">
      <w:bodyDiv w:val="1"/>
      <w:marLeft w:val="0"/>
      <w:marRight w:val="0"/>
      <w:marTop w:val="0"/>
      <w:marBottom w:val="0"/>
      <w:divBdr>
        <w:top w:val="none" w:sz="0" w:space="0" w:color="auto"/>
        <w:left w:val="none" w:sz="0" w:space="0" w:color="auto"/>
        <w:bottom w:val="none" w:sz="0" w:space="0" w:color="auto"/>
        <w:right w:val="none" w:sz="0" w:space="0" w:color="auto"/>
      </w:divBdr>
      <w:divsChild>
        <w:div w:id="1892887518">
          <w:marLeft w:val="547"/>
          <w:marRight w:val="0"/>
          <w:marTop w:val="0"/>
          <w:marBottom w:val="0"/>
          <w:divBdr>
            <w:top w:val="none" w:sz="0" w:space="0" w:color="auto"/>
            <w:left w:val="none" w:sz="0" w:space="0" w:color="auto"/>
            <w:bottom w:val="none" w:sz="0" w:space="0" w:color="auto"/>
            <w:right w:val="none" w:sz="0" w:space="0" w:color="auto"/>
          </w:divBdr>
        </w:div>
      </w:divsChild>
    </w:div>
    <w:div w:id="151723976">
      <w:bodyDiv w:val="1"/>
      <w:marLeft w:val="0"/>
      <w:marRight w:val="0"/>
      <w:marTop w:val="0"/>
      <w:marBottom w:val="0"/>
      <w:divBdr>
        <w:top w:val="none" w:sz="0" w:space="0" w:color="auto"/>
        <w:left w:val="none" w:sz="0" w:space="0" w:color="auto"/>
        <w:bottom w:val="none" w:sz="0" w:space="0" w:color="auto"/>
        <w:right w:val="none" w:sz="0" w:space="0" w:color="auto"/>
      </w:divBdr>
    </w:div>
    <w:div w:id="157383408">
      <w:bodyDiv w:val="1"/>
      <w:marLeft w:val="0"/>
      <w:marRight w:val="0"/>
      <w:marTop w:val="0"/>
      <w:marBottom w:val="0"/>
      <w:divBdr>
        <w:top w:val="none" w:sz="0" w:space="0" w:color="auto"/>
        <w:left w:val="none" w:sz="0" w:space="0" w:color="auto"/>
        <w:bottom w:val="none" w:sz="0" w:space="0" w:color="auto"/>
        <w:right w:val="none" w:sz="0" w:space="0" w:color="auto"/>
      </w:divBdr>
    </w:div>
    <w:div w:id="166285574">
      <w:bodyDiv w:val="1"/>
      <w:marLeft w:val="0"/>
      <w:marRight w:val="0"/>
      <w:marTop w:val="0"/>
      <w:marBottom w:val="0"/>
      <w:divBdr>
        <w:top w:val="none" w:sz="0" w:space="0" w:color="auto"/>
        <w:left w:val="none" w:sz="0" w:space="0" w:color="auto"/>
        <w:bottom w:val="none" w:sz="0" w:space="0" w:color="auto"/>
        <w:right w:val="none" w:sz="0" w:space="0" w:color="auto"/>
      </w:divBdr>
    </w:div>
    <w:div w:id="178205643">
      <w:bodyDiv w:val="1"/>
      <w:marLeft w:val="0"/>
      <w:marRight w:val="0"/>
      <w:marTop w:val="0"/>
      <w:marBottom w:val="0"/>
      <w:divBdr>
        <w:top w:val="none" w:sz="0" w:space="0" w:color="auto"/>
        <w:left w:val="none" w:sz="0" w:space="0" w:color="auto"/>
        <w:bottom w:val="none" w:sz="0" w:space="0" w:color="auto"/>
        <w:right w:val="none" w:sz="0" w:space="0" w:color="auto"/>
      </w:divBdr>
    </w:div>
    <w:div w:id="203908940">
      <w:bodyDiv w:val="1"/>
      <w:marLeft w:val="0"/>
      <w:marRight w:val="0"/>
      <w:marTop w:val="0"/>
      <w:marBottom w:val="0"/>
      <w:divBdr>
        <w:top w:val="none" w:sz="0" w:space="0" w:color="auto"/>
        <w:left w:val="none" w:sz="0" w:space="0" w:color="auto"/>
        <w:bottom w:val="none" w:sz="0" w:space="0" w:color="auto"/>
        <w:right w:val="none" w:sz="0" w:space="0" w:color="auto"/>
      </w:divBdr>
    </w:div>
    <w:div w:id="243804519">
      <w:bodyDiv w:val="1"/>
      <w:marLeft w:val="0"/>
      <w:marRight w:val="0"/>
      <w:marTop w:val="0"/>
      <w:marBottom w:val="0"/>
      <w:divBdr>
        <w:top w:val="none" w:sz="0" w:space="0" w:color="auto"/>
        <w:left w:val="none" w:sz="0" w:space="0" w:color="auto"/>
        <w:bottom w:val="none" w:sz="0" w:space="0" w:color="auto"/>
        <w:right w:val="none" w:sz="0" w:space="0" w:color="auto"/>
      </w:divBdr>
    </w:div>
    <w:div w:id="258368686">
      <w:bodyDiv w:val="1"/>
      <w:marLeft w:val="0"/>
      <w:marRight w:val="0"/>
      <w:marTop w:val="0"/>
      <w:marBottom w:val="0"/>
      <w:divBdr>
        <w:top w:val="none" w:sz="0" w:space="0" w:color="auto"/>
        <w:left w:val="none" w:sz="0" w:space="0" w:color="auto"/>
        <w:bottom w:val="none" w:sz="0" w:space="0" w:color="auto"/>
        <w:right w:val="none" w:sz="0" w:space="0" w:color="auto"/>
      </w:divBdr>
    </w:div>
    <w:div w:id="266666107">
      <w:bodyDiv w:val="1"/>
      <w:marLeft w:val="0"/>
      <w:marRight w:val="0"/>
      <w:marTop w:val="0"/>
      <w:marBottom w:val="0"/>
      <w:divBdr>
        <w:top w:val="none" w:sz="0" w:space="0" w:color="auto"/>
        <w:left w:val="none" w:sz="0" w:space="0" w:color="auto"/>
        <w:bottom w:val="none" w:sz="0" w:space="0" w:color="auto"/>
        <w:right w:val="none" w:sz="0" w:space="0" w:color="auto"/>
      </w:divBdr>
    </w:div>
    <w:div w:id="416563365">
      <w:bodyDiv w:val="1"/>
      <w:marLeft w:val="0"/>
      <w:marRight w:val="0"/>
      <w:marTop w:val="0"/>
      <w:marBottom w:val="0"/>
      <w:divBdr>
        <w:top w:val="none" w:sz="0" w:space="0" w:color="auto"/>
        <w:left w:val="none" w:sz="0" w:space="0" w:color="auto"/>
        <w:bottom w:val="none" w:sz="0" w:space="0" w:color="auto"/>
        <w:right w:val="none" w:sz="0" w:space="0" w:color="auto"/>
      </w:divBdr>
    </w:div>
    <w:div w:id="431360084">
      <w:bodyDiv w:val="1"/>
      <w:marLeft w:val="0"/>
      <w:marRight w:val="0"/>
      <w:marTop w:val="0"/>
      <w:marBottom w:val="0"/>
      <w:divBdr>
        <w:top w:val="none" w:sz="0" w:space="0" w:color="auto"/>
        <w:left w:val="none" w:sz="0" w:space="0" w:color="auto"/>
        <w:bottom w:val="none" w:sz="0" w:space="0" w:color="auto"/>
        <w:right w:val="none" w:sz="0" w:space="0" w:color="auto"/>
      </w:divBdr>
      <w:divsChild>
        <w:div w:id="406004435">
          <w:marLeft w:val="547"/>
          <w:marRight w:val="0"/>
          <w:marTop w:val="0"/>
          <w:marBottom w:val="0"/>
          <w:divBdr>
            <w:top w:val="none" w:sz="0" w:space="0" w:color="auto"/>
            <w:left w:val="none" w:sz="0" w:space="0" w:color="auto"/>
            <w:bottom w:val="none" w:sz="0" w:space="0" w:color="auto"/>
            <w:right w:val="none" w:sz="0" w:space="0" w:color="auto"/>
          </w:divBdr>
        </w:div>
      </w:divsChild>
    </w:div>
    <w:div w:id="432089153">
      <w:bodyDiv w:val="1"/>
      <w:marLeft w:val="0"/>
      <w:marRight w:val="0"/>
      <w:marTop w:val="0"/>
      <w:marBottom w:val="0"/>
      <w:divBdr>
        <w:top w:val="none" w:sz="0" w:space="0" w:color="auto"/>
        <w:left w:val="none" w:sz="0" w:space="0" w:color="auto"/>
        <w:bottom w:val="none" w:sz="0" w:space="0" w:color="auto"/>
        <w:right w:val="none" w:sz="0" w:space="0" w:color="auto"/>
      </w:divBdr>
    </w:div>
    <w:div w:id="475805870">
      <w:bodyDiv w:val="1"/>
      <w:marLeft w:val="0"/>
      <w:marRight w:val="0"/>
      <w:marTop w:val="0"/>
      <w:marBottom w:val="0"/>
      <w:divBdr>
        <w:top w:val="none" w:sz="0" w:space="0" w:color="auto"/>
        <w:left w:val="none" w:sz="0" w:space="0" w:color="auto"/>
        <w:bottom w:val="none" w:sz="0" w:space="0" w:color="auto"/>
        <w:right w:val="none" w:sz="0" w:space="0" w:color="auto"/>
      </w:divBdr>
    </w:div>
    <w:div w:id="478037200">
      <w:bodyDiv w:val="1"/>
      <w:marLeft w:val="0"/>
      <w:marRight w:val="0"/>
      <w:marTop w:val="0"/>
      <w:marBottom w:val="0"/>
      <w:divBdr>
        <w:top w:val="none" w:sz="0" w:space="0" w:color="auto"/>
        <w:left w:val="none" w:sz="0" w:space="0" w:color="auto"/>
        <w:bottom w:val="none" w:sz="0" w:space="0" w:color="auto"/>
        <w:right w:val="none" w:sz="0" w:space="0" w:color="auto"/>
      </w:divBdr>
    </w:div>
    <w:div w:id="518591988">
      <w:bodyDiv w:val="1"/>
      <w:marLeft w:val="0"/>
      <w:marRight w:val="0"/>
      <w:marTop w:val="0"/>
      <w:marBottom w:val="0"/>
      <w:divBdr>
        <w:top w:val="none" w:sz="0" w:space="0" w:color="auto"/>
        <w:left w:val="none" w:sz="0" w:space="0" w:color="auto"/>
        <w:bottom w:val="none" w:sz="0" w:space="0" w:color="auto"/>
        <w:right w:val="none" w:sz="0" w:space="0" w:color="auto"/>
      </w:divBdr>
    </w:div>
    <w:div w:id="563683898">
      <w:bodyDiv w:val="1"/>
      <w:marLeft w:val="0"/>
      <w:marRight w:val="0"/>
      <w:marTop w:val="0"/>
      <w:marBottom w:val="0"/>
      <w:divBdr>
        <w:top w:val="none" w:sz="0" w:space="0" w:color="auto"/>
        <w:left w:val="none" w:sz="0" w:space="0" w:color="auto"/>
        <w:bottom w:val="none" w:sz="0" w:space="0" w:color="auto"/>
        <w:right w:val="none" w:sz="0" w:space="0" w:color="auto"/>
      </w:divBdr>
    </w:div>
    <w:div w:id="577786671">
      <w:bodyDiv w:val="1"/>
      <w:marLeft w:val="0"/>
      <w:marRight w:val="0"/>
      <w:marTop w:val="0"/>
      <w:marBottom w:val="0"/>
      <w:divBdr>
        <w:top w:val="none" w:sz="0" w:space="0" w:color="auto"/>
        <w:left w:val="none" w:sz="0" w:space="0" w:color="auto"/>
        <w:bottom w:val="none" w:sz="0" w:space="0" w:color="auto"/>
        <w:right w:val="none" w:sz="0" w:space="0" w:color="auto"/>
      </w:divBdr>
    </w:div>
    <w:div w:id="585577541">
      <w:bodyDiv w:val="1"/>
      <w:marLeft w:val="0"/>
      <w:marRight w:val="0"/>
      <w:marTop w:val="0"/>
      <w:marBottom w:val="0"/>
      <w:divBdr>
        <w:top w:val="none" w:sz="0" w:space="0" w:color="auto"/>
        <w:left w:val="none" w:sz="0" w:space="0" w:color="auto"/>
        <w:bottom w:val="none" w:sz="0" w:space="0" w:color="auto"/>
        <w:right w:val="none" w:sz="0" w:space="0" w:color="auto"/>
      </w:divBdr>
    </w:div>
    <w:div w:id="591281568">
      <w:bodyDiv w:val="1"/>
      <w:marLeft w:val="0"/>
      <w:marRight w:val="0"/>
      <w:marTop w:val="0"/>
      <w:marBottom w:val="0"/>
      <w:divBdr>
        <w:top w:val="none" w:sz="0" w:space="0" w:color="auto"/>
        <w:left w:val="none" w:sz="0" w:space="0" w:color="auto"/>
        <w:bottom w:val="none" w:sz="0" w:space="0" w:color="auto"/>
        <w:right w:val="none" w:sz="0" w:space="0" w:color="auto"/>
      </w:divBdr>
    </w:div>
    <w:div w:id="592864043">
      <w:bodyDiv w:val="1"/>
      <w:marLeft w:val="0"/>
      <w:marRight w:val="0"/>
      <w:marTop w:val="0"/>
      <w:marBottom w:val="0"/>
      <w:divBdr>
        <w:top w:val="none" w:sz="0" w:space="0" w:color="auto"/>
        <w:left w:val="none" w:sz="0" w:space="0" w:color="auto"/>
        <w:bottom w:val="none" w:sz="0" w:space="0" w:color="auto"/>
        <w:right w:val="none" w:sz="0" w:space="0" w:color="auto"/>
      </w:divBdr>
    </w:div>
    <w:div w:id="608585195">
      <w:bodyDiv w:val="1"/>
      <w:marLeft w:val="0"/>
      <w:marRight w:val="0"/>
      <w:marTop w:val="0"/>
      <w:marBottom w:val="0"/>
      <w:divBdr>
        <w:top w:val="none" w:sz="0" w:space="0" w:color="auto"/>
        <w:left w:val="none" w:sz="0" w:space="0" w:color="auto"/>
        <w:bottom w:val="none" w:sz="0" w:space="0" w:color="auto"/>
        <w:right w:val="none" w:sz="0" w:space="0" w:color="auto"/>
      </w:divBdr>
    </w:div>
    <w:div w:id="633371576">
      <w:bodyDiv w:val="1"/>
      <w:marLeft w:val="0"/>
      <w:marRight w:val="0"/>
      <w:marTop w:val="0"/>
      <w:marBottom w:val="0"/>
      <w:divBdr>
        <w:top w:val="none" w:sz="0" w:space="0" w:color="auto"/>
        <w:left w:val="none" w:sz="0" w:space="0" w:color="auto"/>
        <w:bottom w:val="none" w:sz="0" w:space="0" w:color="auto"/>
        <w:right w:val="none" w:sz="0" w:space="0" w:color="auto"/>
      </w:divBdr>
    </w:div>
    <w:div w:id="634914409">
      <w:bodyDiv w:val="1"/>
      <w:marLeft w:val="0"/>
      <w:marRight w:val="0"/>
      <w:marTop w:val="0"/>
      <w:marBottom w:val="0"/>
      <w:divBdr>
        <w:top w:val="none" w:sz="0" w:space="0" w:color="auto"/>
        <w:left w:val="none" w:sz="0" w:space="0" w:color="auto"/>
        <w:bottom w:val="none" w:sz="0" w:space="0" w:color="auto"/>
        <w:right w:val="none" w:sz="0" w:space="0" w:color="auto"/>
      </w:divBdr>
    </w:div>
    <w:div w:id="641927121">
      <w:bodyDiv w:val="1"/>
      <w:marLeft w:val="0"/>
      <w:marRight w:val="0"/>
      <w:marTop w:val="0"/>
      <w:marBottom w:val="0"/>
      <w:divBdr>
        <w:top w:val="none" w:sz="0" w:space="0" w:color="auto"/>
        <w:left w:val="none" w:sz="0" w:space="0" w:color="auto"/>
        <w:bottom w:val="none" w:sz="0" w:space="0" w:color="auto"/>
        <w:right w:val="none" w:sz="0" w:space="0" w:color="auto"/>
      </w:divBdr>
    </w:div>
    <w:div w:id="658657745">
      <w:bodyDiv w:val="1"/>
      <w:marLeft w:val="0"/>
      <w:marRight w:val="0"/>
      <w:marTop w:val="0"/>
      <w:marBottom w:val="0"/>
      <w:divBdr>
        <w:top w:val="none" w:sz="0" w:space="0" w:color="auto"/>
        <w:left w:val="none" w:sz="0" w:space="0" w:color="auto"/>
        <w:bottom w:val="none" w:sz="0" w:space="0" w:color="auto"/>
        <w:right w:val="none" w:sz="0" w:space="0" w:color="auto"/>
      </w:divBdr>
    </w:div>
    <w:div w:id="678001850">
      <w:bodyDiv w:val="1"/>
      <w:marLeft w:val="0"/>
      <w:marRight w:val="0"/>
      <w:marTop w:val="0"/>
      <w:marBottom w:val="0"/>
      <w:divBdr>
        <w:top w:val="none" w:sz="0" w:space="0" w:color="auto"/>
        <w:left w:val="none" w:sz="0" w:space="0" w:color="auto"/>
        <w:bottom w:val="none" w:sz="0" w:space="0" w:color="auto"/>
        <w:right w:val="none" w:sz="0" w:space="0" w:color="auto"/>
      </w:divBdr>
    </w:div>
    <w:div w:id="688290950">
      <w:bodyDiv w:val="1"/>
      <w:marLeft w:val="0"/>
      <w:marRight w:val="0"/>
      <w:marTop w:val="0"/>
      <w:marBottom w:val="0"/>
      <w:divBdr>
        <w:top w:val="none" w:sz="0" w:space="0" w:color="auto"/>
        <w:left w:val="none" w:sz="0" w:space="0" w:color="auto"/>
        <w:bottom w:val="none" w:sz="0" w:space="0" w:color="auto"/>
        <w:right w:val="none" w:sz="0" w:space="0" w:color="auto"/>
      </w:divBdr>
    </w:div>
    <w:div w:id="708147253">
      <w:bodyDiv w:val="1"/>
      <w:marLeft w:val="0"/>
      <w:marRight w:val="0"/>
      <w:marTop w:val="0"/>
      <w:marBottom w:val="0"/>
      <w:divBdr>
        <w:top w:val="none" w:sz="0" w:space="0" w:color="auto"/>
        <w:left w:val="none" w:sz="0" w:space="0" w:color="auto"/>
        <w:bottom w:val="none" w:sz="0" w:space="0" w:color="auto"/>
        <w:right w:val="none" w:sz="0" w:space="0" w:color="auto"/>
      </w:divBdr>
    </w:div>
    <w:div w:id="711543404">
      <w:bodyDiv w:val="1"/>
      <w:marLeft w:val="0"/>
      <w:marRight w:val="0"/>
      <w:marTop w:val="0"/>
      <w:marBottom w:val="0"/>
      <w:divBdr>
        <w:top w:val="none" w:sz="0" w:space="0" w:color="auto"/>
        <w:left w:val="none" w:sz="0" w:space="0" w:color="auto"/>
        <w:bottom w:val="none" w:sz="0" w:space="0" w:color="auto"/>
        <w:right w:val="none" w:sz="0" w:space="0" w:color="auto"/>
      </w:divBdr>
    </w:div>
    <w:div w:id="807013423">
      <w:bodyDiv w:val="1"/>
      <w:marLeft w:val="0"/>
      <w:marRight w:val="0"/>
      <w:marTop w:val="0"/>
      <w:marBottom w:val="0"/>
      <w:divBdr>
        <w:top w:val="none" w:sz="0" w:space="0" w:color="auto"/>
        <w:left w:val="none" w:sz="0" w:space="0" w:color="auto"/>
        <w:bottom w:val="none" w:sz="0" w:space="0" w:color="auto"/>
        <w:right w:val="none" w:sz="0" w:space="0" w:color="auto"/>
      </w:divBdr>
    </w:div>
    <w:div w:id="833450931">
      <w:bodyDiv w:val="1"/>
      <w:marLeft w:val="0"/>
      <w:marRight w:val="0"/>
      <w:marTop w:val="0"/>
      <w:marBottom w:val="0"/>
      <w:divBdr>
        <w:top w:val="none" w:sz="0" w:space="0" w:color="auto"/>
        <w:left w:val="none" w:sz="0" w:space="0" w:color="auto"/>
        <w:bottom w:val="none" w:sz="0" w:space="0" w:color="auto"/>
        <w:right w:val="none" w:sz="0" w:space="0" w:color="auto"/>
      </w:divBdr>
    </w:div>
    <w:div w:id="843785272">
      <w:bodyDiv w:val="1"/>
      <w:marLeft w:val="0"/>
      <w:marRight w:val="0"/>
      <w:marTop w:val="0"/>
      <w:marBottom w:val="0"/>
      <w:divBdr>
        <w:top w:val="none" w:sz="0" w:space="0" w:color="auto"/>
        <w:left w:val="none" w:sz="0" w:space="0" w:color="auto"/>
        <w:bottom w:val="none" w:sz="0" w:space="0" w:color="auto"/>
        <w:right w:val="none" w:sz="0" w:space="0" w:color="auto"/>
      </w:divBdr>
    </w:div>
    <w:div w:id="846796807">
      <w:bodyDiv w:val="1"/>
      <w:marLeft w:val="0"/>
      <w:marRight w:val="0"/>
      <w:marTop w:val="0"/>
      <w:marBottom w:val="0"/>
      <w:divBdr>
        <w:top w:val="none" w:sz="0" w:space="0" w:color="auto"/>
        <w:left w:val="none" w:sz="0" w:space="0" w:color="auto"/>
        <w:bottom w:val="none" w:sz="0" w:space="0" w:color="auto"/>
        <w:right w:val="none" w:sz="0" w:space="0" w:color="auto"/>
      </w:divBdr>
    </w:div>
    <w:div w:id="887960990">
      <w:bodyDiv w:val="1"/>
      <w:marLeft w:val="0"/>
      <w:marRight w:val="0"/>
      <w:marTop w:val="0"/>
      <w:marBottom w:val="0"/>
      <w:divBdr>
        <w:top w:val="none" w:sz="0" w:space="0" w:color="auto"/>
        <w:left w:val="none" w:sz="0" w:space="0" w:color="auto"/>
        <w:bottom w:val="none" w:sz="0" w:space="0" w:color="auto"/>
        <w:right w:val="none" w:sz="0" w:space="0" w:color="auto"/>
      </w:divBdr>
    </w:div>
    <w:div w:id="889270213">
      <w:bodyDiv w:val="1"/>
      <w:marLeft w:val="0"/>
      <w:marRight w:val="0"/>
      <w:marTop w:val="0"/>
      <w:marBottom w:val="0"/>
      <w:divBdr>
        <w:top w:val="none" w:sz="0" w:space="0" w:color="auto"/>
        <w:left w:val="none" w:sz="0" w:space="0" w:color="auto"/>
        <w:bottom w:val="none" w:sz="0" w:space="0" w:color="auto"/>
        <w:right w:val="none" w:sz="0" w:space="0" w:color="auto"/>
      </w:divBdr>
    </w:div>
    <w:div w:id="914051400">
      <w:bodyDiv w:val="1"/>
      <w:marLeft w:val="0"/>
      <w:marRight w:val="0"/>
      <w:marTop w:val="0"/>
      <w:marBottom w:val="0"/>
      <w:divBdr>
        <w:top w:val="none" w:sz="0" w:space="0" w:color="auto"/>
        <w:left w:val="none" w:sz="0" w:space="0" w:color="auto"/>
        <w:bottom w:val="none" w:sz="0" w:space="0" w:color="auto"/>
        <w:right w:val="none" w:sz="0" w:space="0" w:color="auto"/>
      </w:divBdr>
    </w:div>
    <w:div w:id="925656098">
      <w:bodyDiv w:val="1"/>
      <w:marLeft w:val="0"/>
      <w:marRight w:val="0"/>
      <w:marTop w:val="0"/>
      <w:marBottom w:val="0"/>
      <w:divBdr>
        <w:top w:val="none" w:sz="0" w:space="0" w:color="auto"/>
        <w:left w:val="none" w:sz="0" w:space="0" w:color="auto"/>
        <w:bottom w:val="none" w:sz="0" w:space="0" w:color="auto"/>
        <w:right w:val="none" w:sz="0" w:space="0" w:color="auto"/>
      </w:divBdr>
    </w:div>
    <w:div w:id="941571396">
      <w:bodyDiv w:val="1"/>
      <w:marLeft w:val="0"/>
      <w:marRight w:val="0"/>
      <w:marTop w:val="0"/>
      <w:marBottom w:val="0"/>
      <w:divBdr>
        <w:top w:val="none" w:sz="0" w:space="0" w:color="auto"/>
        <w:left w:val="none" w:sz="0" w:space="0" w:color="auto"/>
        <w:bottom w:val="none" w:sz="0" w:space="0" w:color="auto"/>
        <w:right w:val="none" w:sz="0" w:space="0" w:color="auto"/>
      </w:divBdr>
    </w:div>
    <w:div w:id="989675449">
      <w:bodyDiv w:val="1"/>
      <w:marLeft w:val="0"/>
      <w:marRight w:val="0"/>
      <w:marTop w:val="0"/>
      <w:marBottom w:val="0"/>
      <w:divBdr>
        <w:top w:val="none" w:sz="0" w:space="0" w:color="auto"/>
        <w:left w:val="none" w:sz="0" w:space="0" w:color="auto"/>
        <w:bottom w:val="none" w:sz="0" w:space="0" w:color="auto"/>
        <w:right w:val="none" w:sz="0" w:space="0" w:color="auto"/>
      </w:divBdr>
    </w:div>
    <w:div w:id="1007172076">
      <w:bodyDiv w:val="1"/>
      <w:marLeft w:val="0"/>
      <w:marRight w:val="0"/>
      <w:marTop w:val="0"/>
      <w:marBottom w:val="0"/>
      <w:divBdr>
        <w:top w:val="none" w:sz="0" w:space="0" w:color="auto"/>
        <w:left w:val="none" w:sz="0" w:space="0" w:color="auto"/>
        <w:bottom w:val="none" w:sz="0" w:space="0" w:color="auto"/>
        <w:right w:val="none" w:sz="0" w:space="0" w:color="auto"/>
      </w:divBdr>
    </w:div>
    <w:div w:id="1036733221">
      <w:bodyDiv w:val="1"/>
      <w:marLeft w:val="0"/>
      <w:marRight w:val="0"/>
      <w:marTop w:val="0"/>
      <w:marBottom w:val="0"/>
      <w:divBdr>
        <w:top w:val="none" w:sz="0" w:space="0" w:color="auto"/>
        <w:left w:val="none" w:sz="0" w:space="0" w:color="auto"/>
        <w:bottom w:val="none" w:sz="0" w:space="0" w:color="auto"/>
        <w:right w:val="none" w:sz="0" w:space="0" w:color="auto"/>
      </w:divBdr>
    </w:div>
    <w:div w:id="1041594896">
      <w:bodyDiv w:val="1"/>
      <w:marLeft w:val="0"/>
      <w:marRight w:val="0"/>
      <w:marTop w:val="0"/>
      <w:marBottom w:val="0"/>
      <w:divBdr>
        <w:top w:val="none" w:sz="0" w:space="0" w:color="auto"/>
        <w:left w:val="none" w:sz="0" w:space="0" w:color="auto"/>
        <w:bottom w:val="none" w:sz="0" w:space="0" w:color="auto"/>
        <w:right w:val="none" w:sz="0" w:space="0" w:color="auto"/>
      </w:divBdr>
    </w:div>
    <w:div w:id="1041827062">
      <w:bodyDiv w:val="1"/>
      <w:marLeft w:val="0"/>
      <w:marRight w:val="0"/>
      <w:marTop w:val="0"/>
      <w:marBottom w:val="0"/>
      <w:divBdr>
        <w:top w:val="none" w:sz="0" w:space="0" w:color="auto"/>
        <w:left w:val="none" w:sz="0" w:space="0" w:color="auto"/>
        <w:bottom w:val="none" w:sz="0" w:space="0" w:color="auto"/>
        <w:right w:val="none" w:sz="0" w:space="0" w:color="auto"/>
      </w:divBdr>
    </w:div>
    <w:div w:id="1074887834">
      <w:bodyDiv w:val="1"/>
      <w:marLeft w:val="0"/>
      <w:marRight w:val="0"/>
      <w:marTop w:val="0"/>
      <w:marBottom w:val="0"/>
      <w:divBdr>
        <w:top w:val="none" w:sz="0" w:space="0" w:color="auto"/>
        <w:left w:val="none" w:sz="0" w:space="0" w:color="auto"/>
        <w:bottom w:val="none" w:sz="0" w:space="0" w:color="auto"/>
        <w:right w:val="none" w:sz="0" w:space="0" w:color="auto"/>
      </w:divBdr>
    </w:div>
    <w:div w:id="1089693352">
      <w:bodyDiv w:val="1"/>
      <w:marLeft w:val="0"/>
      <w:marRight w:val="0"/>
      <w:marTop w:val="0"/>
      <w:marBottom w:val="0"/>
      <w:divBdr>
        <w:top w:val="none" w:sz="0" w:space="0" w:color="auto"/>
        <w:left w:val="none" w:sz="0" w:space="0" w:color="auto"/>
        <w:bottom w:val="none" w:sz="0" w:space="0" w:color="auto"/>
        <w:right w:val="none" w:sz="0" w:space="0" w:color="auto"/>
      </w:divBdr>
      <w:divsChild>
        <w:div w:id="1052383128">
          <w:marLeft w:val="547"/>
          <w:marRight w:val="0"/>
          <w:marTop w:val="0"/>
          <w:marBottom w:val="0"/>
          <w:divBdr>
            <w:top w:val="none" w:sz="0" w:space="0" w:color="auto"/>
            <w:left w:val="none" w:sz="0" w:space="0" w:color="auto"/>
            <w:bottom w:val="none" w:sz="0" w:space="0" w:color="auto"/>
            <w:right w:val="none" w:sz="0" w:space="0" w:color="auto"/>
          </w:divBdr>
        </w:div>
      </w:divsChild>
    </w:div>
    <w:div w:id="1091858593">
      <w:bodyDiv w:val="1"/>
      <w:marLeft w:val="0"/>
      <w:marRight w:val="0"/>
      <w:marTop w:val="0"/>
      <w:marBottom w:val="0"/>
      <w:divBdr>
        <w:top w:val="none" w:sz="0" w:space="0" w:color="auto"/>
        <w:left w:val="none" w:sz="0" w:space="0" w:color="auto"/>
        <w:bottom w:val="none" w:sz="0" w:space="0" w:color="auto"/>
        <w:right w:val="none" w:sz="0" w:space="0" w:color="auto"/>
      </w:divBdr>
    </w:div>
    <w:div w:id="1097407869">
      <w:bodyDiv w:val="1"/>
      <w:marLeft w:val="0"/>
      <w:marRight w:val="0"/>
      <w:marTop w:val="0"/>
      <w:marBottom w:val="0"/>
      <w:divBdr>
        <w:top w:val="none" w:sz="0" w:space="0" w:color="auto"/>
        <w:left w:val="none" w:sz="0" w:space="0" w:color="auto"/>
        <w:bottom w:val="none" w:sz="0" w:space="0" w:color="auto"/>
        <w:right w:val="none" w:sz="0" w:space="0" w:color="auto"/>
      </w:divBdr>
    </w:div>
    <w:div w:id="1107892504">
      <w:bodyDiv w:val="1"/>
      <w:marLeft w:val="0"/>
      <w:marRight w:val="0"/>
      <w:marTop w:val="0"/>
      <w:marBottom w:val="0"/>
      <w:divBdr>
        <w:top w:val="none" w:sz="0" w:space="0" w:color="auto"/>
        <w:left w:val="none" w:sz="0" w:space="0" w:color="auto"/>
        <w:bottom w:val="none" w:sz="0" w:space="0" w:color="auto"/>
        <w:right w:val="none" w:sz="0" w:space="0" w:color="auto"/>
      </w:divBdr>
    </w:div>
    <w:div w:id="1121460472">
      <w:bodyDiv w:val="1"/>
      <w:marLeft w:val="0"/>
      <w:marRight w:val="0"/>
      <w:marTop w:val="0"/>
      <w:marBottom w:val="0"/>
      <w:divBdr>
        <w:top w:val="none" w:sz="0" w:space="0" w:color="auto"/>
        <w:left w:val="none" w:sz="0" w:space="0" w:color="auto"/>
        <w:bottom w:val="none" w:sz="0" w:space="0" w:color="auto"/>
        <w:right w:val="none" w:sz="0" w:space="0" w:color="auto"/>
      </w:divBdr>
    </w:div>
    <w:div w:id="1123884628">
      <w:bodyDiv w:val="1"/>
      <w:marLeft w:val="0"/>
      <w:marRight w:val="0"/>
      <w:marTop w:val="0"/>
      <w:marBottom w:val="0"/>
      <w:divBdr>
        <w:top w:val="none" w:sz="0" w:space="0" w:color="auto"/>
        <w:left w:val="none" w:sz="0" w:space="0" w:color="auto"/>
        <w:bottom w:val="none" w:sz="0" w:space="0" w:color="auto"/>
        <w:right w:val="none" w:sz="0" w:space="0" w:color="auto"/>
      </w:divBdr>
    </w:div>
    <w:div w:id="1132017018">
      <w:bodyDiv w:val="1"/>
      <w:marLeft w:val="0"/>
      <w:marRight w:val="0"/>
      <w:marTop w:val="0"/>
      <w:marBottom w:val="0"/>
      <w:divBdr>
        <w:top w:val="none" w:sz="0" w:space="0" w:color="auto"/>
        <w:left w:val="none" w:sz="0" w:space="0" w:color="auto"/>
        <w:bottom w:val="none" w:sz="0" w:space="0" w:color="auto"/>
        <w:right w:val="none" w:sz="0" w:space="0" w:color="auto"/>
      </w:divBdr>
    </w:div>
    <w:div w:id="1149053604">
      <w:bodyDiv w:val="1"/>
      <w:marLeft w:val="0"/>
      <w:marRight w:val="0"/>
      <w:marTop w:val="0"/>
      <w:marBottom w:val="0"/>
      <w:divBdr>
        <w:top w:val="none" w:sz="0" w:space="0" w:color="auto"/>
        <w:left w:val="none" w:sz="0" w:space="0" w:color="auto"/>
        <w:bottom w:val="none" w:sz="0" w:space="0" w:color="auto"/>
        <w:right w:val="none" w:sz="0" w:space="0" w:color="auto"/>
      </w:divBdr>
    </w:div>
    <w:div w:id="1157266415">
      <w:bodyDiv w:val="1"/>
      <w:marLeft w:val="0"/>
      <w:marRight w:val="0"/>
      <w:marTop w:val="0"/>
      <w:marBottom w:val="0"/>
      <w:divBdr>
        <w:top w:val="none" w:sz="0" w:space="0" w:color="auto"/>
        <w:left w:val="none" w:sz="0" w:space="0" w:color="auto"/>
        <w:bottom w:val="none" w:sz="0" w:space="0" w:color="auto"/>
        <w:right w:val="none" w:sz="0" w:space="0" w:color="auto"/>
      </w:divBdr>
    </w:div>
    <w:div w:id="1217620587">
      <w:bodyDiv w:val="1"/>
      <w:marLeft w:val="0"/>
      <w:marRight w:val="0"/>
      <w:marTop w:val="0"/>
      <w:marBottom w:val="0"/>
      <w:divBdr>
        <w:top w:val="none" w:sz="0" w:space="0" w:color="auto"/>
        <w:left w:val="none" w:sz="0" w:space="0" w:color="auto"/>
        <w:bottom w:val="none" w:sz="0" w:space="0" w:color="auto"/>
        <w:right w:val="none" w:sz="0" w:space="0" w:color="auto"/>
      </w:divBdr>
    </w:div>
    <w:div w:id="1237664244">
      <w:bodyDiv w:val="1"/>
      <w:marLeft w:val="0"/>
      <w:marRight w:val="0"/>
      <w:marTop w:val="0"/>
      <w:marBottom w:val="0"/>
      <w:divBdr>
        <w:top w:val="none" w:sz="0" w:space="0" w:color="auto"/>
        <w:left w:val="none" w:sz="0" w:space="0" w:color="auto"/>
        <w:bottom w:val="none" w:sz="0" w:space="0" w:color="auto"/>
        <w:right w:val="none" w:sz="0" w:space="0" w:color="auto"/>
      </w:divBdr>
    </w:div>
    <w:div w:id="1251307270">
      <w:bodyDiv w:val="1"/>
      <w:marLeft w:val="0"/>
      <w:marRight w:val="0"/>
      <w:marTop w:val="0"/>
      <w:marBottom w:val="0"/>
      <w:divBdr>
        <w:top w:val="none" w:sz="0" w:space="0" w:color="auto"/>
        <w:left w:val="none" w:sz="0" w:space="0" w:color="auto"/>
        <w:bottom w:val="none" w:sz="0" w:space="0" w:color="auto"/>
        <w:right w:val="none" w:sz="0" w:space="0" w:color="auto"/>
      </w:divBdr>
    </w:div>
    <w:div w:id="1255088059">
      <w:bodyDiv w:val="1"/>
      <w:marLeft w:val="0"/>
      <w:marRight w:val="0"/>
      <w:marTop w:val="0"/>
      <w:marBottom w:val="0"/>
      <w:divBdr>
        <w:top w:val="none" w:sz="0" w:space="0" w:color="auto"/>
        <w:left w:val="none" w:sz="0" w:space="0" w:color="auto"/>
        <w:bottom w:val="none" w:sz="0" w:space="0" w:color="auto"/>
        <w:right w:val="none" w:sz="0" w:space="0" w:color="auto"/>
      </w:divBdr>
    </w:div>
    <w:div w:id="1260874045">
      <w:bodyDiv w:val="1"/>
      <w:marLeft w:val="0"/>
      <w:marRight w:val="0"/>
      <w:marTop w:val="0"/>
      <w:marBottom w:val="0"/>
      <w:divBdr>
        <w:top w:val="none" w:sz="0" w:space="0" w:color="auto"/>
        <w:left w:val="none" w:sz="0" w:space="0" w:color="auto"/>
        <w:bottom w:val="none" w:sz="0" w:space="0" w:color="auto"/>
        <w:right w:val="none" w:sz="0" w:space="0" w:color="auto"/>
      </w:divBdr>
    </w:div>
    <w:div w:id="1270695498">
      <w:bodyDiv w:val="1"/>
      <w:marLeft w:val="0"/>
      <w:marRight w:val="0"/>
      <w:marTop w:val="0"/>
      <w:marBottom w:val="0"/>
      <w:divBdr>
        <w:top w:val="none" w:sz="0" w:space="0" w:color="auto"/>
        <w:left w:val="none" w:sz="0" w:space="0" w:color="auto"/>
        <w:bottom w:val="none" w:sz="0" w:space="0" w:color="auto"/>
        <w:right w:val="none" w:sz="0" w:space="0" w:color="auto"/>
      </w:divBdr>
    </w:div>
    <w:div w:id="1290934293">
      <w:bodyDiv w:val="1"/>
      <w:marLeft w:val="0"/>
      <w:marRight w:val="0"/>
      <w:marTop w:val="0"/>
      <w:marBottom w:val="0"/>
      <w:divBdr>
        <w:top w:val="none" w:sz="0" w:space="0" w:color="auto"/>
        <w:left w:val="none" w:sz="0" w:space="0" w:color="auto"/>
        <w:bottom w:val="none" w:sz="0" w:space="0" w:color="auto"/>
        <w:right w:val="none" w:sz="0" w:space="0" w:color="auto"/>
      </w:divBdr>
    </w:div>
    <w:div w:id="1304237902">
      <w:bodyDiv w:val="1"/>
      <w:marLeft w:val="0"/>
      <w:marRight w:val="0"/>
      <w:marTop w:val="0"/>
      <w:marBottom w:val="0"/>
      <w:divBdr>
        <w:top w:val="none" w:sz="0" w:space="0" w:color="auto"/>
        <w:left w:val="none" w:sz="0" w:space="0" w:color="auto"/>
        <w:bottom w:val="none" w:sz="0" w:space="0" w:color="auto"/>
        <w:right w:val="none" w:sz="0" w:space="0" w:color="auto"/>
      </w:divBdr>
    </w:div>
    <w:div w:id="1353068393">
      <w:bodyDiv w:val="1"/>
      <w:marLeft w:val="0"/>
      <w:marRight w:val="0"/>
      <w:marTop w:val="0"/>
      <w:marBottom w:val="0"/>
      <w:divBdr>
        <w:top w:val="none" w:sz="0" w:space="0" w:color="auto"/>
        <w:left w:val="none" w:sz="0" w:space="0" w:color="auto"/>
        <w:bottom w:val="none" w:sz="0" w:space="0" w:color="auto"/>
        <w:right w:val="none" w:sz="0" w:space="0" w:color="auto"/>
      </w:divBdr>
    </w:div>
    <w:div w:id="1382826557">
      <w:bodyDiv w:val="1"/>
      <w:marLeft w:val="0"/>
      <w:marRight w:val="0"/>
      <w:marTop w:val="0"/>
      <w:marBottom w:val="0"/>
      <w:divBdr>
        <w:top w:val="none" w:sz="0" w:space="0" w:color="auto"/>
        <w:left w:val="none" w:sz="0" w:space="0" w:color="auto"/>
        <w:bottom w:val="none" w:sz="0" w:space="0" w:color="auto"/>
        <w:right w:val="none" w:sz="0" w:space="0" w:color="auto"/>
      </w:divBdr>
    </w:div>
    <w:div w:id="1391534536">
      <w:bodyDiv w:val="1"/>
      <w:marLeft w:val="0"/>
      <w:marRight w:val="0"/>
      <w:marTop w:val="0"/>
      <w:marBottom w:val="0"/>
      <w:divBdr>
        <w:top w:val="none" w:sz="0" w:space="0" w:color="auto"/>
        <w:left w:val="none" w:sz="0" w:space="0" w:color="auto"/>
        <w:bottom w:val="none" w:sz="0" w:space="0" w:color="auto"/>
        <w:right w:val="none" w:sz="0" w:space="0" w:color="auto"/>
      </w:divBdr>
    </w:div>
    <w:div w:id="1447965206">
      <w:bodyDiv w:val="1"/>
      <w:marLeft w:val="0"/>
      <w:marRight w:val="0"/>
      <w:marTop w:val="0"/>
      <w:marBottom w:val="0"/>
      <w:divBdr>
        <w:top w:val="none" w:sz="0" w:space="0" w:color="auto"/>
        <w:left w:val="none" w:sz="0" w:space="0" w:color="auto"/>
        <w:bottom w:val="none" w:sz="0" w:space="0" w:color="auto"/>
        <w:right w:val="none" w:sz="0" w:space="0" w:color="auto"/>
      </w:divBdr>
    </w:div>
    <w:div w:id="1467041613">
      <w:bodyDiv w:val="1"/>
      <w:marLeft w:val="0"/>
      <w:marRight w:val="0"/>
      <w:marTop w:val="0"/>
      <w:marBottom w:val="0"/>
      <w:divBdr>
        <w:top w:val="none" w:sz="0" w:space="0" w:color="auto"/>
        <w:left w:val="none" w:sz="0" w:space="0" w:color="auto"/>
        <w:bottom w:val="none" w:sz="0" w:space="0" w:color="auto"/>
        <w:right w:val="none" w:sz="0" w:space="0" w:color="auto"/>
      </w:divBdr>
    </w:div>
    <w:div w:id="1491409054">
      <w:bodyDiv w:val="1"/>
      <w:marLeft w:val="0"/>
      <w:marRight w:val="0"/>
      <w:marTop w:val="0"/>
      <w:marBottom w:val="0"/>
      <w:divBdr>
        <w:top w:val="none" w:sz="0" w:space="0" w:color="auto"/>
        <w:left w:val="none" w:sz="0" w:space="0" w:color="auto"/>
        <w:bottom w:val="none" w:sz="0" w:space="0" w:color="auto"/>
        <w:right w:val="none" w:sz="0" w:space="0" w:color="auto"/>
      </w:divBdr>
    </w:div>
    <w:div w:id="1509639933">
      <w:bodyDiv w:val="1"/>
      <w:marLeft w:val="0"/>
      <w:marRight w:val="0"/>
      <w:marTop w:val="0"/>
      <w:marBottom w:val="0"/>
      <w:divBdr>
        <w:top w:val="none" w:sz="0" w:space="0" w:color="auto"/>
        <w:left w:val="none" w:sz="0" w:space="0" w:color="auto"/>
        <w:bottom w:val="none" w:sz="0" w:space="0" w:color="auto"/>
        <w:right w:val="none" w:sz="0" w:space="0" w:color="auto"/>
      </w:divBdr>
    </w:div>
    <w:div w:id="1520122760">
      <w:bodyDiv w:val="1"/>
      <w:marLeft w:val="0"/>
      <w:marRight w:val="0"/>
      <w:marTop w:val="0"/>
      <w:marBottom w:val="0"/>
      <w:divBdr>
        <w:top w:val="none" w:sz="0" w:space="0" w:color="auto"/>
        <w:left w:val="none" w:sz="0" w:space="0" w:color="auto"/>
        <w:bottom w:val="none" w:sz="0" w:space="0" w:color="auto"/>
        <w:right w:val="none" w:sz="0" w:space="0" w:color="auto"/>
      </w:divBdr>
    </w:div>
    <w:div w:id="1526598979">
      <w:bodyDiv w:val="1"/>
      <w:marLeft w:val="0"/>
      <w:marRight w:val="0"/>
      <w:marTop w:val="0"/>
      <w:marBottom w:val="0"/>
      <w:divBdr>
        <w:top w:val="none" w:sz="0" w:space="0" w:color="auto"/>
        <w:left w:val="none" w:sz="0" w:space="0" w:color="auto"/>
        <w:bottom w:val="none" w:sz="0" w:space="0" w:color="auto"/>
        <w:right w:val="none" w:sz="0" w:space="0" w:color="auto"/>
      </w:divBdr>
    </w:div>
    <w:div w:id="1595016425">
      <w:bodyDiv w:val="1"/>
      <w:marLeft w:val="0"/>
      <w:marRight w:val="0"/>
      <w:marTop w:val="0"/>
      <w:marBottom w:val="0"/>
      <w:divBdr>
        <w:top w:val="none" w:sz="0" w:space="0" w:color="auto"/>
        <w:left w:val="none" w:sz="0" w:space="0" w:color="auto"/>
        <w:bottom w:val="none" w:sz="0" w:space="0" w:color="auto"/>
        <w:right w:val="none" w:sz="0" w:space="0" w:color="auto"/>
      </w:divBdr>
    </w:div>
    <w:div w:id="1651054693">
      <w:bodyDiv w:val="1"/>
      <w:marLeft w:val="0"/>
      <w:marRight w:val="0"/>
      <w:marTop w:val="0"/>
      <w:marBottom w:val="0"/>
      <w:divBdr>
        <w:top w:val="none" w:sz="0" w:space="0" w:color="auto"/>
        <w:left w:val="none" w:sz="0" w:space="0" w:color="auto"/>
        <w:bottom w:val="none" w:sz="0" w:space="0" w:color="auto"/>
        <w:right w:val="none" w:sz="0" w:space="0" w:color="auto"/>
      </w:divBdr>
    </w:div>
    <w:div w:id="1700886965">
      <w:bodyDiv w:val="1"/>
      <w:marLeft w:val="0"/>
      <w:marRight w:val="0"/>
      <w:marTop w:val="0"/>
      <w:marBottom w:val="0"/>
      <w:divBdr>
        <w:top w:val="none" w:sz="0" w:space="0" w:color="auto"/>
        <w:left w:val="none" w:sz="0" w:space="0" w:color="auto"/>
        <w:bottom w:val="none" w:sz="0" w:space="0" w:color="auto"/>
        <w:right w:val="none" w:sz="0" w:space="0" w:color="auto"/>
      </w:divBdr>
    </w:div>
    <w:div w:id="1728451796">
      <w:bodyDiv w:val="1"/>
      <w:marLeft w:val="0"/>
      <w:marRight w:val="0"/>
      <w:marTop w:val="0"/>
      <w:marBottom w:val="0"/>
      <w:divBdr>
        <w:top w:val="none" w:sz="0" w:space="0" w:color="auto"/>
        <w:left w:val="none" w:sz="0" w:space="0" w:color="auto"/>
        <w:bottom w:val="none" w:sz="0" w:space="0" w:color="auto"/>
        <w:right w:val="none" w:sz="0" w:space="0" w:color="auto"/>
      </w:divBdr>
    </w:div>
    <w:div w:id="1738243871">
      <w:bodyDiv w:val="1"/>
      <w:marLeft w:val="0"/>
      <w:marRight w:val="0"/>
      <w:marTop w:val="0"/>
      <w:marBottom w:val="0"/>
      <w:divBdr>
        <w:top w:val="none" w:sz="0" w:space="0" w:color="auto"/>
        <w:left w:val="none" w:sz="0" w:space="0" w:color="auto"/>
        <w:bottom w:val="none" w:sz="0" w:space="0" w:color="auto"/>
        <w:right w:val="none" w:sz="0" w:space="0" w:color="auto"/>
      </w:divBdr>
    </w:div>
    <w:div w:id="1760904761">
      <w:bodyDiv w:val="1"/>
      <w:marLeft w:val="0"/>
      <w:marRight w:val="0"/>
      <w:marTop w:val="0"/>
      <w:marBottom w:val="0"/>
      <w:divBdr>
        <w:top w:val="none" w:sz="0" w:space="0" w:color="auto"/>
        <w:left w:val="none" w:sz="0" w:space="0" w:color="auto"/>
        <w:bottom w:val="none" w:sz="0" w:space="0" w:color="auto"/>
        <w:right w:val="none" w:sz="0" w:space="0" w:color="auto"/>
      </w:divBdr>
    </w:div>
    <w:div w:id="1778062498">
      <w:bodyDiv w:val="1"/>
      <w:marLeft w:val="0"/>
      <w:marRight w:val="0"/>
      <w:marTop w:val="0"/>
      <w:marBottom w:val="0"/>
      <w:divBdr>
        <w:top w:val="none" w:sz="0" w:space="0" w:color="auto"/>
        <w:left w:val="none" w:sz="0" w:space="0" w:color="auto"/>
        <w:bottom w:val="none" w:sz="0" w:space="0" w:color="auto"/>
        <w:right w:val="none" w:sz="0" w:space="0" w:color="auto"/>
      </w:divBdr>
      <w:divsChild>
        <w:div w:id="672951500">
          <w:marLeft w:val="0"/>
          <w:marRight w:val="0"/>
          <w:marTop w:val="0"/>
          <w:marBottom w:val="0"/>
          <w:divBdr>
            <w:top w:val="none" w:sz="0" w:space="0" w:color="auto"/>
            <w:left w:val="none" w:sz="0" w:space="0" w:color="auto"/>
            <w:bottom w:val="none" w:sz="0" w:space="0" w:color="auto"/>
            <w:right w:val="none" w:sz="0" w:space="0" w:color="auto"/>
          </w:divBdr>
        </w:div>
      </w:divsChild>
    </w:div>
    <w:div w:id="1835491134">
      <w:bodyDiv w:val="1"/>
      <w:marLeft w:val="0"/>
      <w:marRight w:val="0"/>
      <w:marTop w:val="0"/>
      <w:marBottom w:val="0"/>
      <w:divBdr>
        <w:top w:val="none" w:sz="0" w:space="0" w:color="auto"/>
        <w:left w:val="none" w:sz="0" w:space="0" w:color="auto"/>
        <w:bottom w:val="none" w:sz="0" w:space="0" w:color="auto"/>
        <w:right w:val="none" w:sz="0" w:space="0" w:color="auto"/>
      </w:divBdr>
    </w:div>
    <w:div w:id="1845977947">
      <w:bodyDiv w:val="1"/>
      <w:marLeft w:val="0"/>
      <w:marRight w:val="0"/>
      <w:marTop w:val="0"/>
      <w:marBottom w:val="0"/>
      <w:divBdr>
        <w:top w:val="none" w:sz="0" w:space="0" w:color="auto"/>
        <w:left w:val="none" w:sz="0" w:space="0" w:color="auto"/>
        <w:bottom w:val="none" w:sz="0" w:space="0" w:color="auto"/>
        <w:right w:val="none" w:sz="0" w:space="0" w:color="auto"/>
      </w:divBdr>
    </w:div>
    <w:div w:id="1900941192">
      <w:bodyDiv w:val="1"/>
      <w:marLeft w:val="0"/>
      <w:marRight w:val="0"/>
      <w:marTop w:val="0"/>
      <w:marBottom w:val="0"/>
      <w:divBdr>
        <w:top w:val="none" w:sz="0" w:space="0" w:color="auto"/>
        <w:left w:val="none" w:sz="0" w:space="0" w:color="auto"/>
        <w:bottom w:val="none" w:sz="0" w:space="0" w:color="auto"/>
        <w:right w:val="none" w:sz="0" w:space="0" w:color="auto"/>
      </w:divBdr>
    </w:div>
    <w:div w:id="1903058377">
      <w:bodyDiv w:val="1"/>
      <w:marLeft w:val="0"/>
      <w:marRight w:val="0"/>
      <w:marTop w:val="0"/>
      <w:marBottom w:val="0"/>
      <w:divBdr>
        <w:top w:val="none" w:sz="0" w:space="0" w:color="auto"/>
        <w:left w:val="none" w:sz="0" w:space="0" w:color="auto"/>
        <w:bottom w:val="none" w:sz="0" w:space="0" w:color="auto"/>
        <w:right w:val="none" w:sz="0" w:space="0" w:color="auto"/>
      </w:divBdr>
    </w:div>
    <w:div w:id="1951815090">
      <w:bodyDiv w:val="1"/>
      <w:marLeft w:val="0"/>
      <w:marRight w:val="0"/>
      <w:marTop w:val="0"/>
      <w:marBottom w:val="0"/>
      <w:divBdr>
        <w:top w:val="none" w:sz="0" w:space="0" w:color="auto"/>
        <w:left w:val="none" w:sz="0" w:space="0" w:color="auto"/>
        <w:bottom w:val="none" w:sz="0" w:space="0" w:color="auto"/>
        <w:right w:val="none" w:sz="0" w:space="0" w:color="auto"/>
      </w:divBdr>
    </w:div>
    <w:div w:id="1962882231">
      <w:bodyDiv w:val="1"/>
      <w:marLeft w:val="0"/>
      <w:marRight w:val="0"/>
      <w:marTop w:val="0"/>
      <w:marBottom w:val="0"/>
      <w:divBdr>
        <w:top w:val="none" w:sz="0" w:space="0" w:color="auto"/>
        <w:left w:val="none" w:sz="0" w:space="0" w:color="auto"/>
        <w:bottom w:val="none" w:sz="0" w:space="0" w:color="auto"/>
        <w:right w:val="none" w:sz="0" w:space="0" w:color="auto"/>
      </w:divBdr>
    </w:div>
    <w:div w:id="1970822504">
      <w:bodyDiv w:val="1"/>
      <w:marLeft w:val="0"/>
      <w:marRight w:val="0"/>
      <w:marTop w:val="0"/>
      <w:marBottom w:val="0"/>
      <w:divBdr>
        <w:top w:val="none" w:sz="0" w:space="0" w:color="auto"/>
        <w:left w:val="none" w:sz="0" w:space="0" w:color="auto"/>
        <w:bottom w:val="none" w:sz="0" w:space="0" w:color="auto"/>
        <w:right w:val="none" w:sz="0" w:space="0" w:color="auto"/>
      </w:divBdr>
    </w:div>
    <w:div w:id="1992253848">
      <w:bodyDiv w:val="1"/>
      <w:marLeft w:val="0"/>
      <w:marRight w:val="0"/>
      <w:marTop w:val="0"/>
      <w:marBottom w:val="0"/>
      <w:divBdr>
        <w:top w:val="none" w:sz="0" w:space="0" w:color="auto"/>
        <w:left w:val="none" w:sz="0" w:space="0" w:color="auto"/>
        <w:bottom w:val="none" w:sz="0" w:space="0" w:color="auto"/>
        <w:right w:val="none" w:sz="0" w:space="0" w:color="auto"/>
      </w:divBdr>
    </w:div>
    <w:div w:id="2059815894">
      <w:bodyDiv w:val="1"/>
      <w:marLeft w:val="0"/>
      <w:marRight w:val="0"/>
      <w:marTop w:val="0"/>
      <w:marBottom w:val="0"/>
      <w:divBdr>
        <w:top w:val="none" w:sz="0" w:space="0" w:color="auto"/>
        <w:left w:val="none" w:sz="0" w:space="0" w:color="auto"/>
        <w:bottom w:val="none" w:sz="0" w:space="0" w:color="auto"/>
        <w:right w:val="none" w:sz="0" w:space="0" w:color="auto"/>
      </w:divBdr>
    </w:div>
    <w:div w:id="2073657217">
      <w:bodyDiv w:val="1"/>
      <w:marLeft w:val="0"/>
      <w:marRight w:val="0"/>
      <w:marTop w:val="0"/>
      <w:marBottom w:val="0"/>
      <w:divBdr>
        <w:top w:val="none" w:sz="0" w:space="0" w:color="auto"/>
        <w:left w:val="none" w:sz="0" w:space="0" w:color="auto"/>
        <w:bottom w:val="none" w:sz="0" w:space="0" w:color="auto"/>
        <w:right w:val="none" w:sz="0" w:space="0" w:color="auto"/>
      </w:divBdr>
    </w:div>
    <w:div w:id="2078701679">
      <w:bodyDiv w:val="1"/>
      <w:marLeft w:val="0"/>
      <w:marRight w:val="0"/>
      <w:marTop w:val="0"/>
      <w:marBottom w:val="0"/>
      <w:divBdr>
        <w:top w:val="none" w:sz="0" w:space="0" w:color="auto"/>
        <w:left w:val="none" w:sz="0" w:space="0" w:color="auto"/>
        <w:bottom w:val="none" w:sz="0" w:space="0" w:color="auto"/>
        <w:right w:val="none" w:sz="0" w:space="0" w:color="auto"/>
      </w:divBdr>
    </w:div>
    <w:div w:id="2090495351">
      <w:bodyDiv w:val="1"/>
      <w:marLeft w:val="0"/>
      <w:marRight w:val="0"/>
      <w:marTop w:val="0"/>
      <w:marBottom w:val="0"/>
      <w:divBdr>
        <w:top w:val="none" w:sz="0" w:space="0" w:color="auto"/>
        <w:left w:val="none" w:sz="0" w:space="0" w:color="auto"/>
        <w:bottom w:val="none" w:sz="0" w:space="0" w:color="auto"/>
        <w:right w:val="none" w:sz="0" w:space="0" w:color="auto"/>
      </w:divBdr>
    </w:div>
    <w:div w:id="2104295451">
      <w:bodyDiv w:val="1"/>
      <w:marLeft w:val="0"/>
      <w:marRight w:val="0"/>
      <w:marTop w:val="0"/>
      <w:marBottom w:val="0"/>
      <w:divBdr>
        <w:top w:val="none" w:sz="0" w:space="0" w:color="auto"/>
        <w:left w:val="none" w:sz="0" w:space="0" w:color="auto"/>
        <w:bottom w:val="none" w:sz="0" w:space="0" w:color="auto"/>
        <w:right w:val="none" w:sz="0" w:space="0" w:color="auto"/>
      </w:divBdr>
    </w:div>
    <w:div w:id="2108424794">
      <w:bodyDiv w:val="1"/>
      <w:marLeft w:val="0"/>
      <w:marRight w:val="0"/>
      <w:marTop w:val="0"/>
      <w:marBottom w:val="0"/>
      <w:divBdr>
        <w:top w:val="none" w:sz="0" w:space="0" w:color="auto"/>
        <w:left w:val="none" w:sz="0" w:space="0" w:color="auto"/>
        <w:bottom w:val="none" w:sz="0" w:space="0" w:color="auto"/>
        <w:right w:val="none" w:sz="0" w:space="0" w:color="auto"/>
      </w:divBdr>
    </w:div>
    <w:div w:id="2108622435">
      <w:bodyDiv w:val="1"/>
      <w:marLeft w:val="0"/>
      <w:marRight w:val="0"/>
      <w:marTop w:val="0"/>
      <w:marBottom w:val="0"/>
      <w:divBdr>
        <w:top w:val="none" w:sz="0" w:space="0" w:color="auto"/>
        <w:left w:val="none" w:sz="0" w:space="0" w:color="auto"/>
        <w:bottom w:val="none" w:sz="0" w:space="0" w:color="auto"/>
        <w:right w:val="none" w:sz="0" w:space="0" w:color="auto"/>
      </w:divBdr>
      <w:divsChild>
        <w:div w:id="2079092203">
          <w:marLeft w:val="0"/>
          <w:marRight w:val="0"/>
          <w:marTop w:val="0"/>
          <w:marBottom w:val="0"/>
          <w:divBdr>
            <w:top w:val="none" w:sz="0" w:space="0" w:color="auto"/>
            <w:left w:val="none" w:sz="0" w:space="0" w:color="auto"/>
            <w:bottom w:val="none" w:sz="0" w:space="0" w:color="auto"/>
            <w:right w:val="none" w:sz="0" w:space="0" w:color="auto"/>
          </w:divBdr>
        </w:div>
      </w:divsChild>
    </w:div>
    <w:div w:id="2111125686">
      <w:bodyDiv w:val="1"/>
      <w:marLeft w:val="0"/>
      <w:marRight w:val="0"/>
      <w:marTop w:val="0"/>
      <w:marBottom w:val="0"/>
      <w:divBdr>
        <w:top w:val="none" w:sz="0" w:space="0" w:color="auto"/>
        <w:left w:val="none" w:sz="0" w:space="0" w:color="auto"/>
        <w:bottom w:val="none" w:sz="0" w:space="0" w:color="auto"/>
        <w:right w:val="none" w:sz="0" w:space="0" w:color="auto"/>
      </w:divBdr>
    </w:div>
    <w:div w:id="2134404161">
      <w:bodyDiv w:val="1"/>
      <w:marLeft w:val="0"/>
      <w:marRight w:val="0"/>
      <w:marTop w:val="0"/>
      <w:marBottom w:val="0"/>
      <w:divBdr>
        <w:top w:val="none" w:sz="0" w:space="0" w:color="auto"/>
        <w:left w:val="none" w:sz="0" w:space="0" w:color="auto"/>
        <w:bottom w:val="none" w:sz="0" w:space="0" w:color="auto"/>
        <w:right w:val="none" w:sz="0" w:space="0" w:color="auto"/>
      </w:divBdr>
    </w:div>
    <w:div w:id="2138140082">
      <w:bodyDiv w:val="1"/>
      <w:marLeft w:val="0"/>
      <w:marRight w:val="0"/>
      <w:marTop w:val="0"/>
      <w:marBottom w:val="0"/>
      <w:divBdr>
        <w:top w:val="none" w:sz="0" w:space="0" w:color="auto"/>
        <w:left w:val="none" w:sz="0" w:space="0" w:color="auto"/>
        <w:bottom w:val="none" w:sz="0" w:space="0" w:color="auto"/>
        <w:right w:val="none" w:sz="0" w:space="0" w:color="auto"/>
      </w:divBdr>
      <w:divsChild>
        <w:div w:id="150828237">
          <w:marLeft w:val="0"/>
          <w:marRight w:val="0"/>
          <w:marTop w:val="0"/>
          <w:marBottom w:val="0"/>
          <w:divBdr>
            <w:top w:val="none" w:sz="0" w:space="0" w:color="auto"/>
            <w:left w:val="none" w:sz="0" w:space="0" w:color="auto"/>
            <w:bottom w:val="none" w:sz="0" w:space="0" w:color="auto"/>
            <w:right w:val="none" w:sz="0" w:space="0" w:color="auto"/>
          </w:divBdr>
        </w:div>
      </w:divsChild>
    </w:div>
    <w:div w:id="2139369214">
      <w:bodyDiv w:val="1"/>
      <w:marLeft w:val="0"/>
      <w:marRight w:val="0"/>
      <w:marTop w:val="0"/>
      <w:marBottom w:val="0"/>
      <w:divBdr>
        <w:top w:val="none" w:sz="0" w:space="0" w:color="auto"/>
        <w:left w:val="none" w:sz="0" w:space="0" w:color="auto"/>
        <w:bottom w:val="none" w:sz="0" w:space="0" w:color="auto"/>
        <w:right w:val="none" w:sz="0" w:space="0" w:color="auto"/>
      </w:divBdr>
    </w:div>
    <w:div w:id="214580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ihacpa.gov.au/health-care/costing/national-hospital-cost-data-collection/national-hospital-cost-data-collection-public-sector" TargetMode="External"/><Relationship Id="rId26" Type="http://schemas.openxmlformats.org/officeDocument/2006/relationships/chart" Target="charts/chart3.xml"/><Relationship Id="rId39" Type="http://schemas.openxmlformats.org/officeDocument/2006/relationships/hyperlink" Target="https://www.ihacpa.gov.au/resources/national-hospital-cost-data-collection-nhcdc-public-sector-2022-23" TargetMode="External"/><Relationship Id="rId21" Type="http://schemas.openxmlformats.org/officeDocument/2006/relationships/chart" Target="charts/chart1.xml"/><Relationship Id="rId34" Type="http://schemas.openxmlformats.org/officeDocument/2006/relationships/image" Target="media/image7.png"/><Relationship Id="rId42" Type="http://schemas.openxmlformats.org/officeDocument/2006/relationships/hyperlink" Target="https://www.ihacpa.gov.au/resources/national-hospital-cost-data-collection-nhcdc-public-sector-2022-23" TargetMode="External"/><Relationship Id="rId47" Type="http://schemas.openxmlformats.org/officeDocument/2006/relationships/chart" Target="charts/chart15.xml"/><Relationship Id="rId50" Type="http://schemas.openxmlformats.org/officeDocument/2006/relationships/chart" Target="charts/chart17.xml"/><Relationship Id="rId55" Type="http://schemas.openxmlformats.org/officeDocument/2006/relationships/chart" Target="charts/chart20.xml"/><Relationship Id="rId63" Type="http://schemas.openxmlformats.org/officeDocument/2006/relationships/chart" Target="charts/chart25.xml"/><Relationship Id="rId68" Type="http://schemas.openxmlformats.org/officeDocument/2006/relationships/chart" Target="charts/chart28.xml"/><Relationship Id="rId76" Type="http://schemas.openxmlformats.org/officeDocument/2006/relationships/image" Target="media/image14.png"/><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ihacpa.gov.au/resources/australian-hospital-patient-costing-standards-version-42" TargetMode="External"/><Relationship Id="rId29" Type="http://schemas.openxmlformats.org/officeDocument/2006/relationships/hyperlink" Target="https://www.ihacpa.gov.au/resources/national-hospital-cost-data-collection-nhcdc-public-sector-2022-23" TargetMode="External"/><Relationship Id="rId11" Type="http://schemas.openxmlformats.org/officeDocument/2006/relationships/header" Target="header1.xml"/><Relationship Id="rId24" Type="http://schemas.openxmlformats.org/officeDocument/2006/relationships/hyperlink" Target="https://www.ihacpa.gov.au/health-care/classification/admitted-acute-care" TargetMode="External"/><Relationship Id="rId32" Type="http://schemas.openxmlformats.org/officeDocument/2006/relationships/hyperlink" Target="https://www.ihacpa.gov.au/resources/national-hospital-cost-data-collection-nhcdc-public-sector-2022-23" TargetMode="External"/><Relationship Id="rId37" Type="http://schemas.openxmlformats.org/officeDocument/2006/relationships/chart" Target="charts/chart10.xml"/><Relationship Id="rId40" Type="http://schemas.openxmlformats.org/officeDocument/2006/relationships/chart" Target="charts/chart12.xml"/><Relationship Id="rId45" Type="http://schemas.openxmlformats.org/officeDocument/2006/relationships/hyperlink" Target="https://www.ihacpa.gov.au/health-care/classifications/emergency-care" TargetMode="External"/><Relationship Id="rId53" Type="http://schemas.openxmlformats.org/officeDocument/2006/relationships/chart" Target="charts/chart18.xml"/><Relationship Id="rId58" Type="http://schemas.openxmlformats.org/officeDocument/2006/relationships/image" Target="media/image11.png"/><Relationship Id="rId66" Type="http://schemas.openxmlformats.org/officeDocument/2006/relationships/chart" Target="charts/chart26.xml"/><Relationship Id="rId74" Type="http://schemas.openxmlformats.org/officeDocument/2006/relationships/header" Target="header5.xml"/><Relationship Id="rId79" Type="http://schemas.openxmlformats.org/officeDocument/2006/relationships/hyperlink" Target="http://www.ihacpa.gov.au/" TargetMode="External"/><Relationship Id="rId5" Type="http://schemas.openxmlformats.org/officeDocument/2006/relationships/numbering" Target="numbering.xml"/><Relationship Id="rId61" Type="http://schemas.openxmlformats.org/officeDocument/2006/relationships/chart" Target="charts/chart24.xml"/><Relationship Id="rId82" Type="http://schemas.openxmlformats.org/officeDocument/2006/relationships/footer" Target="footer4.xml"/><Relationship Id="rId19" Type="http://schemas.openxmlformats.org/officeDocument/2006/relationships/hyperlink" Target="https://www.ihacpa.gov.au/resources/national-hospital-cost-data-collection-nhcdc-public-sector-2022-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ihacpa.gov.au/health-care/data/national-benchmarking-portal" TargetMode="External"/><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chart" Target="charts/chart8.xml"/><Relationship Id="rId43" Type="http://schemas.openxmlformats.org/officeDocument/2006/relationships/chart" Target="charts/chart13.xml"/><Relationship Id="rId48" Type="http://schemas.openxmlformats.org/officeDocument/2006/relationships/chart" Target="charts/chart16.xml"/><Relationship Id="rId56" Type="http://schemas.openxmlformats.org/officeDocument/2006/relationships/hyperlink" Target="https://www.ihacpa.gov.au/resources/national-hospital-cost-data-collection-nhcdc-public-sector-2022-23" TargetMode="External"/><Relationship Id="rId64" Type="http://schemas.openxmlformats.org/officeDocument/2006/relationships/image" Target="media/image12.png"/><Relationship Id="rId69" Type="http://schemas.openxmlformats.org/officeDocument/2006/relationships/hyperlink" Target="https://www.ihacpa.gov.au/resources/national-hospital-cost-data-collection-nhcdc-public-sector-2022-23" TargetMode="External"/><Relationship Id="rId77" Type="http://schemas.openxmlformats.org/officeDocument/2006/relationships/image" Target="media/image15.svg"/><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eader" Target="header4.xml"/><Relationship Id="rId80" Type="http://schemas.openxmlformats.org/officeDocument/2006/relationships/header" Target="header6.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ihacpa.gov.au/sites/default/files/2022-01/Australian%20Mental%20Health%20Care%20Classification%20%28AMHCC%29%20v1.0%20User%20manual%202018.pdf" TargetMode="External"/><Relationship Id="rId25" Type="http://schemas.openxmlformats.org/officeDocument/2006/relationships/chart" Target="charts/chart2.xml"/><Relationship Id="rId33" Type="http://schemas.openxmlformats.org/officeDocument/2006/relationships/chart" Target="charts/chart7.xml"/><Relationship Id="rId38" Type="http://schemas.openxmlformats.org/officeDocument/2006/relationships/chart" Target="charts/chart11.xml"/><Relationship Id="rId46" Type="http://schemas.openxmlformats.org/officeDocument/2006/relationships/chart" Target="charts/chart14.xml"/><Relationship Id="rId59" Type="http://schemas.openxmlformats.org/officeDocument/2006/relationships/chart" Target="charts/chart22.xml"/><Relationship Id="rId67" Type="http://schemas.openxmlformats.org/officeDocument/2006/relationships/chart" Target="charts/chart27.xml"/><Relationship Id="rId20" Type="http://schemas.openxmlformats.org/officeDocument/2006/relationships/image" Target="media/image5.png"/><Relationship Id="rId41" Type="http://schemas.openxmlformats.org/officeDocument/2006/relationships/image" Target="media/image8.png"/><Relationship Id="rId54" Type="http://schemas.openxmlformats.org/officeDocument/2006/relationships/chart" Target="charts/chart19.xml"/><Relationship Id="rId62" Type="http://schemas.openxmlformats.org/officeDocument/2006/relationships/hyperlink" Target="https://www.ihacpa.gov.au/resources/national-hospital-cost-data-collection-nhcdc-public-sector-2022-23" TargetMode="External"/><Relationship Id="rId70" Type="http://schemas.openxmlformats.org/officeDocument/2006/relationships/chart" Target="charts/chart29.xml"/><Relationship Id="rId75" Type="http://schemas.openxmlformats.org/officeDocument/2006/relationships/image" Target="media/image13.png"/><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ihacpa.gov.au/sites/default/files/2024-12/nbp_technical_specifications_v2.1.pdf" TargetMode="External"/><Relationship Id="rId28" Type="http://schemas.openxmlformats.org/officeDocument/2006/relationships/chart" Target="charts/chart5.xml"/><Relationship Id="rId36" Type="http://schemas.openxmlformats.org/officeDocument/2006/relationships/chart" Target="charts/chart9.xml"/><Relationship Id="rId49" Type="http://schemas.openxmlformats.org/officeDocument/2006/relationships/hyperlink" Target="https://www.ihacpa.gov.au/resources/national-hospital-cost-data-collection-nhcdc-public-sector-2022-23" TargetMode="External"/><Relationship Id="rId57" Type="http://schemas.openxmlformats.org/officeDocument/2006/relationships/chart" Target="charts/chart21.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9.png"/><Relationship Id="rId52" Type="http://schemas.openxmlformats.org/officeDocument/2006/relationships/hyperlink" Target="https://www.ihacpa.gov.au/health-care/classification/non-admitted-care/tier-2-non-admitted-services-classification" TargetMode="External"/><Relationship Id="rId60" Type="http://schemas.openxmlformats.org/officeDocument/2006/relationships/chart" Target="charts/chart23.xml"/><Relationship Id="rId65" Type="http://schemas.openxmlformats.org/officeDocument/2006/relationships/hyperlink" Target="https://www.ihacpa.gov.au/sites/default/files/2022-01/Australian%20Mental%20Health%20Care%20Classification%20%28AMHCC%29%20v1.0%20User%20manual%202018.pdf" TargetMode="External"/><Relationship Id="rId73" Type="http://schemas.openxmlformats.org/officeDocument/2006/relationships/footer" Target="footer3.xml"/><Relationship Id="rId78" Type="http://schemas.openxmlformats.org/officeDocument/2006/relationships/hyperlink" Target="mailto:enquiries.ihacpa@ihacpa.gov.au" TargetMode="External"/><Relationship Id="rId81" Type="http://schemas.openxmlformats.org/officeDocument/2006/relationships/header" Target="header7.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FARMIM\AppData\Roaming\Micro%20focus\content%20manager\TRIM\TEMP\HPTRIM.11156\D24-18204%20%20Cost%20Report%20Additional%20Table%20Templates%202022-23.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Report%202022-23%20-%20Tables%20and%20Figur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Report%202022-23%20-%20Tables%20and%20Figur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FARMIM\AppData\Roaming\Micro%20focus\content%20manager\TRIM\TEMP\HPTRIM.6264\D24-25390%20%20NHCDC%20Public%20Sector%202022-23%20-%20Cost%20Bucket%20Figur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FARMIM\AppData\Roaming\Micro%20focus\content%20manager\TRIM\TEMP\HPTRIM.6264\D24-25390%20%20NHCDC%20Public%20Sector%202022-23%20-%20Cost%20Bucket%20Figur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Report%202022-23%20-%20Tables%20and%20Figur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healthgov-my.sharepoint.com/personal/molly_farmiloe_ihacpa_gov_au/Documents/Desktop/NHCDC%20Public%20Sector%20Report%202022-23%20-%20Tables%20and%20Figure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Report%202022-23%20-%20Tables%20and%20Figure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FARMIM\AppData\Roaming\Micro%20focus\content%20manager\TRIM\TEMP\HPTRIM.6264\D24-25390%20%20NHCDC%20Public%20Sector%202022-23%20-%20Cost%20Bucket%20Figure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Report%202022-23%20-%20Tables%20and%20Figure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healthgov-my.sharepoint.com/personal/molly_farmiloe_ihacpa_gov_au/Documents/Desktop/NHCDC%20Public%20Sector%20Report%202022-23%20-%20Tables%20and%20Figure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Report%202022-23%20-%20Tables%20and%20Figure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Report%202022-23%20-%20Tables%20and%20Figure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FARMIM\AppData\Roaming\Micro%20focus\content%20manager\TRIM\TEMP\HPTRIM.6264\D24-25390%20%20NHCDC%20Public%20Sector%202022-23%20-%20Cost%20Bucket%20Figure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FARMIM\AppData\Roaming\Micro%20focus\content%20manager\TRIM\TEMP\HPTRIM.14208\D24-25476%20%20NHCDC%20Public%20Sector%20Report%202022-23%20-%20Tables%20and%20Figure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FARMIM\AppData\Roaming\Micro%20focus\content%20manager\TRIM\TEMP\HPTRIM.9260\D24-25476%20%20NHCDC%20Public%20Sector%20Report%202022-23%20-%20Tables%20and%20Figure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FARMIM\AppData\Roaming\Micro%20focus\content%20manager\TRIM\TEMP\HPTRIM.9260\D24-25476%20%20NHCDC%20Public%20Sector%20Report%202022-23%20-%20Tables%20and%20Figure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healthgov-my.sharepoint.com/personal/molly_farmiloe_ihacpa_gov_au/Documents/Desktop/Vic%20AMH%20prep%20%20NHCDC%20Public%20Sector%202022-23%20-%20Cost%20Bucket%20Figure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Report%202022-23%20-%20Tables%20and%20Figure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Report%202022-23%20-%20Tables%20and%20Figure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Report%202022-23%20-%20Tables%20and%20Figure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2022-23%20-%20Cost%20Bucket%20Figure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Report%202022-23%20-%20Tables%20and%20Figur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Report%202022-23%20-%20Tables%20and%20Figur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Report%202022-23%20-%20Tables%20and%20Figur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2022-23%20-%20Cost%20Bucket%20Figur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FARMIM\AppData\Roaming\Micro%20focus\content%20manager\TRIM\TEMP\HPTRIM.20168\D24-25377%20%20NHCDC%20Public%20Sector%20Report%202022-23%20-%20Line%20Item%20Figur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FARMIM\AppData\Roaming\Micro%20Focus\Offline%20Records\Offline%20Records%20(P6)\National%20~%20CARE%20PRICING%20-%20Hospital%20Costing\NHCDC%20Public%20Sector%20Report%202022-23%20-%20Tables%20and%20Figur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ongca\AppData\Roaming\Micro%20Focus\Offline%20Records\Offline%20Records%20(P6)\National%20~%20CARE%20PRICING%20-%20Hospital%20Costing(3)\NHCDC%20Public%20Sector%20Report%202022-23%20-%20Tables%20and%20Figur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 ABF Establishments'!$I$9:$I$10</c:f>
              <c:strCache>
                <c:ptCount val="2"/>
                <c:pt idx="0">
                  <c:v>NHCDC</c:v>
                </c:pt>
                <c:pt idx="1">
                  <c:v>2020-21</c:v>
                </c:pt>
              </c:strCache>
            </c:strRef>
          </c:tx>
          <c:spPr>
            <a:solidFill>
              <a:srgbClr val="246164"/>
            </a:solidFill>
            <a:ln>
              <a:noFill/>
            </a:ln>
            <a:effectLst/>
          </c:spPr>
          <c:invertIfNegative val="0"/>
          <c:dLbls>
            <c:delete val="1"/>
          </c:dLbls>
          <c:cat>
            <c:strRef>
              <c:f>'2. ABF Establishments'!$H$11:$H$18</c:f>
              <c:strCache>
                <c:ptCount val="8"/>
                <c:pt idx="0">
                  <c:v>NSW</c:v>
                </c:pt>
                <c:pt idx="1">
                  <c:v>Vic</c:v>
                </c:pt>
                <c:pt idx="2">
                  <c:v>Qld</c:v>
                </c:pt>
                <c:pt idx="3">
                  <c:v>SA</c:v>
                </c:pt>
                <c:pt idx="4">
                  <c:v>WA</c:v>
                </c:pt>
                <c:pt idx="5">
                  <c:v>Tas</c:v>
                </c:pt>
                <c:pt idx="6">
                  <c:v>NT</c:v>
                </c:pt>
                <c:pt idx="7">
                  <c:v>ACT</c:v>
                </c:pt>
              </c:strCache>
            </c:strRef>
          </c:cat>
          <c:val>
            <c:numRef>
              <c:f>'2. ABF Establishments'!$I$11:$I$18</c:f>
              <c:numCache>
                <c:formatCode>_-* #,##0_-;\-* #,##0_-;_-* "-"??_-;_-@_-</c:formatCode>
                <c:ptCount val="8"/>
                <c:pt idx="0">
                  <c:v>142</c:v>
                </c:pt>
                <c:pt idx="1">
                  <c:v>80</c:v>
                </c:pt>
                <c:pt idx="2">
                  <c:v>338</c:v>
                </c:pt>
                <c:pt idx="3">
                  <c:v>20</c:v>
                </c:pt>
                <c:pt idx="4">
                  <c:v>36</c:v>
                </c:pt>
                <c:pt idx="5">
                  <c:v>24</c:v>
                </c:pt>
                <c:pt idx="6">
                  <c:v>6</c:v>
                </c:pt>
                <c:pt idx="7">
                  <c:v>3</c:v>
                </c:pt>
              </c:numCache>
            </c:numRef>
          </c:val>
          <c:extLst>
            <c:ext xmlns:c16="http://schemas.microsoft.com/office/drawing/2014/chart" uri="{C3380CC4-5D6E-409C-BE32-E72D297353CC}">
              <c16:uniqueId val="{00000000-5C65-405A-91BD-9E83F3CA97CE}"/>
            </c:ext>
          </c:extLst>
        </c:ser>
        <c:ser>
          <c:idx val="1"/>
          <c:order val="1"/>
          <c:tx>
            <c:strRef>
              <c:f>'2. ABF Establishments'!$J$9:$J$10</c:f>
              <c:strCache>
                <c:ptCount val="2"/>
                <c:pt idx="0">
                  <c:v>NHCDC</c:v>
                </c:pt>
                <c:pt idx="1">
                  <c:v>2021-22</c:v>
                </c:pt>
              </c:strCache>
            </c:strRef>
          </c:tx>
          <c:spPr>
            <a:solidFill>
              <a:srgbClr val="5FB2BE"/>
            </a:solidFill>
            <a:ln>
              <a:noFill/>
            </a:ln>
            <a:effectLst/>
          </c:spPr>
          <c:invertIfNegative val="0"/>
          <c:dLbls>
            <c:delete val="1"/>
          </c:dLbls>
          <c:cat>
            <c:strRef>
              <c:f>'2. ABF Establishments'!$H$11:$H$18</c:f>
              <c:strCache>
                <c:ptCount val="8"/>
                <c:pt idx="0">
                  <c:v>NSW</c:v>
                </c:pt>
                <c:pt idx="1">
                  <c:v>Vic</c:v>
                </c:pt>
                <c:pt idx="2">
                  <c:v>Qld</c:v>
                </c:pt>
                <c:pt idx="3">
                  <c:v>SA</c:v>
                </c:pt>
                <c:pt idx="4">
                  <c:v>WA</c:v>
                </c:pt>
                <c:pt idx="5">
                  <c:v>Tas</c:v>
                </c:pt>
                <c:pt idx="6">
                  <c:v>NT</c:v>
                </c:pt>
                <c:pt idx="7">
                  <c:v>ACT</c:v>
                </c:pt>
              </c:strCache>
            </c:strRef>
          </c:cat>
          <c:val>
            <c:numRef>
              <c:f>'2. ABF Establishments'!$J$11:$J$18</c:f>
              <c:numCache>
                <c:formatCode>_-* #,##0_-;\-* #,##0_-;_-* "-"??_-;_-@_-</c:formatCode>
                <c:ptCount val="8"/>
                <c:pt idx="0">
                  <c:v>139</c:v>
                </c:pt>
                <c:pt idx="1">
                  <c:v>89</c:v>
                </c:pt>
                <c:pt idx="2">
                  <c:v>349</c:v>
                </c:pt>
                <c:pt idx="3">
                  <c:v>21</c:v>
                </c:pt>
                <c:pt idx="4">
                  <c:v>36</c:v>
                </c:pt>
                <c:pt idx="5">
                  <c:v>24</c:v>
                </c:pt>
                <c:pt idx="6">
                  <c:v>6</c:v>
                </c:pt>
                <c:pt idx="7">
                  <c:v>3</c:v>
                </c:pt>
              </c:numCache>
            </c:numRef>
          </c:val>
          <c:extLst>
            <c:ext xmlns:c16="http://schemas.microsoft.com/office/drawing/2014/chart" uri="{C3380CC4-5D6E-409C-BE32-E72D297353CC}">
              <c16:uniqueId val="{00000001-5C65-405A-91BD-9E83F3CA97CE}"/>
            </c:ext>
          </c:extLst>
        </c:ser>
        <c:ser>
          <c:idx val="2"/>
          <c:order val="2"/>
          <c:tx>
            <c:strRef>
              <c:f>'2. ABF Establishments'!$K$9:$K$10</c:f>
              <c:strCache>
                <c:ptCount val="2"/>
                <c:pt idx="0">
                  <c:v>NHCDC</c:v>
                </c:pt>
                <c:pt idx="1">
                  <c:v>2022-23</c:v>
                </c:pt>
              </c:strCache>
            </c:strRef>
          </c:tx>
          <c:spPr>
            <a:solidFill>
              <a:srgbClr val="C1867C"/>
            </a:solidFill>
            <a:ln>
              <a:noFill/>
            </a:ln>
            <a:effectLst/>
          </c:spPr>
          <c:invertIfNegative val="0"/>
          <c:dLbls>
            <c:delete val="1"/>
          </c:dLbls>
          <c:cat>
            <c:strRef>
              <c:f>'2. ABF Establishments'!$H$11:$H$18</c:f>
              <c:strCache>
                <c:ptCount val="8"/>
                <c:pt idx="0">
                  <c:v>NSW</c:v>
                </c:pt>
                <c:pt idx="1">
                  <c:v>Vic</c:v>
                </c:pt>
                <c:pt idx="2">
                  <c:v>Qld</c:v>
                </c:pt>
                <c:pt idx="3">
                  <c:v>SA</c:v>
                </c:pt>
                <c:pt idx="4">
                  <c:v>WA</c:v>
                </c:pt>
                <c:pt idx="5">
                  <c:v>Tas</c:v>
                </c:pt>
                <c:pt idx="6">
                  <c:v>NT</c:v>
                </c:pt>
                <c:pt idx="7">
                  <c:v>ACT</c:v>
                </c:pt>
              </c:strCache>
            </c:strRef>
          </c:cat>
          <c:val>
            <c:numRef>
              <c:f>'2. ABF Establishments'!$K$11:$K$18</c:f>
              <c:numCache>
                <c:formatCode>_-* #,##0_-;\-* #,##0_-;_-* "-"??_-;_-@_-</c:formatCode>
                <c:ptCount val="8"/>
                <c:pt idx="0">
                  <c:v>153</c:v>
                </c:pt>
                <c:pt idx="1">
                  <c:v>91</c:v>
                </c:pt>
                <c:pt idx="2">
                  <c:v>359</c:v>
                </c:pt>
                <c:pt idx="3">
                  <c:v>24</c:v>
                </c:pt>
                <c:pt idx="4">
                  <c:v>81</c:v>
                </c:pt>
                <c:pt idx="5">
                  <c:v>24</c:v>
                </c:pt>
                <c:pt idx="6">
                  <c:v>6</c:v>
                </c:pt>
                <c:pt idx="7">
                  <c:v>0</c:v>
                </c:pt>
              </c:numCache>
            </c:numRef>
          </c:val>
          <c:extLst>
            <c:ext xmlns:c16="http://schemas.microsoft.com/office/drawing/2014/chart" uri="{C3380CC4-5D6E-409C-BE32-E72D297353CC}">
              <c16:uniqueId val="{00000002-5C65-405A-91BD-9E83F3CA97CE}"/>
            </c:ext>
          </c:extLst>
        </c:ser>
        <c:dLbls>
          <c:showLegendKey val="0"/>
          <c:showVal val="1"/>
          <c:showCatName val="0"/>
          <c:showSerName val="0"/>
          <c:showPercent val="0"/>
          <c:showBubbleSize val="0"/>
        </c:dLbls>
        <c:gapWidth val="219"/>
        <c:axId val="290463664"/>
        <c:axId val="290458984"/>
      </c:barChart>
      <c:barChart>
        <c:barDir val="col"/>
        <c:grouping val="clustered"/>
        <c:varyColors val="0"/>
        <c:ser>
          <c:idx val="3"/>
          <c:order val="3"/>
          <c:tx>
            <c:strRef>
              <c:f>'2. ABF Establishments'!$L$9:$L$10</c:f>
              <c:strCache>
                <c:ptCount val="2"/>
                <c:pt idx="0">
                  <c:v>ABF</c:v>
                </c:pt>
                <c:pt idx="1">
                  <c:v>2020-21</c:v>
                </c:pt>
              </c:strCache>
            </c:strRef>
          </c:tx>
          <c:spPr>
            <a:solidFill>
              <a:srgbClr val="246164">
                <a:alpha val="50196"/>
              </a:srgbClr>
            </a:solidFill>
            <a:ln>
              <a:noFill/>
            </a:ln>
            <a:effectLst/>
          </c:spPr>
          <c:invertIfNegative val="0"/>
          <c:dLbls>
            <c:delete val="1"/>
          </c:dLbls>
          <c:cat>
            <c:strRef>
              <c:f>'2. ABF Establishments'!$H$11:$H$18</c:f>
              <c:strCache>
                <c:ptCount val="8"/>
                <c:pt idx="0">
                  <c:v>NSW</c:v>
                </c:pt>
                <c:pt idx="1">
                  <c:v>Vic</c:v>
                </c:pt>
                <c:pt idx="2">
                  <c:v>Qld</c:v>
                </c:pt>
                <c:pt idx="3">
                  <c:v>SA</c:v>
                </c:pt>
                <c:pt idx="4">
                  <c:v>WA</c:v>
                </c:pt>
                <c:pt idx="5">
                  <c:v>Tas</c:v>
                </c:pt>
                <c:pt idx="6">
                  <c:v>NT</c:v>
                </c:pt>
                <c:pt idx="7">
                  <c:v>ACT</c:v>
                </c:pt>
              </c:strCache>
            </c:strRef>
          </c:cat>
          <c:val>
            <c:numRef>
              <c:f>'2. ABF Establishments'!$L$11:$L$18</c:f>
              <c:numCache>
                <c:formatCode>_-* #,##0_-;\-* #,##0_-;_-* "-"??_-;_-@_-</c:formatCode>
                <c:ptCount val="8"/>
                <c:pt idx="0">
                  <c:v>292</c:v>
                </c:pt>
                <c:pt idx="1">
                  <c:v>151</c:v>
                </c:pt>
                <c:pt idx="2">
                  <c:v>416</c:v>
                </c:pt>
                <c:pt idx="3">
                  <c:v>95</c:v>
                </c:pt>
                <c:pt idx="4">
                  <c:v>114</c:v>
                </c:pt>
                <c:pt idx="5">
                  <c:v>25</c:v>
                </c:pt>
                <c:pt idx="6">
                  <c:v>6</c:v>
                </c:pt>
                <c:pt idx="7">
                  <c:v>4</c:v>
                </c:pt>
              </c:numCache>
            </c:numRef>
          </c:val>
          <c:extLst>
            <c:ext xmlns:c16="http://schemas.microsoft.com/office/drawing/2014/chart" uri="{C3380CC4-5D6E-409C-BE32-E72D297353CC}">
              <c16:uniqueId val="{00000003-5C65-405A-91BD-9E83F3CA97CE}"/>
            </c:ext>
          </c:extLst>
        </c:ser>
        <c:ser>
          <c:idx val="4"/>
          <c:order val="4"/>
          <c:tx>
            <c:strRef>
              <c:f>'2. ABF Establishments'!$M$9:$M$10</c:f>
              <c:strCache>
                <c:ptCount val="2"/>
                <c:pt idx="0">
                  <c:v>ABF</c:v>
                </c:pt>
                <c:pt idx="1">
                  <c:v>2021-22</c:v>
                </c:pt>
              </c:strCache>
            </c:strRef>
          </c:tx>
          <c:spPr>
            <a:solidFill>
              <a:srgbClr val="5FB2BE">
                <a:alpha val="50196"/>
              </a:srgbClr>
            </a:solidFill>
            <a:ln>
              <a:noFill/>
            </a:ln>
            <a:effectLst/>
          </c:spPr>
          <c:invertIfNegative val="0"/>
          <c:dLbls>
            <c:delete val="1"/>
          </c:dLbls>
          <c:cat>
            <c:strRef>
              <c:f>'2. ABF Establishments'!$H$11:$H$18</c:f>
              <c:strCache>
                <c:ptCount val="8"/>
                <c:pt idx="0">
                  <c:v>NSW</c:v>
                </c:pt>
                <c:pt idx="1">
                  <c:v>Vic</c:v>
                </c:pt>
                <c:pt idx="2">
                  <c:v>Qld</c:v>
                </c:pt>
                <c:pt idx="3">
                  <c:v>SA</c:v>
                </c:pt>
                <c:pt idx="4">
                  <c:v>WA</c:v>
                </c:pt>
                <c:pt idx="5">
                  <c:v>Tas</c:v>
                </c:pt>
                <c:pt idx="6">
                  <c:v>NT</c:v>
                </c:pt>
                <c:pt idx="7">
                  <c:v>ACT</c:v>
                </c:pt>
              </c:strCache>
            </c:strRef>
          </c:cat>
          <c:val>
            <c:numRef>
              <c:f>'2. ABF Establishments'!$M$11:$M$18</c:f>
              <c:numCache>
                <c:formatCode>_-* #,##0_-;\-* #,##0_-;_-* "-"??_-;_-@_-</c:formatCode>
                <c:ptCount val="8"/>
                <c:pt idx="0">
                  <c:v>291</c:v>
                </c:pt>
                <c:pt idx="1">
                  <c:v>152</c:v>
                </c:pt>
                <c:pt idx="2">
                  <c:v>423</c:v>
                </c:pt>
                <c:pt idx="3">
                  <c:v>99</c:v>
                </c:pt>
                <c:pt idx="4">
                  <c:v>131</c:v>
                </c:pt>
                <c:pt idx="5">
                  <c:v>24</c:v>
                </c:pt>
                <c:pt idx="6">
                  <c:v>6</c:v>
                </c:pt>
                <c:pt idx="7">
                  <c:v>4</c:v>
                </c:pt>
              </c:numCache>
            </c:numRef>
          </c:val>
          <c:extLst>
            <c:ext xmlns:c16="http://schemas.microsoft.com/office/drawing/2014/chart" uri="{C3380CC4-5D6E-409C-BE32-E72D297353CC}">
              <c16:uniqueId val="{00000004-5C65-405A-91BD-9E83F3CA97CE}"/>
            </c:ext>
          </c:extLst>
        </c:ser>
        <c:ser>
          <c:idx val="5"/>
          <c:order val="5"/>
          <c:tx>
            <c:strRef>
              <c:f>'2. ABF Establishments'!$N$9:$N$10</c:f>
              <c:strCache>
                <c:ptCount val="2"/>
                <c:pt idx="0">
                  <c:v>ABF</c:v>
                </c:pt>
                <c:pt idx="1">
                  <c:v>2022-23</c:v>
                </c:pt>
              </c:strCache>
            </c:strRef>
          </c:tx>
          <c:spPr>
            <a:solidFill>
              <a:srgbClr val="C1867C">
                <a:alpha val="50000"/>
              </a:srgbClr>
            </a:solidFill>
            <a:ln>
              <a:noFill/>
            </a:ln>
            <a:effectLst/>
          </c:spPr>
          <c:invertIfNegative val="0"/>
          <c:dLbls>
            <c:delete val="1"/>
          </c:dLbls>
          <c:cat>
            <c:strRef>
              <c:f>'2. ABF Establishments'!$H$11:$H$18</c:f>
              <c:strCache>
                <c:ptCount val="8"/>
                <c:pt idx="0">
                  <c:v>NSW</c:v>
                </c:pt>
                <c:pt idx="1">
                  <c:v>Vic</c:v>
                </c:pt>
                <c:pt idx="2">
                  <c:v>Qld</c:v>
                </c:pt>
                <c:pt idx="3">
                  <c:v>SA</c:v>
                </c:pt>
                <c:pt idx="4">
                  <c:v>WA</c:v>
                </c:pt>
                <c:pt idx="5">
                  <c:v>Tas</c:v>
                </c:pt>
                <c:pt idx="6">
                  <c:v>NT</c:v>
                </c:pt>
                <c:pt idx="7">
                  <c:v>ACT</c:v>
                </c:pt>
              </c:strCache>
            </c:strRef>
          </c:cat>
          <c:val>
            <c:numRef>
              <c:f>'2. ABF Establishments'!$N$11:$N$18</c:f>
              <c:numCache>
                <c:formatCode>_-* #,##0_-;\-* #,##0_-;_-* "-"??_-;_-@_-</c:formatCode>
                <c:ptCount val="8"/>
                <c:pt idx="0">
                  <c:v>293</c:v>
                </c:pt>
                <c:pt idx="1">
                  <c:v>157</c:v>
                </c:pt>
                <c:pt idx="2">
                  <c:v>421</c:v>
                </c:pt>
                <c:pt idx="3">
                  <c:v>97</c:v>
                </c:pt>
                <c:pt idx="4">
                  <c:v>139</c:v>
                </c:pt>
                <c:pt idx="5">
                  <c:v>25</c:v>
                </c:pt>
                <c:pt idx="6">
                  <c:v>6</c:v>
                </c:pt>
                <c:pt idx="7">
                  <c:v>4</c:v>
                </c:pt>
              </c:numCache>
            </c:numRef>
          </c:val>
          <c:extLst>
            <c:ext xmlns:c16="http://schemas.microsoft.com/office/drawing/2014/chart" uri="{C3380CC4-5D6E-409C-BE32-E72D297353CC}">
              <c16:uniqueId val="{00000005-5C65-405A-91BD-9E83F3CA97CE}"/>
            </c:ext>
          </c:extLst>
        </c:ser>
        <c:dLbls>
          <c:showLegendKey val="0"/>
          <c:showVal val="1"/>
          <c:showCatName val="0"/>
          <c:showSerName val="0"/>
          <c:showPercent val="0"/>
          <c:showBubbleSize val="0"/>
        </c:dLbls>
        <c:gapWidth val="230"/>
        <c:axId val="934064136"/>
        <c:axId val="934063416"/>
      </c:barChart>
      <c:catAx>
        <c:axId val="29046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0458984"/>
        <c:crosses val="autoZero"/>
        <c:auto val="1"/>
        <c:lblAlgn val="ctr"/>
        <c:lblOffset val="100"/>
        <c:noMultiLvlLbl val="0"/>
      </c:catAx>
      <c:valAx>
        <c:axId val="290458984"/>
        <c:scaling>
          <c:orientation val="minMax"/>
          <c:max val="45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Establishments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0463664"/>
        <c:crosses val="autoZero"/>
        <c:crossBetween val="between"/>
      </c:valAx>
      <c:valAx>
        <c:axId val="934063416"/>
        <c:scaling>
          <c:orientation val="minMax"/>
        </c:scaling>
        <c:delete val="1"/>
        <c:axPos val="r"/>
        <c:numFmt formatCode="_-* #,##0_-;\-* #,##0_-;_-* &quot;-&quot;??_-;_-@_-" sourceLinked="1"/>
        <c:majorTickMark val="out"/>
        <c:minorTickMark val="none"/>
        <c:tickLblPos val="nextTo"/>
        <c:crossAx val="934064136"/>
        <c:crosses val="max"/>
        <c:crossBetween val="between"/>
      </c:valAx>
      <c:catAx>
        <c:axId val="934064136"/>
        <c:scaling>
          <c:orientation val="minMax"/>
        </c:scaling>
        <c:delete val="1"/>
        <c:axPos val="b"/>
        <c:numFmt formatCode="General" sourceLinked="1"/>
        <c:majorTickMark val="out"/>
        <c:minorTickMark val="none"/>
        <c:tickLblPos val="nextTo"/>
        <c:crossAx val="9340634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'Subacute Graphs'!$P$24</c:f>
              <c:strCache>
                <c:ptCount val="1"/>
                <c:pt idx="0">
                  <c:v>2020-21</c:v>
                </c:pt>
              </c:strCache>
            </c:strRef>
          </c:tx>
          <c:spPr>
            <a:solidFill>
              <a:srgbClr val="246164"/>
            </a:solidFill>
            <a:ln>
              <a:noFill/>
            </a:ln>
            <a:effectLst/>
          </c:spPr>
          <c:invertIfNegative val="0"/>
          <c:cat>
            <c:strRef>
              <c:f>'Subacute Graphs'!$O$47:$O$55</c:f>
              <c:strCache>
                <c:ptCount val="9"/>
                <c:pt idx="0">
                  <c:v>NSW</c:v>
                </c:pt>
                <c:pt idx="1">
                  <c:v>Vic</c:v>
                </c:pt>
                <c:pt idx="2">
                  <c:v>Qld</c:v>
                </c:pt>
                <c:pt idx="3">
                  <c:v>SA</c:v>
                </c:pt>
                <c:pt idx="4">
                  <c:v>WA</c:v>
                </c:pt>
                <c:pt idx="5">
                  <c:v>Tas</c:v>
                </c:pt>
                <c:pt idx="6">
                  <c:v>NT</c:v>
                </c:pt>
                <c:pt idx="7">
                  <c:v>ACT</c:v>
                </c:pt>
                <c:pt idx="8">
                  <c:v>National</c:v>
                </c:pt>
              </c:strCache>
            </c:strRef>
          </c:cat>
          <c:val>
            <c:numRef>
              <c:f>'Subacute Graphs'!$P$47:$P$55</c:f>
              <c:numCache>
                <c:formatCode>_-"$"* #,##0_-;\-"$"* #,##0_-;_-"$"* "-"??_-;_-@_-</c:formatCode>
                <c:ptCount val="9"/>
                <c:pt idx="0">
                  <c:v>16503.835169495291</c:v>
                </c:pt>
                <c:pt idx="1">
                  <c:v>23332.713699408825</c:v>
                </c:pt>
                <c:pt idx="2">
                  <c:v>17005.945619071517</c:v>
                </c:pt>
                <c:pt idx="3">
                  <c:v>20354.23775337838</c:v>
                </c:pt>
                <c:pt idx="4">
                  <c:v>25376.54839867699</c:v>
                </c:pt>
                <c:pt idx="5">
                  <c:v>22155.182862002319</c:v>
                </c:pt>
                <c:pt idx="6">
                  <c:v>59995.346644444442</c:v>
                </c:pt>
                <c:pt idx="7">
                  <c:v>18171.064754907566</c:v>
                </c:pt>
                <c:pt idx="8">
                  <c:v>19483.60358028649</c:v>
                </c:pt>
              </c:numCache>
            </c:numRef>
          </c:val>
          <c:extLst>
            <c:ext xmlns:c16="http://schemas.microsoft.com/office/drawing/2014/chart" uri="{C3380CC4-5D6E-409C-BE32-E72D297353CC}">
              <c16:uniqueId val="{00000000-83FD-4476-8776-1C82B7E47CFE}"/>
            </c:ext>
          </c:extLst>
        </c:ser>
        <c:ser>
          <c:idx val="1"/>
          <c:order val="1"/>
          <c:tx>
            <c:strRef>
              <c:f>'Subacute Graphs'!$Q$24</c:f>
              <c:strCache>
                <c:ptCount val="1"/>
                <c:pt idx="0">
                  <c:v>2021-22</c:v>
                </c:pt>
              </c:strCache>
            </c:strRef>
          </c:tx>
          <c:spPr>
            <a:solidFill>
              <a:srgbClr val="5FB2BE"/>
            </a:solidFill>
            <a:ln>
              <a:noFill/>
            </a:ln>
            <a:effectLst/>
          </c:spPr>
          <c:invertIfNegative val="0"/>
          <c:cat>
            <c:strRef>
              <c:f>'Subacute Graphs'!$O$47:$O$55</c:f>
              <c:strCache>
                <c:ptCount val="9"/>
                <c:pt idx="0">
                  <c:v>NSW</c:v>
                </c:pt>
                <c:pt idx="1">
                  <c:v>Vic</c:v>
                </c:pt>
                <c:pt idx="2">
                  <c:v>Qld</c:v>
                </c:pt>
                <c:pt idx="3">
                  <c:v>SA</c:v>
                </c:pt>
                <c:pt idx="4">
                  <c:v>WA</c:v>
                </c:pt>
                <c:pt idx="5">
                  <c:v>Tas</c:v>
                </c:pt>
                <c:pt idx="6">
                  <c:v>NT</c:v>
                </c:pt>
                <c:pt idx="7">
                  <c:v>ACT</c:v>
                </c:pt>
                <c:pt idx="8">
                  <c:v>National</c:v>
                </c:pt>
              </c:strCache>
            </c:strRef>
          </c:cat>
          <c:val>
            <c:numRef>
              <c:f>'Subacute Graphs'!$Q$47:$Q$55</c:f>
              <c:numCache>
                <c:formatCode>_-"$"* #,##0_-;\-"$"* #,##0_-;_-"$"* "-"??_-;_-@_-</c:formatCode>
                <c:ptCount val="9"/>
                <c:pt idx="0">
                  <c:v>20915.613226847825</c:v>
                </c:pt>
                <c:pt idx="1">
                  <c:v>26251.960775822292</c:v>
                </c:pt>
                <c:pt idx="2">
                  <c:v>15524.920266079633</c:v>
                </c:pt>
                <c:pt idx="3">
                  <c:v>21987.659077303</c:v>
                </c:pt>
                <c:pt idx="4">
                  <c:v>30752.824682726205</c:v>
                </c:pt>
                <c:pt idx="5">
                  <c:v>24478.306140377939</c:v>
                </c:pt>
                <c:pt idx="6">
                  <c:v>63268.403572222225</c:v>
                </c:pt>
                <c:pt idx="7">
                  <c:v>24006.154396533504</c:v>
                </c:pt>
                <c:pt idx="8">
                  <c:v>21402.138923622006</c:v>
                </c:pt>
              </c:numCache>
            </c:numRef>
          </c:val>
          <c:extLst>
            <c:ext xmlns:c16="http://schemas.microsoft.com/office/drawing/2014/chart" uri="{C3380CC4-5D6E-409C-BE32-E72D297353CC}">
              <c16:uniqueId val="{00000001-83FD-4476-8776-1C82B7E47CFE}"/>
            </c:ext>
          </c:extLst>
        </c:ser>
        <c:ser>
          <c:idx val="2"/>
          <c:order val="2"/>
          <c:tx>
            <c:strRef>
              <c:f>'Subacute Graphs'!$R$24</c:f>
              <c:strCache>
                <c:ptCount val="1"/>
                <c:pt idx="0">
                  <c:v>2022-23</c:v>
                </c:pt>
              </c:strCache>
            </c:strRef>
          </c:tx>
          <c:spPr>
            <a:solidFill>
              <a:srgbClr val="C1867C"/>
            </a:solidFill>
            <a:ln>
              <a:noFill/>
            </a:ln>
            <a:effectLst/>
          </c:spPr>
          <c:invertIfNegative val="0"/>
          <c:cat>
            <c:strRef>
              <c:f>'Subacute Graphs'!$O$47:$O$55</c:f>
              <c:strCache>
                <c:ptCount val="9"/>
                <c:pt idx="0">
                  <c:v>NSW</c:v>
                </c:pt>
                <c:pt idx="1">
                  <c:v>Vic</c:v>
                </c:pt>
                <c:pt idx="2">
                  <c:v>Qld</c:v>
                </c:pt>
                <c:pt idx="3">
                  <c:v>SA</c:v>
                </c:pt>
                <c:pt idx="4">
                  <c:v>WA</c:v>
                </c:pt>
                <c:pt idx="5">
                  <c:v>Tas</c:v>
                </c:pt>
                <c:pt idx="6">
                  <c:v>NT</c:v>
                </c:pt>
                <c:pt idx="7">
                  <c:v>ACT</c:v>
                </c:pt>
                <c:pt idx="8">
                  <c:v>National</c:v>
                </c:pt>
              </c:strCache>
            </c:strRef>
          </c:cat>
          <c:val>
            <c:numRef>
              <c:f>'Subacute Graphs'!$R$47:$R$55</c:f>
              <c:numCache>
                <c:formatCode>_-"$"* #,##0_-;\-"$"* #,##0_-;_-"$"* "-"??_-;_-@_-</c:formatCode>
                <c:ptCount val="9"/>
                <c:pt idx="0">
                  <c:v>20488.703962856394</c:v>
                </c:pt>
                <c:pt idx="1">
                  <c:v>29676.458072860529</c:v>
                </c:pt>
                <c:pt idx="2">
                  <c:v>19885.064644642389</c:v>
                </c:pt>
                <c:pt idx="3">
                  <c:v>21489.501014697744</c:v>
                </c:pt>
                <c:pt idx="4">
                  <c:v>31514.76080109828</c:v>
                </c:pt>
                <c:pt idx="5">
                  <c:v>26315.328520919269</c:v>
                </c:pt>
                <c:pt idx="6">
                  <c:v>60458.737100737104</c:v>
                </c:pt>
                <c:pt idx="7">
                  <c:v>0</c:v>
                </c:pt>
                <c:pt idx="8">
                  <c:v>23355.551087187909</c:v>
                </c:pt>
              </c:numCache>
            </c:numRef>
          </c:val>
          <c:extLst>
            <c:ext xmlns:c16="http://schemas.microsoft.com/office/drawing/2014/chart" uri="{C3380CC4-5D6E-409C-BE32-E72D297353CC}">
              <c16:uniqueId val="{00000002-83FD-4476-8776-1C82B7E47CFE}"/>
            </c:ext>
          </c:extLst>
        </c:ser>
        <c:dLbls>
          <c:showLegendKey val="0"/>
          <c:showVal val="0"/>
          <c:showCatName val="0"/>
          <c:showSerName val="0"/>
          <c:showPercent val="0"/>
          <c:showBubbleSize val="0"/>
        </c:dLbls>
        <c:gapWidth val="219"/>
        <c:axId val="1161744096"/>
        <c:axId val="1161739056"/>
      </c:barChart>
      <c:scatterChart>
        <c:scatterStyle val="lineMarker"/>
        <c:varyColors val="0"/>
        <c:ser>
          <c:idx val="3"/>
          <c:order val="3"/>
          <c:tx>
            <c:strRef>
              <c:f>'Subacute Graphs'!$S$24</c:f>
              <c:strCache>
                <c:ptCount val="1"/>
                <c:pt idx="0">
                  <c:v>% change</c:v>
                </c:pt>
              </c:strCache>
            </c:strRef>
          </c:tx>
          <c:spPr>
            <a:ln w="25400" cap="rnd">
              <a:noFill/>
              <a:round/>
            </a:ln>
            <a:effectLst/>
          </c:spPr>
          <c:marker>
            <c:symbol val="circle"/>
            <c:size val="8"/>
            <c:spPr>
              <a:solidFill>
                <a:srgbClr val="D5D3A5"/>
              </a:solidFill>
              <a:ln w="9525">
                <a:solidFill>
                  <a:srgbClr val="333333"/>
                </a:solidFill>
              </a:ln>
              <a:effectLst/>
            </c:spPr>
          </c:marker>
          <c:xVal>
            <c:strRef>
              <c:f>'Subacute Graphs'!$O$47:$O$55</c:f>
              <c:strCache>
                <c:ptCount val="9"/>
                <c:pt idx="0">
                  <c:v>NSW</c:v>
                </c:pt>
                <c:pt idx="1">
                  <c:v>Vic</c:v>
                </c:pt>
                <c:pt idx="2">
                  <c:v>Qld</c:v>
                </c:pt>
                <c:pt idx="3">
                  <c:v>SA</c:v>
                </c:pt>
                <c:pt idx="4">
                  <c:v>WA</c:v>
                </c:pt>
                <c:pt idx="5">
                  <c:v>Tas</c:v>
                </c:pt>
                <c:pt idx="6">
                  <c:v>NT</c:v>
                </c:pt>
                <c:pt idx="7">
                  <c:v>ACT</c:v>
                </c:pt>
                <c:pt idx="8">
                  <c:v>National</c:v>
                </c:pt>
              </c:strCache>
            </c:strRef>
          </c:xVal>
          <c:yVal>
            <c:numRef>
              <c:f>'Subacute Graphs'!$S$47:$S$55</c:f>
              <c:numCache>
                <c:formatCode>0%</c:formatCode>
                <c:ptCount val="9"/>
                <c:pt idx="0">
                  <c:v>-2.0411032627216438E-2</c:v>
                </c:pt>
                <c:pt idx="1">
                  <c:v>0.13044729596701796</c:v>
                </c:pt>
                <c:pt idx="2">
                  <c:v>0.28084810123561321</c:v>
                </c:pt>
                <c:pt idx="3">
                  <c:v>-2.2656257351174117E-2</c:v>
                </c:pt>
                <c:pt idx="4">
                  <c:v>2.4776134427744245E-2</c:v>
                </c:pt>
                <c:pt idx="5">
                  <c:v>7.504695668100532E-2</c:v>
                </c:pt>
                <c:pt idx="6">
                  <c:v>-4.4408682894579873E-2</c:v>
                </c:pt>
                <c:pt idx="8">
                  <c:v>9.1271819631535966E-2</c:v>
                </c:pt>
              </c:numCache>
            </c:numRef>
          </c:yVal>
          <c:smooth val="0"/>
          <c:extLst>
            <c:ext xmlns:c16="http://schemas.microsoft.com/office/drawing/2014/chart" uri="{C3380CC4-5D6E-409C-BE32-E72D297353CC}">
              <c16:uniqueId val="{00000003-83FD-4476-8776-1C82B7E47CFE}"/>
            </c:ext>
          </c:extLst>
        </c:ser>
        <c:dLbls>
          <c:showLegendKey val="0"/>
          <c:showVal val="0"/>
          <c:showCatName val="0"/>
          <c:showSerName val="0"/>
          <c:showPercent val="0"/>
          <c:showBubbleSize val="0"/>
        </c:dLbls>
        <c:axId val="1161743376"/>
        <c:axId val="1161745536"/>
      </c:scatterChart>
      <c:catAx>
        <c:axId val="116174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61739056"/>
        <c:crosses val="autoZero"/>
        <c:auto val="1"/>
        <c:lblAlgn val="ctr"/>
        <c:lblOffset val="100"/>
        <c:noMultiLvlLbl val="0"/>
      </c:catAx>
      <c:valAx>
        <c:axId val="1161739056"/>
        <c:scaling>
          <c:orientation val="minMax"/>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Average cost per episode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61744096"/>
        <c:crosses val="autoZero"/>
        <c:crossBetween val="between"/>
      </c:valAx>
      <c:valAx>
        <c:axId val="116174553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Change from 2021-22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61743376"/>
        <c:crosses val="max"/>
        <c:crossBetween val="midCat"/>
        <c:majorUnit val="6.0000000000000012E-2"/>
      </c:valAx>
      <c:valAx>
        <c:axId val="1161743376"/>
        <c:scaling>
          <c:orientation val="minMax"/>
        </c:scaling>
        <c:delete val="1"/>
        <c:axPos val="t"/>
        <c:majorTickMark val="out"/>
        <c:minorTickMark val="none"/>
        <c:tickLblPos val="nextTo"/>
        <c:crossAx val="1161745536"/>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'Subacute Graphs'!$P$24</c:f>
              <c:strCache>
                <c:ptCount val="1"/>
                <c:pt idx="0">
                  <c:v>2020-21</c:v>
                </c:pt>
              </c:strCache>
            </c:strRef>
          </c:tx>
          <c:spPr>
            <a:solidFill>
              <a:srgbClr val="246164"/>
            </a:solidFill>
            <a:ln>
              <a:noFill/>
            </a:ln>
            <a:effectLst/>
          </c:spPr>
          <c:invertIfNegative val="0"/>
          <c:cat>
            <c:strRef>
              <c:f>'Subacute Graphs'!$O$58:$O$66</c:f>
              <c:strCache>
                <c:ptCount val="9"/>
                <c:pt idx="0">
                  <c:v>NSW</c:v>
                </c:pt>
                <c:pt idx="1">
                  <c:v>Vic</c:v>
                </c:pt>
                <c:pt idx="2">
                  <c:v>Qld</c:v>
                </c:pt>
                <c:pt idx="3">
                  <c:v>SA</c:v>
                </c:pt>
                <c:pt idx="4">
                  <c:v>WA</c:v>
                </c:pt>
                <c:pt idx="5">
                  <c:v>Tas</c:v>
                </c:pt>
                <c:pt idx="6">
                  <c:v>NT</c:v>
                </c:pt>
                <c:pt idx="7">
                  <c:v>ACT</c:v>
                </c:pt>
                <c:pt idx="8">
                  <c:v>National</c:v>
                </c:pt>
              </c:strCache>
            </c:strRef>
          </c:cat>
          <c:val>
            <c:numRef>
              <c:f>'Subacute Graphs'!$P$58:$P$66</c:f>
              <c:numCache>
                <c:formatCode>_-"$"* #,##0_-;\-"$"* #,##0_-;_-"$"* "-"??_-;_-@_-</c:formatCode>
                <c:ptCount val="9"/>
                <c:pt idx="0">
                  <c:v>5758.1824916099176</c:v>
                </c:pt>
                <c:pt idx="1">
                  <c:v>7314.2681174427153</c:v>
                </c:pt>
                <c:pt idx="2">
                  <c:v>12686.368351848112</c:v>
                </c:pt>
                <c:pt idx="3">
                  <c:v>0</c:v>
                </c:pt>
                <c:pt idx="4">
                  <c:v>0</c:v>
                </c:pt>
                <c:pt idx="5">
                  <c:v>7809.9019881789145</c:v>
                </c:pt>
                <c:pt idx="6">
                  <c:v>7536.2689957040566</c:v>
                </c:pt>
                <c:pt idx="7">
                  <c:v>0</c:v>
                </c:pt>
                <c:pt idx="8">
                  <c:v>7419.1690572234311</c:v>
                </c:pt>
              </c:numCache>
            </c:numRef>
          </c:val>
          <c:extLst>
            <c:ext xmlns:c16="http://schemas.microsoft.com/office/drawing/2014/chart" uri="{C3380CC4-5D6E-409C-BE32-E72D297353CC}">
              <c16:uniqueId val="{00000000-E460-4463-AFFF-4D9CA068FF22}"/>
            </c:ext>
          </c:extLst>
        </c:ser>
        <c:ser>
          <c:idx val="1"/>
          <c:order val="1"/>
          <c:tx>
            <c:strRef>
              <c:f>'Subacute Graphs'!$Q$24</c:f>
              <c:strCache>
                <c:ptCount val="1"/>
                <c:pt idx="0">
                  <c:v>2021-22</c:v>
                </c:pt>
              </c:strCache>
            </c:strRef>
          </c:tx>
          <c:spPr>
            <a:solidFill>
              <a:srgbClr val="5FB2BE"/>
            </a:solidFill>
            <a:ln>
              <a:noFill/>
            </a:ln>
            <a:effectLst/>
          </c:spPr>
          <c:invertIfNegative val="0"/>
          <c:cat>
            <c:strRef>
              <c:f>'Subacute Graphs'!$O$58:$O$66</c:f>
              <c:strCache>
                <c:ptCount val="9"/>
                <c:pt idx="0">
                  <c:v>NSW</c:v>
                </c:pt>
                <c:pt idx="1">
                  <c:v>Vic</c:v>
                </c:pt>
                <c:pt idx="2">
                  <c:v>Qld</c:v>
                </c:pt>
                <c:pt idx="3">
                  <c:v>SA</c:v>
                </c:pt>
                <c:pt idx="4">
                  <c:v>WA</c:v>
                </c:pt>
                <c:pt idx="5">
                  <c:v>Tas</c:v>
                </c:pt>
                <c:pt idx="6">
                  <c:v>NT</c:v>
                </c:pt>
                <c:pt idx="7">
                  <c:v>ACT</c:v>
                </c:pt>
                <c:pt idx="8">
                  <c:v>National</c:v>
                </c:pt>
              </c:strCache>
            </c:strRef>
          </c:cat>
          <c:val>
            <c:numRef>
              <c:f>'Subacute Graphs'!$Q$58:$Q$66</c:f>
              <c:numCache>
                <c:formatCode>_-"$"* #,##0_-;\-"$"* #,##0_-;_-"$"* "-"??_-;_-@_-</c:formatCode>
                <c:ptCount val="9"/>
                <c:pt idx="0">
                  <c:v>6358.0095189089097</c:v>
                </c:pt>
                <c:pt idx="1">
                  <c:v>7623.6719401562805</c:v>
                </c:pt>
                <c:pt idx="2">
                  <c:v>8317.2371514082279</c:v>
                </c:pt>
                <c:pt idx="3">
                  <c:v>7446.459101782043</c:v>
                </c:pt>
                <c:pt idx="4">
                  <c:v>0</c:v>
                </c:pt>
                <c:pt idx="5">
                  <c:v>6049.9154625525944</c:v>
                </c:pt>
                <c:pt idx="6">
                  <c:v>9854.5175798611108</c:v>
                </c:pt>
                <c:pt idx="7">
                  <c:v>0</c:v>
                </c:pt>
                <c:pt idx="8">
                  <c:v>7257.5876015602453</c:v>
                </c:pt>
              </c:numCache>
            </c:numRef>
          </c:val>
          <c:extLst>
            <c:ext xmlns:c16="http://schemas.microsoft.com/office/drawing/2014/chart" uri="{C3380CC4-5D6E-409C-BE32-E72D297353CC}">
              <c16:uniqueId val="{00000001-E460-4463-AFFF-4D9CA068FF22}"/>
            </c:ext>
          </c:extLst>
        </c:ser>
        <c:ser>
          <c:idx val="2"/>
          <c:order val="2"/>
          <c:tx>
            <c:strRef>
              <c:f>'Subacute Graphs'!$R$24</c:f>
              <c:strCache>
                <c:ptCount val="1"/>
                <c:pt idx="0">
                  <c:v>2022-23</c:v>
                </c:pt>
              </c:strCache>
            </c:strRef>
          </c:tx>
          <c:spPr>
            <a:solidFill>
              <a:srgbClr val="C1867C"/>
            </a:solidFill>
            <a:ln>
              <a:noFill/>
            </a:ln>
            <a:effectLst/>
          </c:spPr>
          <c:invertIfNegative val="0"/>
          <c:cat>
            <c:strRef>
              <c:f>'Subacute Graphs'!$O$58:$O$66</c:f>
              <c:strCache>
                <c:ptCount val="9"/>
                <c:pt idx="0">
                  <c:v>NSW</c:v>
                </c:pt>
                <c:pt idx="1">
                  <c:v>Vic</c:v>
                </c:pt>
                <c:pt idx="2">
                  <c:v>Qld</c:v>
                </c:pt>
                <c:pt idx="3">
                  <c:v>SA</c:v>
                </c:pt>
                <c:pt idx="4">
                  <c:v>WA</c:v>
                </c:pt>
                <c:pt idx="5">
                  <c:v>Tas</c:v>
                </c:pt>
                <c:pt idx="6">
                  <c:v>NT</c:v>
                </c:pt>
                <c:pt idx="7">
                  <c:v>ACT</c:v>
                </c:pt>
                <c:pt idx="8">
                  <c:v>National</c:v>
                </c:pt>
              </c:strCache>
            </c:strRef>
          </c:cat>
          <c:val>
            <c:numRef>
              <c:f>'Subacute Graphs'!$R$58:$R$66</c:f>
              <c:numCache>
                <c:formatCode>_-"$"* #,##0_-;\-"$"* #,##0_-;_-"$"* "-"??_-;_-@_-</c:formatCode>
                <c:ptCount val="9"/>
                <c:pt idx="0">
                  <c:v>6002.4538703227645</c:v>
                </c:pt>
                <c:pt idx="1">
                  <c:v>8853.8928842264922</c:v>
                </c:pt>
                <c:pt idx="2">
                  <c:v>9005.4328855070744</c:v>
                </c:pt>
                <c:pt idx="3">
                  <c:v>7495.2084191934064</c:v>
                </c:pt>
                <c:pt idx="4">
                  <c:v>0</c:v>
                </c:pt>
                <c:pt idx="5">
                  <c:v>7537.8156424581002</c:v>
                </c:pt>
                <c:pt idx="6">
                  <c:v>9694.3741071428576</c:v>
                </c:pt>
                <c:pt idx="7">
                  <c:v>0</c:v>
                </c:pt>
                <c:pt idx="8">
                  <c:v>7455.9302638258177</c:v>
                </c:pt>
              </c:numCache>
            </c:numRef>
          </c:val>
          <c:extLst>
            <c:ext xmlns:c16="http://schemas.microsoft.com/office/drawing/2014/chart" uri="{C3380CC4-5D6E-409C-BE32-E72D297353CC}">
              <c16:uniqueId val="{00000002-E460-4463-AFFF-4D9CA068FF22}"/>
            </c:ext>
          </c:extLst>
        </c:ser>
        <c:dLbls>
          <c:showLegendKey val="0"/>
          <c:showVal val="0"/>
          <c:showCatName val="0"/>
          <c:showSerName val="0"/>
          <c:showPercent val="0"/>
          <c:showBubbleSize val="0"/>
        </c:dLbls>
        <c:gapWidth val="219"/>
        <c:axId val="1161744096"/>
        <c:axId val="1161739056"/>
      </c:barChart>
      <c:scatterChart>
        <c:scatterStyle val="lineMarker"/>
        <c:varyColors val="0"/>
        <c:ser>
          <c:idx val="3"/>
          <c:order val="3"/>
          <c:tx>
            <c:strRef>
              <c:f>'Subacute Graphs'!$S$24</c:f>
              <c:strCache>
                <c:ptCount val="1"/>
                <c:pt idx="0">
                  <c:v>% change</c:v>
                </c:pt>
              </c:strCache>
            </c:strRef>
          </c:tx>
          <c:spPr>
            <a:ln w="25400" cap="rnd">
              <a:noFill/>
              <a:round/>
            </a:ln>
            <a:effectLst/>
          </c:spPr>
          <c:marker>
            <c:symbol val="circle"/>
            <c:size val="8"/>
            <c:spPr>
              <a:solidFill>
                <a:srgbClr val="D5D3A5"/>
              </a:solidFill>
              <a:ln w="9525">
                <a:solidFill>
                  <a:srgbClr val="333333"/>
                </a:solidFill>
              </a:ln>
              <a:effectLst/>
            </c:spPr>
          </c:marker>
          <c:xVal>
            <c:strRef>
              <c:f>'Subacute Graphs'!$O$58:$O$66</c:f>
              <c:strCache>
                <c:ptCount val="9"/>
                <c:pt idx="0">
                  <c:v>NSW</c:v>
                </c:pt>
                <c:pt idx="1">
                  <c:v>Vic</c:v>
                </c:pt>
                <c:pt idx="2">
                  <c:v>Qld</c:v>
                </c:pt>
                <c:pt idx="3">
                  <c:v>SA</c:v>
                </c:pt>
                <c:pt idx="4">
                  <c:v>WA</c:v>
                </c:pt>
                <c:pt idx="5">
                  <c:v>Tas</c:v>
                </c:pt>
                <c:pt idx="6">
                  <c:v>NT</c:v>
                </c:pt>
                <c:pt idx="7">
                  <c:v>ACT</c:v>
                </c:pt>
                <c:pt idx="8">
                  <c:v>National</c:v>
                </c:pt>
              </c:strCache>
            </c:strRef>
          </c:xVal>
          <c:yVal>
            <c:numRef>
              <c:f>'Subacute Graphs'!$S$58:$S$66</c:f>
              <c:numCache>
                <c:formatCode>0%</c:formatCode>
                <c:ptCount val="9"/>
                <c:pt idx="0">
                  <c:v>-5.5922478179485605E-2</c:v>
                </c:pt>
                <c:pt idx="1">
                  <c:v>0.16136855753068946</c:v>
                </c:pt>
                <c:pt idx="2">
                  <c:v>8.2743310256859159E-2</c:v>
                </c:pt>
                <c:pt idx="3">
                  <c:v>6.5466440821110444E-3</c:v>
                </c:pt>
                <c:pt idx="5">
                  <c:v>0.2459373505489823</c:v>
                </c:pt>
                <c:pt idx="6">
                  <c:v>-1.625076736841239E-2</c:v>
                </c:pt>
                <c:pt idx="8">
                  <c:v>2.7329006986141307E-2</c:v>
                </c:pt>
              </c:numCache>
            </c:numRef>
          </c:yVal>
          <c:smooth val="0"/>
          <c:extLst>
            <c:ext xmlns:c16="http://schemas.microsoft.com/office/drawing/2014/chart" uri="{C3380CC4-5D6E-409C-BE32-E72D297353CC}">
              <c16:uniqueId val="{00000003-E460-4463-AFFF-4D9CA068FF22}"/>
            </c:ext>
          </c:extLst>
        </c:ser>
        <c:dLbls>
          <c:showLegendKey val="0"/>
          <c:showVal val="0"/>
          <c:showCatName val="0"/>
          <c:showSerName val="0"/>
          <c:showPercent val="0"/>
          <c:showBubbleSize val="0"/>
        </c:dLbls>
        <c:axId val="1161743376"/>
        <c:axId val="1161745536"/>
      </c:scatterChart>
      <c:catAx>
        <c:axId val="116174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61739056"/>
        <c:crosses val="autoZero"/>
        <c:auto val="1"/>
        <c:lblAlgn val="ctr"/>
        <c:lblOffset val="100"/>
        <c:noMultiLvlLbl val="0"/>
      </c:catAx>
      <c:valAx>
        <c:axId val="1161739056"/>
        <c:scaling>
          <c:orientation val="minMax"/>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Average cost per phase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61744096"/>
        <c:crosses val="autoZero"/>
        <c:crossBetween val="between"/>
      </c:valAx>
      <c:valAx>
        <c:axId val="1161745536"/>
        <c:scaling>
          <c:orientation val="minMax"/>
          <c:max val="0.25"/>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Change from 2021-22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61743376"/>
        <c:crosses val="max"/>
        <c:crossBetween val="midCat"/>
      </c:valAx>
      <c:valAx>
        <c:axId val="1161743376"/>
        <c:scaling>
          <c:orientation val="minMax"/>
        </c:scaling>
        <c:delete val="1"/>
        <c:axPos val="t"/>
        <c:majorTickMark val="out"/>
        <c:minorTickMark val="none"/>
        <c:tickLblPos val="nextTo"/>
        <c:crossAx val="1161745536"/>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APC!$H$22</c:f>
              <c:strCache>
                <c:ptCount val="1"/>
                <c:pt idx="0">
                  <c:v> 2020-21 </c:v>
                </c:pt>
              </c:strCache>
            </c:strRef>
          </c:tx>
          <c:spPr>
            <a:solidFill>
              <a:srgbClr val="246164"/>
            </a:solidFill>
            <a:ln>
              <a:noFill/>
            </a:ln>
            <a:effectLst/>
          </c:spPr>
          <c:invertIfNegative val="0"/>
          <c:cat>
            <c:strRef>
              <c:f>APC!$G$23:$G$32</c:f>
              <c:strCache>
                <c:ptCount val="10"/>
                <c:pt idx="0">
                  <c:v> Nursing </c:v>
                </c:pt>
                <c:pt idx="1">
                  <c:v> Clin Supplies </c:v>
                </c:pt>
                <c:pt idx="2">
                  <c:v> Medical </c:v>
                </c:pt>
                <c:pt idx="3">
                  <c:v> Allied Health </c:v>
                </c:pt>
                <c:pt idx="4">
                  <c:v> Non Clinical </c:v>
                </c:pt>
                <c:pt idx="5">
                  <c:v> On-costs </c:v>
                </c:pt>
                <c:pt idx="6">
                  <c:v> Hotel </c:v>
                </c:pt>
                <c:pt idx="7">
                  <c:v> Dep </c:v>
                </c:pt>
                <c:pt idx="8">
                  <c:v> Pharmacy </c:v>
                </c:pt>
                <c:pt idx="9">
                  <c:v> Pathology </c:v>
                </c:pt>
              </c:strCache>
            </c:strRef>
          </c:cat>
          <c:val>
            <c:numRef>
              <c:f>APC!$H$23:$H$32</c:f>
              <c:numCache>
                <c:formatCode>_-"$"* #,##0_-;\-"$"* #,##0_-;_-"$"* "-"??_-;_-@_-</c:formatCode>
                <c:ptCount val="10"/>
                <c:pt idx="0">
                  <c:v>6266.0582717999996</c:v>
                </c:pt>
                <c:pt idx="1">
                  <c:v>2032.2062132999999</c:v>
                </c:pt>
                <c:pt idx="2">
                  <c:v>2381.7505018000002</c:v>
                </c:pt>
                <c:pt idx="3">
                  <c:v>2379.4828971000002</c:v>
                </c:pt>
                <c:pt idx="4">
                  <c:v>2018.9240743</c:v>
                </c:pt>
                <c:pt idx="5">
                  <c:v>1756.4431021</c:v>
                </c:pt>
                <c:pt idx="6">
                  <c:v>1118.5230701999999</c:v>
                </c:pt>
                <c:pt idx="7">
                  <c:v>563.82975108000005</c:v>
                </c:pt>
                <c:pt idx="8">
                  <c:v>440.09252974999998</c:v>
                </c:pt>
                <c:pt idx="9">
                  <c:v>203.59368670000001</c:v>
                </c:pt>
              </c:numCache>
            </c:numRef>
          </c:val>
          <c:extLst>
            <c:ext xmlns:c16="http://schemas.microsoft.com/office/drawing/2014/chart" uri="{C3380CC4-5D6E-409C-BE32-E72D297353CC}">
              <c16:uniqueId val="{00000000-BEC4-473C-AAAA-8A58DBBEE58D}"/>
            </c:ext>
          </c:extLst>
        </c:ser>
        <c:ser>
          <c:idx val="1"/>
          <c:order val="1"/>
          <c:tx>
            <c:strRef>
              <c:f>APC!$I$22</c:f>
              <c:strCache>
                <c:ptCount val="1"/>
                <c:pt idx="0">
                  <c:v> 2021-22 </c:v>
                </c:pt>
              </c:strCache>
            </c:strRef>
          </c:tx>
          <c:spPr>
            <a:solidFill>
              <a:srgbClr val="5FB2BE"/>
            </a:solidFill>
            <a:ln>
              <a:noFill/>
            </a:ln>
            <a:effectLst/>
          </c:spPr>
          <c:invertIfNegative val="0"/>
          <c:cat>
            <c:strRef>
              <c:f>APC!$G$23:$G$32</c:f>
              <c:strCache>
                <c:ptCount val="10"/>
                <c:pt idx="0">
                  <c:v> Nursing </c:v>
                </c:pt>
                <c:pt idx="1">
                  <c:v> Clin Supplies </c:v>
                </c:pt>
                <c:pt idx="2">
                  <c:v> Medical </c:v>
                </c:pt>
                <c:pt idx="3">
                  <c:v> Allied Health </c:v>
                </c:pt>
                <c:pt idx="4">
                  <c:v> Non Clinical </c:v>
                </c:pt>
                <c:pt idx="5">
                  <c:v> On-costs </c:v>
                </c:pt>
                <c:pt idx="6">
                  <c:v> Hotel </c:v>
                </c:pt>
                <c:pt idx="7">
                  <c:v> Dep </c:v>
                </c:pt>
                <c:pt idx="8">
                  <c:v> Pharmacy </c:v>
                </c:pt>
                <c:pt idx="9">
                  <c:v> Pathology </c:v>
                </c:pt>
              </c:strCache>
            </c:strRef>
          </c:cat>
          <c:val>
            <c:numRef>
              <c:f>APC!$I$23:$I$32</c:f>
              <c:numCache>
                <c:formatCode>_-"$"* #,##0_-;\-"$"* #,##0_-;_-"$"* "-"??_-;_-@_-</c:formatCode>
                <c:ptCount val="10"/>
                <c:pt idx="0">
                  <c:v>6714.4916163999997</c:v>
                </c:pt>
                <c:pt idx="1">
                  <c:v>2584.4337955999999</c:v>
                </c:pt>
                <c:pt idx="2">
                  <c:v>2532.8896003</c:v>
                </c:pt>
                <c:pt idx="3">
                  <c:v>2548.6268312000002</c:v>
                </c:pt>
                <c:pt idx="4">
                  <c:v>2208.7070607999999</c:v>
                </c:pt>
                <c:pt idx="5">
                  <c:v>1926.8281953000001</c:v>
                </c:pt>
                <c:pt idx="6">
                  <c:v>1192.3644924</c:v>
                </c:pt>
                <c:pt idx="7">
                  <c:v>561.78603446</c:v>
                </c:pt>
                <c:pt idx="8">
                  <c:v>500.53401840999999</c:v>
                </c:pt>
                <c:pt idx="9">
                  <c:v>254.59040727999999</c:v>
                </c:pt>
              </c:numCache>
            </c:numRef>
          </c:val>
          <c:extLst>
            <c:ext xmlns:c16="http://schemas.microsoft.com/office/drawing/2014/chart" uri="{C3380CC4-5D6E-409C-BE32-E72D297353CC}">
              <c16:uniqueId val="{00000001-BEC4-473C-AAAA-8A58DBBEE58D}"/>
            </c:ext>
          </c:extLst>
        </c:ser>
        <c:ser>
          <c:idx val="2"/>
          <c:order val="2"/>
          <c:tx>
            <c:strRef>
              <c:f>APC!$J$22</c:f>
              <c:strCache>
                <c:ptCount val="1"/>
                <c:pt idx="0">
                  <c:v> 2022-23 </c:v>
                </c:pt>
              </c:strCache>
            </c:strRef>
          </c:tx>
          <c:spPr>
            <a:solidFill>
              <a:srgbClr val="C1867C"/>
            </a:solidFill>
            <a:ln>
              <a:noFill/>
            </a:ln>
            <a:effectLst/>
          </c:spPr>
          <c:invertIfNegative val="0"/>
          <c:cat>
            <c:strRef>
              <c:f>APC!$G$23:$G$32</c:f>
              <c:strCache>
                <c:ptCount val="10"/>
                <c:pt idx="0">
                  <c:v> Nursing </c:v>
                </c:pt>
                <c:pt idx="1">
                  <c:v> Clin Supplies </c:v>
                </c:pt>
                <c:pt idx="2">
                  <c:v> Medical </c:v>
                </c:pt>
                <c:pt idx="3">
                  <c:v> Allied Health </c:v>
                </c:pt>
                <c:pt idx="4">
                  <c:v> Non Clinical </c:v>
                </c:pt>
                <c:pt idx="5">
                  <c:v> On-costs </c:v>
                </c:pt>
                <c:pt idx="6">
                  <c:v> Hotel </c:v>
                </c:pt>
                <c:pt idx="7">
                  <c:v> Dep </c:v>
                </c:pt>
                <c:pt idx="8">
                  <c:v> Pharmacy </c:v>
                </c:pt>
                <c:pt idx="9">
                  <c:v> Pathology </c:v>
                </c:pt>
              </c:strCache>
            </c:strRef>
          </c:cat>
          <c:val>
            <c:numRef>
              <c:f>APC!$J$23:$J$32</c:f>
              <c:numCache>
                <c:formatCode>_-"$"* #,##0_-;\-"$"* #,##0_-;_-"$"* "-"??_-;_-@_-</c:formatCode>
                <c:ptCount val="10"/>
                <c:pt idx="0">
                  <c:v>7230.4495870999999</c:v>
                </c:pt>
                <c:pt idx="1">
                  <c:v>2782.3345245</c:v>
                </c:pt>
                <c:pt idx="2">
                  <c:v>2778.2231528000002</c:v>
                </c:pt>
                <c:pt idx="3">
                  <c:v>2559.5628415000001</c:v>
                </c:pt>
                <c:pt idx="4">
                  <c:v>2454.5323973</c:v>
                </c:pt>
                <c:pt idx="5">
                  <c:v>2210.5057087</c:v>
                </c:pt>
                <c:pt idx="6">
                  <c:v>1315.1124826</c:v>
                </c:pt>
                <c:pt idx="7">
                  <c:v>812.81012469999996</c:v>
                </c:pt>
                <c:pt idx="8">
                  <c:v>531.86077875000001</c:v>
                </c:pt>
                <c:pt idx="9">
                  <c:v>258.51854115999998</c:v>
                </c:pt>
              </c:numCache>
            </c:numRef>
          </c:val>
          <c:extLst>
            <c:ext xmlns:c16="http://schemas.microsoft.com/office/drawing/2014/chart" uri="{C3380CC4-5D6E-409C-BE32-E72D297353CC}">
              <c16:uniqueId val="{00000002-BEC4-473C-AAAA-8A58DBBEE58D}"/>
            </c:ext>
          </c:extLst>
        </c:ser>
        <c:dLbls>
          <c:showLegendKey val="0"/>
          <c:showVal val="0"/>
          <c:showCatName val="0"/>
          <c:showSerName val="0"/>
          <c:showPercent val="0"/>
          <c:showBubbleSize val="0"/>
        </c:dLbls>
        <c:gapWidth val="219"/>
        <c:axId val="974135448"/>
        <c:axId val="974127888"/>
      </c:barChart>
      <c:catAx>
        <c:axId val="97413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27888"/>
        <c:crosses val="autoZero"/>
        <c:auto val="1"/>
        <c:lblAlgn val="ctr"/>
        <c:lblOffset val="100"/>
        <c:noMultiLvlLbl val="0"/>
      </c:catAx>
      <c:valAx>
        <c:axId val="974127888"/>
        <c:scaling>
          <c:orientation val="minMax"/>
          <c:max val="7500"/>
          <c:min val="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Average cost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35448"/>
        <c:crosses val="autoZero"/>
        <c:crossBetween val="between"/>
        <c:majorUnit val="1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PCC!$H$22</c:f>
              <c:strCache>
                <c:ptCount val="1"/>
                <c:pt idx="0">
                  <c:v> 2020-21 </c:v>
                </c:pt>
              </c:strCache>
            </c:strRef>
          </c:tx>
          <c:spPr>
            <a:solidFill>
              <a:srgbClr val="246164"/>
            </a:solidFill>
            <a:ln>
              <a:noFill/>
            </a:ln>
            <a:effectLst/>
          </c:spPr>
          <c:invertIfNegative val="0"/>
          <c:cat>
            <c:strRef>
              <c:f>PCC!$G$23:$G$32</c:f>
              <c:strCache>
                <c:ptCount val="10"/>
                <c:pt idx="0">
                  <c:v> Nursing </c:v>
                </c:pt>
                <c:pt idx="1">
                  <c:v> Medical </c:v>
                </c:pt>
                <c:pt idx="2">
                  <c:v> Non Clinical </c:v>
                </c:pt>
                <c:pt idx="3">
                  <c:v> Clin Supplies </c:v>
                </c:pt>
                <c:pt idx="4">
                  <c:v> On-costs </c:v>
                </c:pt>
                <c:pt idx="5">
                  <c:v> Allied Health </c:v>
                </c:pt>
                <c:pt idx="6">
                  <c:v> Hotel </c:v>
                </c:pt>
                <c:pt idx="7">
                  <c:v> Dep </c:v>
                </c:pt>
                <c:pt idx="8">
                  <c:v> Pharmacy </c:v>
                </c:pt>
                <c:pt idx="9">
                  <c:v> Pathology </c:v>
                </c:pt>
              </c:strCache>
            </c:strRef>
          </c:cat>
          <c:val>
            <c:numRef>
              <c:f>PCC!$H$23:$H$32</c:f>
              <c:numCache>
                <c:formatCode>_-"$"* #,##0_-;\-"$"* #,##0_-;_-"$"* "-"??_-;_-@_-</c:formatCode>
                <c:ptCount val="10"/>
                <c:pt idx="0">
                  <c:v>2598.3782670999999</c:v>
                </c:pt>
                <c:pt idx="1">
                  <c:v>1154.5167494</c:v>
                </c:pt>
                <c:pt idx="2">
                  <c:v>832.24261873</c:v>
                </c:pt>
                <c:pt idx="3">
                  <c:v>859.7348164</c:v>
                </c:pt>
                <c:pt idx="4">
                  <c:v>591.87064974999998</c:v>
                </c:pt>
                <c:pt idx="5">
                  <c:v>451.57981074999998</c:v>
                </c:pt>
                <c:pt idx="6">
                  <c:v>322.88493879999999</c:v>
                </c:pt>
                <c:pt idx="7">
                  <c:v>198.01047138999999</c:v>
                </c:pt>
                <c:pt idx="8">
                  <c:v>244.89917686000001</c:v>
                </c:pt>
                <c:pt idx="9">
                  <c:v>51.872968833999998</c:v>
                </c:pt>
              </c:numCache>
            </c:numRef>
          </c:val>
          <c:extLst>
            <c:ext xmlns:c16="http://schemas.microsoft.com/office/drawing/2014/chart" uri="{C3380CC4-5D6E-409C-BE32-E72D297353CC}">
              <c16:uniqueId val="{00000000-CB01-4A19-8038-E8DA35ECFD4A}"/>
            </c:ext>
          </c:extLst>
        </c:ser>
        <c:ser>
          <c:idx val="1"/>
          <c:order val="1"/>
          <c:tx>
            <c:strRef>
              <c:f>PCC!$I$22</c:f>
              <c:strCache>
                <c:ptCount val="1"/>
                <c:pt idx="0">
                  <c:v> 2021-22 </c:v>
                </c:pt>
              </c:strCache>
            </c:strRef>
          </c:tx>
          <c:spPr>
            <a:solidFill>
              <a:srgbClr val="5FB2BE"/>
            </a:solidFill>
            <a:ln>
              <a:noFill/>
            </a:ln>
            <a:effectLst/>
          </c:spPr>
          <c:invertIfNegative val="0"/>
          <c:cat>
            <c:strRef>
              <c:f>PCC!$G$23:$G$32</c:f>
              <c:strCache>
                <c:ptCount val="10"/>
                <c:pt idx="0">
                  <c:v> Nursing </c:v>
                </c:pt>
                <c:pt idx="1">
                  <c:v> Medical </c:v>
                </c:pt>
                <c:pt idx="2">
                  <c:v> Non Clinical </c:v>
                </c:pt>
                <c:pt idx="3">
                  <c:v> Clin Supplies </c:v>
                </c:pt>
                <c:pt idx="4">
                  <c:v> On-costs </c:v>
                </c:pt>
                <c:pt idx="5">
                  <c:v> Allied Health </c:v>
                </c:pt>
                <c:pt idx="6">
                  <c:v> Hotel </c:v>
                </c:pt>
                <c:pt idx="7">
                  <c:v> Dep </c:v>
                </c:pt>
                <c:pt idx="8">
                  <c:v> Pharmacy </c:v>
                </c:pt>
                <c:pt idx="9">
                  <c:v> Pathology </c:v>
                </c:pt>
              </c:strCache>
            </c:strRef>
          </c:cat>
          <c:val>
            <c:numRef>
              <c:f>PCC!$I$23:$I$32</c:f>
              <c:numCache>
                <c:formatCode>_-"$"* #,##0_-;\-"$"* #,##0_-;_-"$"* "-"??_-;_-@_-</c:formatCode>
                <c:ptCount val="10"/>
                <c:pt idx="0">
                  <c:v>2482.6980257999999</c:v>
                </c:pt>
                <c:pt idx="1">
                  <c:v>1108.084795</c:v>
                </c:pt>
                <c:pt idx="2">
                  <c:v>803.51119591999998</c:v>
                </c:pt>
                <c:pt idx="3">
                  <c:v>839.68307442000003</c:v>
                </c:pt>
                <c:pt idx="4">
                  <c:v>624.71075366000002</c:v>
                </c:pt>
                <c:pt idx="5">
                  <c:v>457.19350593000001</c:v>
                </c:pt>
                <c:pt idx="6">
                  <c:v>309.99006383</c:v>
                </c:pt>
                <c:pt idx="7">
                  <c:v>206.17035906000001</c:v>
                </c:pt>
                <c:pt idx="8">
                  <c:v>245.32694899000001</c:v>
                </c:pt>
                <c:pt idx="9">
                  <c:v>56.919209660999996</c:v>
                </c:pt>
              </c:numCache>
            </c:numRef>
          </c:val>
          <c:extLst>
            <c:ext xmlns:c16="http://schemas.microsoft.com/office/drawing/2014/chart" uri="{C3380CC4-5D6E-409C-BE32-E72D297353CC}">
              <c16:uniqueId val="{00000001-CB01-4A19-8038-E8DA35ECFD4A}"/>
            </c:ext>
          </c:extLst>
        </c:ser>
        <c:ser>
          <c:idx val="2"/>
          <c:order val="2"/>
          <c:tx>
            <c:strRef>
              <c:f>PCC!$J$22</c:f>
              <c:strCache>
                <c:ptCount val="1"/>
                <c:pt idx="0">
                  <c:v> 2022-23 </c:v>
                </c:pt>
              </c:strCache>
            </c:strRef>
          </c:tx>
          <c:spPr>
            <a:solidFill>
              <a:srgbClr val="C1867C"/>
            </a:solidFill>
            <a:ln>
              <a:noFill/>
            </a:ln>
            <a:effectLst/>
          </c:spPr>
          <c:invertIfNegative val="0"/>
          <c:cat>
            <c:strRef>
              <c:f>PCC!$G$23:$G$32</c:f>
              <c:strCache>
                <c:ptCount val="10"/>
                <c:pt idx="0">
                  <c:v> Nursing </c:v>
                </c:pt>
                <c:pt idx="1">
                  <c:v> Medical </c:v>
                </c:pt>
                <c:pt idx="2">
                  <c:v> Non Clinical </c:v>
                </c:pt>
                <c:pt idx="3">
                  <c:v> Clin Supplies </c:v>
                </c:pt>
                <c:pt idx="4">
                  <c:v> On-costs </c:v>
                </c:pt>
                <c:pt idx="5">
                  <c:v> Allied Health </c:v>
                </c:pt>
                <c:pt idx="6">
                  <c:v> Hotel </c:v>
                </c:pt>
                <c:pt idx="7">
                  <c:v> Dep </c:v>
                </c:pt>
                <c:pt idx="8">
                  <c:v> Pharmacy </c:v>
                </c:pt>
                <c:pt idx="9">
                  <c:v> Pathology </c:v>
                </c:pt>
              </c:strCache>
            </c:strRef>
          </c:cat>
          <c:val>
            <c:numRef>
              <c:f>PCC!$J$23:$J$32</c:f>
              <c:numCache>
                <c:formatCode>_-"$"* #,##0_-;\-"$"* #,##0_-;_-"$"* "-"??_-;_-@_-</c:formatCode>
                <c:ptCount val="10"/>
                <c:pt idx="0">
                  <c:v>2519.0030585</c:v>
                </c:pt>
                <c:pt idx="1">
                  <c:v>1158.0200235</c:v>
                </c:pt>
                <c:pt idx="2">
                  <c:v>825.04017715999998</c:v>
                </c:pt>
                <c:pt idx="3">
                  <c:v>769.46703422999997</c:v>
                </c:pt>
                <c:pt idx="4">
                  <c:v>710.66147770999999</c:v>
                </c:pt>
                <c:pt idx="5">
                  <c:v>444.46444054</c:v>
                </c:pt>
                <c:pt idx="6">
                  <c:v>345.09080437</c:v>
                </c:pt>
                <c:pt idx="7">
                  <c:v>247.69835398000001</c:v>
                </c:pt>
                <c:pt idx="8">
                  <c:v>246.36601092999999</c:v>
                </c:pt>
                <c:pt idx="9">
                  <c:v>50.225350964</c:v>
                </c:pt>
              </c:numCache>
            </c:numRef>
          </c:val>
          <c:extLst>
            <c:ext xmlns:c16="http://schemas.microsoft.com/office/drawing/2014/chart" uri="{C3380CC4-5D6E-409C-BE32-E72D297353CC}">
              <c16:uniqueId val="{00000002-CB01-4A19-8038-E8DA35ECFD4A}"/>
            </c:ext>
          </c:extLst>
        </c:ser>
        <c:dLbls>
          <c:showLegendKey val="0"/>
          <c:showVal val="0"/>
          <c:showCatName val="0"/>
          <c:showSerName val="0"/>
          <c:showPercent val="0"/>
          <c:showBubbleSize val="0"/>
        </c:dLbls>
        <c:gapWidth val="219"/>
        <c:axId val="974135448"/>
        <c:axId val="974127888"/>
      </c:barChart>
      <c:catAx>
        <c:axId val="97413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27888"/>
        <c:crosses val="autoZero"/>
        <c:auto val="1"/>
        <c:lblAlgn val="ctr"/>
        <c:lblOffset val="100"/>
        <c:noMultiLvlLbl val="0"/>
      </c:catAx>
      <c:valAx>
        <c:axId val="974127888"/>
        <c:scaling>
          <c:orientation val="minMax"/>
          <c:max val="3000"/>
          <c:min val="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Average cost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35448"/>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 Graphs'!$V$2:$V$3</c:f>
              <c:strCache>
                <c:ptCount val="2"/>
                <c:pt idx="0">
                  <c:v>NHCDC</c:v>
                </c:pt>
                <c:pt idx="1">
                  <c:v>2020-21</c:v>
                </c:pt>
              </c:strCache>
            </c:strRef>
          </c:tx>
          <c:spPr>
            <a:solidFill>
              <a:srgbClr val="246164"/>
            </a:solidFill>
            <a:ln>
              <a:noFill/>
            </a:ln>
            <a:effectLst/>
          </c:spPr>
          <c:invertIfNegative val="0"/>
          <c:cat>
            <c:strRef>
              <c:f>'ED Graphs'!$U$4:$U$11</c:f>
              <c:strCache>
                <c:ptCount val="8"/>
                <c:pt idx="0">
                  <c:v>NSW</c:v>
                </c:pt>
                <c:pt idx="1">
                  <c:v>Vic</c:v>
                </c:pt>
                <c:pt idx="2">
                  <c:v>Qld</c:v>
                </c:pt>
                <c:pt idx="3">
                  <c:v>SA</c:v>
                </c:pt>
                <c:pt idx="4">
                  <c:v>WA</c:v>
                </c:pt>
                <c:pt idx="5">
                  <c:v>Tas</c:v>
                </c:pt>
                <c:pt idx="6">
                  <c:v>NT</c:v>
                </c:pt>
                <c:pt idx="7">
                  <c:v>ACT</c:v>
                </c:pt>
              </c:strCache>
            </c:strRef>
          </c:cat>
          <c:val>
            <c:numRef>
              <c:f>'ED Graphs'!$V$4:$V$11</c:f>
              <c:numCache>
                <c:formatCode>_-* #,##0_-;\-* #,##0_-;_-* "-"??_-;_-@_-</c:formatCode>
                <c:ptCount val="8"/>
                <c:pt idx="0">
                  <c:v>2520.1970000000001</c:v>
                </c:pt>
                <c:pt idx="1">
                  <c:v>1704.0609999999999</c:v>
                </c:pt>
                <c:pt idx="2">
                  <c:v>2297.0349999999999</c:v>
                </c:pt>
                <c:pt idx="3">
                  <c:v>576.70299999999997</c:v>
                </c:pt>
                <c:pt idx="4">
                  <c:v>763.05100000000004</c:v>
                </c:pt>
                <c:pt idx="5">
                  <c:v>170.28700000000001</c:v>
                </c:pt>
                <c:pt idx="6">
                  <c:v>177.65199999999999</c:v>
                </c:pt>
                <c:pt idx="7">
                  <c:v>153.45599999999999</c:v>
                </c:pt>
              </c:numCache>
            </c:numRef>
          </c:val>
          <c:extLst>
            <c:ext xmlns:c16="http://schemas.microsoft.com/office/drawing/2014/chart" uri="{C3380CC4-5D6E-409C-BE32-E72D297353CC}">
              <c16:uniqueId val="{00000000-039B-4D87-BF9A-DEF493006164}"/>
            </c:ext>
          </c:extLst>
        </c:ser>
        <c:ser>
          <c:idx val="1"/>
          <c:order val="1"/>
          <c:tx>
            <c:strRef>
              <c:f>'ED Graphs'!$W$2:$W$3</c:f>
              <c:strCache>
                <c:ptCount val="2"/>
                <c:pt idx="0">
                  <c:v>NHCDC</c:v>
                </c:pt>
                <c:pt idx="1">
                  <c:v>2021-22</c:v>
                </c:pt>
              </c:strCache>
            </c:strRef>
          </c:tx>
          <c:spPr>
            <a:solidFill>
              <a:srgbClr val="5FB2BE"/>
            </a:solidFill>
            <a:ln>
              <a:noFill/>
            </a:ln>
            <a:effectLst/>
          </c:spPr>
          <c:invertIfNegative val="0"/>
          <c:cat>
            <c:strRef>
              <c:f>'ED Graphs'!$U$4:$U$11</c:f>
              <c:strCache>
                <c:ptCount val="8"/>
                <c:pt idx="0">
                  <c:v>NSW</c:v>
                </c:pt>
                <c:pt idx="1">
                  <c:v>Vic</c:v>
                </c:pt>
                <c:pt idx="2">
                  <c:v>Qld</c:v>
                </c:pt>
                <c:pt idx="3">
                  <c:v>SA</c:v>
                </c:pt>
                <c:pt idx="4">
                  <c:v>WA</c:v>
                </c:pt>
                <c:pt idx="5">
                  <c:v>Tas</c:v>
                </c:pt>
                <c:pt idx="6">
                  <c:v>NT</c:v>
                </c:pt>
                <c:pt idx="7">
                  <c:v>ACT</c:v>
                </c:pt>
              </c:strCache>
            </c:strRef>
          </c:cat>
          <c:val>
            <c:numRef>
              <c:f>'ED Graphs'!$W$4:$W$11</c:f>
              <c:numCache>
                <c:formatCode>_-* #,##0_-;\-* #,##0_-;_-* "-"??_-;_-@_-</c:formatCode>
                <c:ptCount val="8"/>
                <c:pt idx="0">
                  <c:v>2463.0749999999998</c:v>
                </c:pt>
                <c:pt idx="1">
                  <c:v>1817.818</c:v>
                </c:pt>
                <c:pt idx="2">
                  <c:v>2163.308</c:v>
                </c:pt>
                <c:pt idx="3">
                  <c:v>572.45500000000004</c:v>
                </c:pt>
                <c:pt idx="4">
                  <c:v>765.47699999999998</c:v>
                </c:pt>
                <c:pt idx="5">
                  <c:v>173.27600000000001</c:v>
                </c:pt>
                <c:pt idx="6">
                  <c:v>171.41499999999999</c:v>
                </c:pt>
                <c:pt idx="7">
                  <c:v>143.351</c:v>
                </c:pt>
              </c:numCache>
            </c:numRef>
          </c:val>
          <c:extLst>
            <c:ext xmlns:c16="http://schemas.microsoft.com/office/drawing/2014/chart" uri="{C3380CC4-5D6E-409C-BE32-E72D297353CC}">
              <c16:uniqueId val="{00000001-039B-4D87-BF9A-DEF493006164}"/>
            </c:ext>
          </c:extLst>
        </c:ser>
        <c:ser>
          <c:idx val="2"/>
          <c:order val="2"/>
          <c:tx>
            <c:strRef>
              <c:f>'ED Graphs'!$X$2:$X$3</c:f>
              <c:strCache>
                <c:ptCount val="2"/>
                <c:pt idx="0">
                  <c:v>NHCDC</c:v>
                </c:pt>
                <c:pt idx="1">
                  <c:v>2022-23</c:v>
                </c:pt>
              </c:strCache>
            </c:strRef>
          </c:tx>
          <c:spPr>
            <a:solidFill>
              <a:srgbClr val="C1867C"/>
            </a:solidFill>
            <a:ln>
              <a:noFill/>
            </a:ln>
            <a:effectLst/>
          </c:spPr>
          <c:invertIfNegative val="0"/>
          <c:cat>
            <c:strRef>
              <c:f>'ED Graphs'!$U$4:$U$11</c:f>
              <c:strCache>
                <c:ptCount val="8"/>
                <c:pt idx="0">
                  <c:v>NSW</c:v>
                </c:pt>
                <c:pt idx="1">
                  <c:v>Vic</c:v>
                </c:pt>
                <c:pt idx="2">
                  <c:v>Qld</c:v>
                </c:pt>
                <c:pt idx="3">
                  <c:v>SA</c:v>
                </c:pt>
                <c:pt idx="4">
                  <c:v>WA</c:v>
                </c:pt>
                <c:pt idx="5">
                  <c:v>Tas</c:v>
                </c:pt>
                <c:pt idx="6">
                  <c:v>NT</c:v>
                </c:pt>
                <c:pt idx="7">
                  <c:v>ACT</c:v>
                </c:pt>
              </c:strCache>
            </c:strRef>
          </c:cat>
          <c:val>
            <c:numRef>
              <c:f>'ED Graphs'!$X$4:$X$11</c:f>
              <c:numCache>
                <c:formatCode>_-* #,##0_-;\-* #,##0_-;_-* "-"??_-;_-@_-</c:formatCode>
                <c:ptCount val="8"/>
                <c:pt idx="0">
                  <c:v>2725.9969999999998</c:v>
                </c:pt>
                <c:pt idx="1">
                  <c:v>1870.367</c:v>
                </c:pt>
                <c:pt idx="2">
                  <c:v>2249.422</c:v>
                </c:pt>
                <c:pt idx="3">
                  <c:v>597.64300000000003</c:v>
                </c:pt>
                <c:pt idx="4">
                  <c:v>775.83699999999999</c:v>
                </c:pt>
                <c:pt idx="5">
                  <c:v>173.88800000000001</c:v>
                </c:pt>
                <c:pt idx="6">
                  <c:v>181.786</c:v>
                </c:pt>
                <c:pt idx="7">
                  <c:v>0</c:v>
                </c:pt>
              </c:numCache>
            </c:numRef>
          </c:val>
          <c:extLst>
            <c:ext xmlns:c16="http://schemas.microsoft.com/office/drawing/2014/chart" uri="{C3380CC4-5D6E-409C-BE32-E72D297353CC}">
              <c16:uniqueId val="{00000002-039B-4D87-BF9A-DEF493006164}"/>
            </c:ext>
          </c:extLst>
        </c:ser>
        <c:dLbls>
          <c:showLegendKey val="0"/>
          <c:showVal val="0"/>
          <c:showCatName val="0"/>
          <c:showSerName val="0"/>
          <c:showPercent val="0"/>
          <c:showBubbleSize val="0"/>
        </c:dLbls>
        <c:gapWidth val="219"/>
        <c:axId val="1115025656"/>
        <c:axId val="1115023496"/>
      </c:barChart>
      <c:barChart>
        <c:barDir val="col"/>
        <c:grouping val="clustered"/>
        <c:varyColors val="0"/>
        <c:ser>
          <c:idx val="3"/>
          <c:order val="3"/>
          <c:tx>
            <c:strRef>
              <c:f>'ED Graphs'!$Y$2:$Y$3</c:f>
              <c:strCache>
                <c:ptCount val="2"/>
                <c:pt idx="0">
                  <c:v>ABF</c:v>
                </c:pt>
                <c:pt idx="1">
                  <c:v>2020-21</c:v>
                </c:pt>
              </c:strCache>
            </c:strRef>
          </c:tx>
          <c:spPr>
            <a:solidFill>
              <a:srgbClr val="246164">
                <a:alpha val="50000"/>
              </a:srgbClr>
            </a:solidFill>
            <a:ln>
              <a:noFill/>
            </a:ln>
            <a:effectLst/>
          </c:spPr>
          <c:invertIfNegative val="0"/>
          <c:cat>
            <c:strRef>
              <c:f>'ED Graphs'!$U$4:$U$11</c:f>
              <c:strCache>
                <c:ptCount val="8"/>
                <c:pt idx="0">
                  <c:v>NSW</c:v>
                </c:pt>
                <c:pt idx="1">
                  <c:v>Vic</c:v>
                </c:pt>
                <c:pt idx="2">
                  <c:v>Qld</c:v>
                </c:pt>
                <c:pt idx="3">
                  <c:v>SA</c:v>
                </c:pt>
                <c:pt idx="4">
                  <c:v>WA</c:v>
                </c:pt>
                <c:pt idx="5">
                  <c:v>Tas</c:v>
                </c:pt>
                <c:pt idx="6">
                  <c:v>NT</c:v>
                </c:pt>
                <c:pt idx="7">
                  <c:v>ACT</c:v>
                </c:pt>
              </c:strCache>
            </c:strRef>
          </c:cat>
          <c:val>
            <c:numRef>
              <c:f>'ED Graphs'!$Y$4:$Y$11</c:f>
              <c:numCache>
                <c:formatCode>_-* #,##0_-;\-* #,##0_-;_-* "-"??_-;_-@_-</c:formatCode>
                <c:ptCount val="8"/>
                <c:pt idx="0">
                  <c:v>2958.71</c:v>
                </c:pt>
                <c:pt idx="1">
                  <c:v>1772.271</c:v>
                </c:pt>
                <c:pt idx="2">
                  <c:v>2397.89</c:v>
                </c:pt>
                <c:pt idx="3">
                  <c:v>580.57500000000005</c:v>
                </c:pt>
                <c:pt idx="4">
                  <c:v>767.87300000000005</c:v>
                </c:pt>
                <c:pt idx="5">
                  <c:v>170.28700000000001</c:v>
                </c:pt>
                <c:pt idx="6">
                  <c:v>177.69900000000001</c:v>
                </c:pt>
                <c:pt idx="7">
                  <c:v>153.71600000000001</c:v>
                </c:pt>
              </c:numCache>
            </c:numRef>
          </c:val>
          <c:extLst>
            <c:ext xmlns:c16="http://schemas.microsoft.com/office/drawing/2014/chart" uri="{C3380CC4-5D6E-409C-BE32-E72D297353CC}">
              <c16:uniqueId val="{00000003-039B-4D87-BF9A-DEF493006164}"/>
            </c:ext>
          </c:extLst>
        </c:ser>
        <c:ser>
          <c:idx val="4"/>
          <c:order val="4"/>
          <c:tx>
            <c:strRef>
              <c:f>'ED Graphs'!$Z$2:$Z$3</c:f>
              <c:strCache>
                <c:ptCount val="2"/>
                <c:pt idx="0">
                  <c:v>ABF</c:v>
                </c:pt>
                <c:pt idx="1">
                  <c:v>2021-22</c:v>
                </c:pt>
              </c:strCache>
            </c:strRef>
          </c:tx>
          <c:spPr>
            <a:solidFill>
              <a:srgbClr val="5FB2BE">
                <a:alpha val="50000"/>
              </a:srgbClr>
            </a:solidFill>
            <a:ln>
              <a:noFill/>
            </a:ln>
            <a:effectLst/>
          </c:spPr>
          <c:invertIfNegative val="0"/>
          <c:cat>
            <c:strRef>
              <c:f>'ED Graphs'!$U$4:$U$11</c:f>
              <c:strCache>
                <c:ptCount val="8"/>
                <c:pt idx="0">
                  <c:v>NSW</c:v>
                </c:pt>
                <c:pt idx="1">
                  <c:v>Vic</c:v>
                </c:pt>
                <c:pt idx="2">
                  <c:v>Qld</c:v>
                </c:pt>
                <c:pt idx="3">
                  <c:v>SA</c:v>
                </c:pt>
                <c:pt idx="4">
                  <c:v>WA</c:v>
                </c:pt>
                <c:pt idx="5">
                  <c:v>Tas</c:v>
                </c:pt>
                <c:pt idx="6">
                  <c:v>NT</c:v>
                </c:pt>
                <c:pt idx="7">
                  <c:v>ACT</c:v>
                </c:pt>
              </c:strCache>
            </c:strRef>
          </c:cat>
          <c:val>
            <c:numRef>
              <c:f>'ED Graphs'!$Z$4:$Z$11</c:f>
              <c:numCache>
                <c:formatCode>_-* #,##0_-;\-* #,##0_-;_-* "-"??_-;_-@_-</c:formatCode>
                <c:ptCount val="8"/>
                <c:pt idx="0">
                  <c:v>2910.511</c:v>
                </c:pt>
                <c:pt idx="1">
                  <c:v>1856.242</c:v>
                </c:pt>
                <c:pt idx="2">
                  <c:v>2233.663</c:v>
                </c:pt>
                <c:pt idx="3">
                  <c:v>572.93100000000004</c:v>
                </c:pt>
                <c:pt idx="4">
                  <c:v>768.875</c:v>
                </c:pt>
                <c:pt idx="5">
                  <c:v>173.27600000000001</c:v>
                </c:pt>
                <c:pt idx="6">
                  <c:v>171.416</c:v>
                </c:pt>
                <c:pt idx="7">
                  <c:v>143.69999999999999</c:v>
                </c:pt>
              </c:numCache>
            </c:numRef>
          </c:val>
          <c:extLst>
            <c:ext xmlns:c16="http://schemas.microsoft.com/office/drawing/2014/chart" uri="{C3380CC4-5D6E-409C-BE32-E72D297353CC}">
              <c16:uniqueId val="{00000004-039B-4D87-BF9A-DEF493006164}"/>
            </c:ext>
          </c:extLst>
        </c:ser>
        <c:ser>
          <c:idx val="5"/>
          <c:order val="5"/>
          <c:tx>
            <c:strRef>
              <c:f>'ED Graphs'!$AA$2:$AA$3</c:f>
              <c:strCache>
                <c:ptCount val="2"/>
                <c:pt idx="0">
                  <c:v>ABF</c:v>
                </c:pt>
                <c:pt idx="1">
                  <c:v>2022-23</c:v>
                </c:pt>
              </c:strCache>
            </c:strRef>
          </c:tx>
          <c:spPr>
            <a:solidFill>
              <a:srgbClr val="C1867C">
                <a:alpha val="50000"/>
              </a:srgbClr>
            </a:solidFill>
            <a:ln>
              <a:noFill/>
            </a:ln>
            <a:effectLst/>
          </c:spPr>
          <c:invertIfNegative val="0"/>
          <c:cat>
            <c:strRef>
              <c:f>'ED Graphs'!$U$4:$U$11</c:f>
              <c:strCache>
                <c:ptCount val="8"/>
                <c:pt idx="0">
                  <c:v>NSW</c:v>
                </c:pt>
                <c:pt idx="1">
                  <c:v>Vic</c:v>
                </c:pt>
                <c:pt idx="2">
                  <c:v>Qld</c:v>
                </c:pt>
                <c:pt idx="3">
                  <c:v>SA</c:v>
                </c:pt>
                <c:pt idx="4">
                  <c:v>WA</c:v>
                </c:pt>
                <c:pt idx="5">
                  <c:v>Tas</c:v>
                </c:pt>
                <c:pt idx="6">
                  <c:v>NT</c:v>
                </c:pt>
                <c:pt idx="7">
                  <c:v>ACT</c:v>
                </c:pt>
              </c:strCache>
            </c:strRef>
          </c:cat>
          <c:val>
            <c:numRef>
              <c:f>'ED Graphs'!$AA$4:$AA$11</c:f>
              <c:numCache>
                <c:formatCode>_-* #,##0_-;\-* #,##0_-;_-* "-"??_-;_-@_-</c:formatCode>
                <c:ptCount val="8"/>
                <c:pt idx="0">
                  <c:v>3022.0149999999999</c:v>
                </c:pt>
                <c:pt idx="1">
                  <c:v>1910.712</c:v>
                </c:pt>
                <c:pt idx="2">
                  <c:v>2271.1219999999998</c:v>
                </c:pt>
                <c:pt idx="3">
                  <c:v>598.66600000000005</c:v>
                </c:pt>
                <c:pt idx="4">
                  <c:v>777.15200000000004</c:v>
                </c:pt>
                <c:pt idx="5">
                  <c:v>173.88800000000001</c:v>
                </c:pt>
                <c:pt idx="6">
                  <c:v>181.815</c:v>
                </c:pt>
                <c:pt idx="7">
                  <c:v>146</c:v>
                </c:pt>
              </c:numCache>
            </c:numRef>
          </c:val>
          <c:extLst>
            <c:ext xmlns:c16="http://schemas.microsoft.com/office/drawing/2014/chart" uri="{C3380CC4-5D6E-409C-BE32-E72D297353CC}">
              <c16:uniqueId val="{00000005-039B-4D87-BF9A-DEF493006164}"/>
            </c:ext>
          </c:extLst>
        </c:ser>
        <c:dLbls>
          <c:showLegendKey val="0"/>
          <c:showVal val="0"/>
          <c:showCatName val="0"/>
          <c:showSerName val="0"/>
          <c:showPercent val="0"/>
          <c:showBubbleSize val="0"/>
        </c:dLbls>
        <c:gapWidth val="219"/>
        <c:axId val="1115021336"/>
        <c:axId val="1115014856"/>
      </c:barChart>
      <c:catAx>
        <c:axId val="1115025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15023496"/>
        <c:crosses val="autoZero"/>
        <c:auto val="1"/>
        <c:lblAlgn val="ctr"/>
        <c:lblOffset val="100"/>
        <c:noMultiLvlLbl val="0"/>
      </c:catAx>
      <c:valAx>
        <c:axId val="1115023496"/>
        <c:scaling>
          <c:orientation val="minMax"/>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Presentations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15025656"/>
        <c:crosses val="autoZero"/>
        <c:crossBetween val="between"/>
      </c:valAx>
      <c:valAx>
        <c:axId val="1115014856"/>
        <c:scaling>
          <c:orientation val="minMax"/>
          <c:max val="3000"/>
        </c:scaling>
        <c:delete val="1"/>
        <c:axPos val="r"/>
        <c:numFmt formatCode="_-* #,##0_-;\-* #,##0_-;_-* &quot;-&quot;??_-;_-@_-" sourceLinked="1"/>
        <c:majorTickMark val="out"/>
        <c:minorTickMark val="none"/>
        <c:tickLblPos val="nextTo"/>
        <c:crossAx val="1115021336"/>
        <c:crosses val="max"/>
        <c:crossBetween val="between"/>
      </c:valAx>
      <c:catAx>
        <c:axId val="1115021336"/>
        <c:scaling>
          <c:orientation val="minMax"/>
        </c:scaling>
        <c:delete val="1"/>
        <c:axPos val="b"/>
        <c:numFmt formatCode="General" sourceLinked="1"/>
        <c:majorTickMark val="out"/>
        <c:minorTickMark val="none"/>
        <c:tickLblPos val="nextTo"/>
        <c:crossAx val="1115014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 Graphs'!$G$2</c:f>
              <c:strCache>
                <c:ptCount val="1"/>
                <c:pt idx="0">
                  <c:v>2020-21</c:v>
                </c:pt>
              </c:strCache>
            </c:strRef>
          </c:tx>
          <c:spPr>
            <a:solidFill>
              <a:srgbClr val="246164"/>
            </a:solidFill>
            <a:ln>
              <a:noFill/>
            </a:ln>
            <a:effectLst/>
          </c:spPr>
          <c:invertIfNegative val="0"/>
          <c:cat>
            <c:strRef>
              <c:f>'ED Graphs'!$F$14:$F$21</c:f>
              <c:strCache>
                <c:ptCount val="8"/>
                <c:pt idx="0">
                  <c:v>NSW</c:v>
                </c:pt>
                <c:pt idx="1">
                  <c:v>Vic</c:v>
                </c:pt>
                <c:pt idx="2">
                  <c:v>Qld</c:v>
                </c:pt>
                <c:pt idx="3">
                  <c:v>SA</c:v>
                </c:pt>
                <c:pt idx="4">
                  <c:v>WA</c:v>
                </c:pt>
                <c:pt idx="5">
                  <c:v>Tas</c:v>
                </c:pt>
                <c:pt idx="6">
                  <c:v>NT</c:v>
                </c:pt>
                <c:pt idx="7">
                  <c:v>ACT</c:v>
                </c:pt>
              </c:strCache>
            </c:strRef>
          </c:cat>
          <c:val>
            <c:numRef>
              <c:f>'ED Graphs'!$G$14:$G$21</c:f>
              <c:numCache>
                <c:formatCode>_-"$"* #,##0_-;\-"$"* #,##0_-;_-"$"* "-"??_-;_-@_-</c:formatCode>
                <c:ptCount val="8"/>
                <c:pt idx="0">
                  <c:v>2011.7368142</c:v>
                </c:pt>
                <c:pt idx="1">
                  <c:v>1441.0691707000001</c:v>
                </c:pt>
                <c:pt idx="2">
                  <c:v>1523.9985302999999</c:v>
                </c:pt>
                <c:pt idx="3">
                  <c:v>488.02939674999999</c:v>
                </c:pt>
                <c:pt idx="4">
                  <c:v>689.98092250000002</c:v>
                </c:pt>
                <c:pt idx="5">
                  <c:v>168.48301526</c:v>
                </c:pt>
                <c:pt idx="6">
                  <c:v>166.88143383000002</c:v>
                </c:pt>
                <c:pt idx="7">
                  <c:v>117.7191349</c:v>
                </c:pt>
              </c:numCache>
            </c:numRef>
          </c:val>
          <c:extLst>
            <c:ext xmlns:c16="http://schemas.microsoft.com/office/drawing/2014/chart" uri="{C3380CC4-5D6E-409C-BE32-E72D297353CC}">
              <c16:uniqueId val="{00000000-EC9C-4438-9F68-B84FBB7ECB10}"/>
            </c:ext>
          </c:extLst>
        </c:ser>
        <c:ser>
          <c:idx val="1"/>
          <c:order val="1"/>
          <c:tx>
            <c:strRef>
              <c:f>'ED Graphs'!$H$2</c:f>
              <c:strCache>
                <c:ptCount val="1"/>
                <c:pt idx="0">
                  <c:v>2021-22</c:v>
                </c:pt>
              </c:strCache>
            </c:strRef>
          </c:tx>
          <c:spPr>
            <a:solidFill>
              <a:srgbClr val="5FB2BE"/>
            </a:solidFill>
            <a:ln>
              <a:noFill/>
            </a:ln>
            <a:effectLst/>
          </c:spPr>
          <c:invertIfNegative val="0"/>
          <c:cat>
            <c:strRef>
              <c:f>'ED Graphs'!$F$14:$F$21</c:f>
              <c:strCache>
                <c:ptCount val="8"/>
                <c:pt idx="0">
                  <c:v>NSW</c:v>
                </c:pt>
                <c:pt idx="1">
                  <c:v>Vic</c:v>
                </c:pt>
                <c:pt idx="2">
                  <c:v>Qld</c:v>
                </c:pt>
                <c:pt idx="3">
                  <c:v>SA</c:v>
                </c:pt>
                <c:pt idx="4">
                  <c:v>WA</c:v>
                </c:pt>
                <c:pt idx="5">
                  <c:v>Tas</c:v>
                </c:pt>
                <c:pt idx="6">
                  <c:v>NT</c:v>
                </c:pt>
                <c:pt idx="7">
                  <c:v>ACT</c:v>
                </c:pt>
              </c:strCache>
            </c:strRef>
          </c:cat>
          <c:val>
            <c:numRef>
              <c:f>'ED Graphs'!$H$14:$H$21</c:f>
              <c:numCache>
                <c:formatCode>_-"$"* #,##0_-;\-"$"* #,##0_-;_-"$"* "-"??_-;_-@_-</c:formatCode>
                <c:ptCount val="8"/>
                <c:pt idx="0">
                  <c:v>2233.8517695</c:v>
                </c:pt>
                <c:pt idx="1">
                  <c:v>1671.3955314000002</c:v>
                </c:pt>
                <c:pt idx="2">
                  <c:v>1624.6304686999999</c:v>
                </c:pt>
                <c:pt idx="3">
                  <c:v>518.02241849999996</c:v>
                </c:pt>
                <c:pt idx="4">
                  <c:v>805.93818608000004</c:v>
                </c:pt>
                <c:pt idx="5">
                  <c:v>197.70249913000001</c:v>
                </c:pt>
                <c:pt idx="6">
                  <c:v>171.11499236</c:v>
                </c:pt>
                <c:pt idx="7">
                  <c:v>144.14323719999999</c:v>
                </c:pt>
              </c:numCache>
            </c:numRef>
          </c:val>
          <c:extLst>
            <c:ext xmlns:c16="http://schemas.microsoft.com/office/drawing/2014/chart" uri="{C3380CC4-5D6E-409C-BE32-E72D297353CC}">
              <c16:uniqueId val="{00000001-EC9C-4438-9F68-B84FBB7ECB10}"/>
            </c:ext>
          </c:extLst>
        </c:ser>
        <c:ser>
          <c:idx val="2"/>
          <c:order val="2"/>
          <c:tx>
            <c:strRef>
              <c:f>'ED Graphs'!$I$2</c:f>
              <c:strCache>
                <c:ptCount val="1"/>
                <c:pt idx="0">
                  <c:v>2022-23</c:v>
                </c:pt>
              </c:strCache>
            </c:strRef>
          </c:tx>
          <c:spPr>
            <a:solidFill>
              <a:srgbClr val="C1867C"/>
            </a:solidFill>
            <a:ln>
              <a:noFill/>
            </a:ln>
            <a:effectLst/>
          </c:spPr>
          <c:invertIfNegative val="0"/>
          <c:cat>
            <c:strRef>
              <c:f>'ED Graphs'!$F$14:$F$21</c:f>
              <c:strCache>
                <c:ptCount val="8"/>
                <c:pt idx="0">
                  <c:v>NSW</c:v>
                </c:pt>
                <c:pt idx="1">
                  <c:v>Vic</c:v>
                </c:pt>
                <c:pt idx="2">
                  <c:v>Qld</c:v>
                </c:pt>
                <c:pt idx="3">
                  <c:v>SA</c:v>
                </c:pt>
                <c:pt idx="4">
                  <c:v>WA</c:v>
                </c:pt>
                <c:pt idx="5">
                  <c:v>Tas</c:v>
                </c:pt>
                <c:pt idx="6">
                  <c:v>NT</c:v>
                </c:pt>
                <c:pt idx="7">
                  <c:v>ACT</c:v>
                </c:pt>
              </c:strCache>
            </c:strRef>
          </c:cat>
          <c:val>
            <c:numRef>
              <c:f>'ED Graphs'!$I$14:$I$21</c:f>
              <c:numCache>
                <c:formatCode>_-"$"* #,##0_-;\-"$"* #,##0_-;_-"$"* "-"??_-;_-@_-</c:formatCode>
                <c:ptCount val="8"/>
                <c:pt idx="0">
                  <c:v>2597.4085679999998</c:v>
                </c:pt>
                <c:pt idx="1">
                  <c:v>1912.1096990000001</c:v>
                </c:pt>
                <c:pt idx="2">
                  <c:v>1929.2680479999999</c:v>
                </c:pt>
                <c:pt idx="3">
                  <c:v>602.00359600000002</c:v>
                </c:pt>
                <c:pt idx="4">
                  <c:v>928.31957299999999</c:v>
                </c:pt>
                <c:pt idx="5">
                  <c:v>238.68631500000001</c:v>
                </c:pt>
                <c:pt idx="6">
                  <c:v>193.15599399999999</c:v>
                </c:pt>
                <c:pt idx="7">
                  <c:v>0</c:v>
                </c:pt>
              </c:numCache>
            </c:numRef>
          </c:val>
          <c:extLst>
            <c:ext xmlns:c16="http://schemas.microsoft.com/office/drawing/2014/chart" uri="{C3380CC4-5D6E-409C-BE32-E72D297353CC}">
              <c16:uniqueId val="{00000002-EC9C-4438-9F68-B84FBB7ECB10}"/>
            </c:ext>
          </c:extLst>
        </c:ser>
        <c:dLbls>
          <c:showLegendKey val="0"/>
          <c:showVal val="0"/>
          <c:showCatName val="0"/>
          <c:showSerName val="0"/>
          <c:showPercent val="0"/>
          <c:showBubbleSize val="0"/>
        </c:dLbls>
        <c:gapWidth val="219"/>
        <c:axId val="589824184"/>
        <c:axId val="589829584"/>
      </c:barChart>
      <c:scatterChart>
        <c:scatterStyle val="lineMarker"/>
        <c:varyColors val="0"/>
        <c:ser>
          <c:idx val="3"/>
          <c:order val="3"/>
          <c:tx>
            <c:strRef>
              <c:f>'ED Graphs'!$J$2</c:f>
              <c:strCache>
                <c:ptCount val="1"/>
                <c:pt idx="0">
                  <c:v>% change</c:v>
                </c:pt>
              </c:strCache>
            </c:strRef>
          </c:tx>
          <c:spPr>
            <a:ln w="25400" cap="rnd">
              <a:noFill/>
              <a:round/>
            </a:ln>
            <a:effectLst/>
          </c:spPr>
          <c:marker>
            <c:symbol val="circle"/>
            <c:size val="8"/>
            <c:spPr>
              <a:solidFill>
                <a:srgbClr val="D5D3A5"/>
              </a:solidFill>
              <a:ln w="9525">
                <a:solidFill>
                  <a:srgbClr val="333333"/>
                </a:solidFill>
              </a:ln>
              <a:effectLst/>
            </c:spPr>
          </c:marker>
          <c:xVal>
            <c:strRef>
              <c:f>'ED Graphs'!$F$14:$F$21</c:f>
              <c:strCache>
                <c:ptCount val="8"/>
                <c:pt idx="0">
                  <c:v>NSW</c:v>
                </c:pt>
                <c:pt idx="1">
                  <c:v>Vic</c:v>
                </c:pt>
                <c:pt idx="2">
                  <c:v>Qld</c:v>
                </c:pt>
                <c:pt idx="3">
                  <c:v>SA</c:v>
                </c:pt>
                <c:pt idx="4">
                  <c:v>WA</c:v>
                </c:pt>
                <c:pt idx="5">
                  <c:v>Tas</c:v>
                </c:pt>
                <c:pt idx="6">
                  <c:v>NT</c:v>
                </c:pt>
                <c:pt idx="7">
                  <c:v>ACT</c:v>
                </c:pt>
              </c:strCache>
            </c:strRef>
          </c:xVal>
          <c:yVal>
            <c:numRef>
              <c:f>'ED Graphs'!$J$14:$J$21</c:f>
              <c:numCache>
                <c:formatCode>0%</c:formatCode>
                <c:ptCount val="8"/>
                <c:pt idx="0">
                  <c:v>0.16274884639340884</c:v>
                </c:pt>
                <c:pt idx="1">
                  <c:v>0.14401987026875204</c:v>
                </c:pt>
                <c:pt idx="2">
                  <c:v>0.18751192050692331</c:v>
                </c:pt>
                <c:pt idx="3">
                  <c:v>0.1621188089565278</c:v>
                </c:pt>
                <c:pt idx="4">
                  <c:v>0.15184959471302675</c:v>
                </c:pt>
                <c:pt idx="5">
                  <c:v>0.20730044410339471</c:v>
                </c:pt>
                <c:pt idx="6">
                  <c:v>0.12880812683922552</c:v>
                </c:pt>
              </c:numCache>
            </c:numRef>
          </c:yVal>
          <c:smooth val="0"/>
          <c:extLst>
            <c:ext xmlns:c16="http://schemas.microsoft.com/office/drawing/2014/chart" uri="{C3380CC4-5D6E-409C-BE32-E72D297353CC}">
              <c16:uniqueId val="{00000003-EC9C-4438-9F68-B84FBB7ECB10}"/>
            </c:ext>
          </c:extLst>
        </c:ser>
        <c:dLbls>
          <c:showLegendKey val="0"/>
          <c:showVal val="0"/>
          <c:showCatName val="0"/>
          <c:showSerName val="0"/>
          <c:showPercent val="0"/>
          <c:showBubbleSize val="0"/>
        </c:dLbls>
        <c:axId val="544595936"/>
        <c:axId val="544595576"/>
      </c:scatterChart>
      <c:catAx>
        <c:axId val="58982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9829584"/>
        <c:crosses val="autoZero"/>
        <c:auto val="1"/>
        <c:lblAlgn val="ctr"/>
        <c:lblOffset val="100"/>
        <c:noMultiLvlLbl val="0"/>
      </c:catAx>
      <c:valAx>
        <c:axId val="589829584"/>
        <c:scaling>
          <c:orientation val="minMax"/>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Cost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9824184"/>
        <c:crosses val="autoZero"/>
        <c:crossBetween val="between"/>
      </c:valAx>
      <c:valAx>
        <c:axId val="544595576"/>
        <c:scaling>
          <c:orientation val="minMax"/>
          <c:max val="0.22000000000000003"/>
          <c:min val="0.1"/>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Change from 2021-22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4595936"/>
        <c:crosses val="max"/>
        <c:crossBetween val="midCat"/>
        <c:majorUnit val="2.0000000000000004E-2"/>
      </c:valAx>
      <c:valAx>
        <c:axId val="544595936"/>
        <c:scaling>
          <c:orientation val="minMax"/>
        </c:scaling>
        <c:delete val="1"/>
        <c:axPos val="t"/>
        <c:majorTickMark val="out"/>
        <c:minorTickMark val="none"/>
        <c:tickLblPos val="nextTo"/>
        <c:crossAx val="544595576"/>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 Graphs'!$G$2</c:f>
              <c:strCache>
                <c:ptCount val="1"/>
                <c:pt idx="0">
                  <c:v>2020-21</c:v>
                </c:pt>
              </c:strCache>
            </c:strRef>
          </c:tx>
          <c:spPr>
            <a:solidFill>
              <a:srgbClr val="246164"/>
            </a:solidFill>
            <a:ln>
              <a:noFill/>
            </a:ln>
            <a:effectLst/>
          </c:spPr>
          <c:invertIfNegative val="0"/>
          <c:cat>
            <c:strRef>
              <c:f>'ED Graphs'!$F$26:$F$34</c:f>
              <c:strCache>
                <c:ptCount val="9"/>
                <c:pt idx="0">
                  <c:v>NSW</c:v>
                </c:pt>
                <c:pt idx="1">
                  <c:v>Vic</c:v>
                </c:pt>
                <c:pt idx="2">
                  <c:v>Qld</c:v>
                </c:pt>
                <c:pt idx="3">
                  <c:v>SA</c:v>
                </c:pt>
                <c:pt idx="4">
                  <c:v>WA</c:v>
                </c:pt>
                <c:pt idx="5">
                  <c:v>Tas</c:v>
                </c:pt>
                <c:pt idx="6">
                  <c:v>NT</c:v>
                </c:pt>
                <c:pt idx="7">
                  <c:v>ACT</c:v>
                </c:pt>
                <c:pt idx="8">
                  <c:v>National</c:v>
                </c:pt>
              </c:strCache>
            </c:strRef>
          </c:cat>
          <c:val>
            <c:numRef>
              <c:f>'ED Graphs'!$G$26:$G$34</c:f>
              <c:numCache>
                <c:formatCode>_-"$"* #,##0_-;\-"$"* #,##0_-;_-"$"* "-"??_-;_-@_-</c:formatCode>
                <c:ptCount val="9"/>
                <c:pt idx="0">
                  <c:v>798.24585705006393</c:v>
                </c:pt>
                <c:pt idx="1">
                  <c:v>845.66759681725011</c:v>
                </c:pt>
                <c:pt idx="2">
                  <c:v>663.46334744572891</c:v>
                </c:pt>
                <c:pt idx="3">
                  <c:v>846.24043355071854</c:v>
                </c:pt>
                <c:pt idx="4">
                  <c:v>904.23958883482226</c:v>
                </c:pt>
                <c:pt idx="5">
                  <c:v>989.40620986922067</c:v>
                </c:pt>
                <c:pt idx="6">
                  <c:v>939.37267145880719</c:v>
                </c:pt>
                <c:pt idx="7">
                  <c:v>767.1197926441456</c:v>
                </c:pt>
                <c:pt idx="8">
                  <c:v>790.18765313290055</c:v>
                </c:pt>
              </c:numCache>
            </c:numRef>
          </c:val>
          <c:extLst>
            <c:ext xmlns:c16="http://schemas.microsoft.com/office/drawing/2014/chart" uri="{C3380CC4-5D6E-409C-BE32-E72D297353CC}">
              <c16:uniqueId val="{00000000-85E9-462F-ABE6-DF8254B0EBB1}"/>
            </c:ext>
          </c:extLst>
        </c:ser>
        <c:ser>
          <c:idx val="1"/>
          <c:order val="1"/>
          <c:tx>
            <c:strRef>
              <c:f>'ED Graphs'!$H$2</c:f>
              <c:strCache>
                <c:ptCount val="1"/>
                <c:pt idx="0">
                  <c:v>2021-22</c:v>
                </c:pt>
              </c:strCache>
            </c:strRef>
          </c:tx>
          <c:spPr>
            <a:solidFill>
              <a:srgbClr val="5FB2BE"/>
            </a:solidFill>
            <a:ln>
              <a:noFill/>
            </a:ln>
            <a:effectLst/>
          </c:spPr>
          <c:invertIfNegative val="0"/>
          <c:cat>
            <c:strRef>
              <c:f>'ED Graphs'!$F$26:$F$34</c:f>
              <c:strCache>
                <c:ptCount val="9"/>
                <c:pt idx="0">
                  <c:v>NSW</c:v>
                </c:pt>
                <c:pt idx="1">
                  <c:v>Vic</c:v>
                </c:pt>
                <c:pt idx="2">
                  <c:v>Qld</c:v>
                </c:pt>
                <c:pt idx="3">
                  <c:v>SA</c:v>
                </c:pt>
                <c:pt idx="4">
                  <c:v>WA</c:v>
                </c:pt>
                <c:pt idx="5">
                  <c:v>Tas</c:v>
                </c:pt>
                <c:pt idx="6">
                  <c:v>NT</c:v>
                </c:pt>
                <c:pt idx="7">
                  <c:v>ACT</c:v>
                </c:pt>
                <c:pt idx="8">
                  <c:v>National</c:v>
                </c:pt>
              </c:strCache>
            </c:strRef>
          </c:cat>
          <c:val>
            <c:numRef>
              <c:f>'ED Graphs'!$H$26:$H$34</c:f>
              <c:numCache>
                <c:formatCode>_-"$"* #,##0_-;\-"$"* #,##0_-;_-"$"* "-"??_-;_-@_-</c:formatCode>
                <c:ptCount val="9"/>
                <c:pt idx="0">
                  <c:v>906.93615480649191</c:v>
                </c:pt>
                <c:pt idx="1">
                  <c:v>919.45152452005652</c:v>
                </c:pt>
                <c:pt idx="2">
                  <c:v>750.99360271399178</c:v>
                </c:pt>
                <c:pt idx="3">
                  <c:v>904.9137809958861</c:v>
                </c:pt>
                <c:pt idx="4">
                  <c:v>1052.8574811261476</c:v>
                </c:pt>
                <c:pt idx="5">
                  <c:v>1140.9687384865763</c:v>
                </c:pt>
                <c:pt idx="6">
                  <c:v>998.24981687716956</c:v>
                </c:pt>
                <c:pt idx="7">
                  <c:v>1005.5265550990226</c:v>
                </c:pt>
                <c:pt idx="8">
                  <c:v>890.7670155552936</c:v>
                </c:pt>
              </c:numCache>
            </c:numRef>
          </c:val>
          <c:extLst>
            <c:ext xmlns:c16="http://schemas.microsoft.com/office/drawing/2014/chart" uri="{C3380CC4-5D6E-409C-BE32-E72D297353CC}">
              <c16:uniqueId val="{00000001-85E9-462F-ABE6-DF8254B0EBB1}"/>
            </c:ext>
          </c:extLst>
        </c:ser>
        <c:ser>
          <c:idx val="2"/>
          <c:order val="2"/>
          <c:tx>
            <c:strRef>
              <c:f>'ED Graphs'!$I$2</c:f>
              <c:strCache>
                <c:ptCount val="1"/>
                <c:pt idx="0">
                  <c:v>2022-23</c:v>
                </c:pt>
              </c:strCache>
            </c:strRef>
          </c:tx>
          <c:spPr>
            <a:solidFill>
              <a:srgbClr val="C1867C"/>
            </a:solidFill>
            <a:ln>
              <a:noFill/>
            </a:ln>
            <a:effectLst/>
          </c:spPr>
          <c:invertIfNegative val="0"/>
          <c:cat>
            <c:strRef>
              <c:f>'ED Graphs'!$F$26:$F$34</c:f>
              <c:strCache>
                <c:ptCount val="9"/>
                <c:pt idx="0">
                  <c:v>NSW</c:v>
                </c:pt>
                <c:pt idx="1">
                  <c:v>Vic</c:v>
                </c:pt>
                <c:pt idx="2">
                  <c:v>Qld</c:v>
                </c:pt>
                <c:pt idx="3">
                  <c:v>SA</c:v>
                </c:pt>
                <c:pt idx="4">
                  <c:v>WA</c:v>
                </c:pt>
                <c:pt idx="5">
                  <c:v>Tas</c:v>
                </c:pt>
                <c:pt idx="6">
                  <c:v>NT</c:v>
                </c:pt>
                <c:pt idx="7">
                  <c:v>ACT</c:v>
                </c:pt>
                <c:pt idx="8">
                  <c:v>National</c:v>
                </c:pt>
              </c:strCache>
            </c:strRef>
          </c:cat>
          <c:val>
            <c:numRef>
              <c:f>'ED Graphs'!$I$26:$I$34</c:f>
              <c:numCache>
                <c:formatCode>_-"$"* #,##0_-;\-"$"* #,##0_-;_-"$"* "-"??_-;_-@_-</c:formatCode>
                <c:ptCount val="9"/>
                <c:pt idx="0">
                  <c:v>952.82884317187438</c:v>
                </c:pt>
                <c:pt idx="1">
                  <c:v>1022.3179188897152</c:v>
                </c:pt>
                <c:pt idx="2">
                  <c:v>857.67279238844469</c:v>
                </c:pt>
                <c:pt idx="3">
                  <c:v>1007.2963223864414</c:v>
                </c:pt>
                <c:pt idx="4">
                  <c:v>1196.5394444967178</c:v>
                </c:pt>
                <c:pt idx="5">
                  <c:v>1372.6439719819655</c:v>
                </c:pt>
                <c:pt idx="6">
                  <c:v>1062.5460376486637</c:v>
                </c:pt>
                <c:pt idx="7">
                  <c:v>0</c:v>
                </c:pt>
                <c:pt idx="8">
                  <c:v>979.70968811443583</c:v>
                </c:pt>
              </c:numCache>
            </c:numRef>
          </c:val>
          <c:extLst>
            <c:ext xmlns:c16="http://schemas.microsoft.com/office/drawing/2014/chart" uri="{C3380CC4-5D6E-409C-BE32-E72D297353CC}">
              <c16:uniqueId val="{00000002-85E9-462F-ABE6-DF8254B0EBB1}"/>
            </c:ext>
          </c:extLst>
        </c:ser>
        <c:dLbls>
          <c:showLegendKey val="0"/>
          <c:showVal val="0"/>
          <c:showCatName val="0"/>
          <c:showSerName val="0"/>
          <c:showPercent val="0"/>
          <c:showBubbleSize val="0"/>
        </c:dLbls>
        <c:gapWidth val="219"/>
        <c:axId val="589824184"/>
        <c:axId val="589829584"/>
      </c:barChart>
      <c:scatterChart>
        <c:scatterStyle val="lineMarker"/>
        <c:varyColors val="0"/>
        <c:ser>
          <c:idx val="3"/>
          <c:order val="3"/>
          <c:tx>
            <c:strRef>
              <c:f>'ED Graphs'!$J$2</c:f>
              <c:strCache>
                <c:ptCount val="1"/>
                <c:pt idx="0">
                  <c:v>% change</c:v>
                </c:pt>
              </c:strCache>
            </c:strRef>
          </c:tx>
          <c:spPr>
            <a:ln w="25400" cap="rnd">
              <a:noFill/>
              <a:round/>
            </a:ln>
            <a:effectLst/>
          </c:spPr>
          <c:marker>
            <c:symbol val="circle"/>
            <c:size val="8"/>
            <c:spPr>
              <a:solidFill>
                <a:srgbClr val="D5D3A5"/>
              </a:solidFill>
              <a:ln w="9525">
                <a:solidFill>
                  <a:srgbClr val="333333"/>
                </a:solidFill>
              </a:ln>
              <a:effectLst/>
            </c:spPr>
          </c:marker>
          <c:xVal>
            <c:strRef>
              <c:f>'ED Graphs'!$F$26:$F$34</c:f>
              <c:strCache>
                <c:ptCount val="9"/>
                <c:pt idx="0">
                  <c:v>NSW</c:v>
                </c:pt>
                <c:pt idx="1">
                  <c:v>Vic</c:v>
                </c:pt>
                <c:pt idx="2">
                  <c:v>Qld</c:v>
                </c:pt>
                <c:pt idx="3">
                  <c:v>SA</c:v>
                </c:pt>
                <c:pt idx="4">
                  <c:v>WA</c:v>
                </c:pt>
                <c:pt idx="5">
                  <c:v>Tas</c:v>
                </c:pt>
                <c:pt idx="6">
                  <c:v>NT</c:v>
                </c:pt>
                <c:pt idx="7">
                  <c:v>ACT</c:v>
                </c:pt>
                <c:pt idx="8">
                  <c:v>National</c:v>
                </c:pt>
              </c:strCache>
            </c:strRef>
          </c:xVal>
          <c:yVal>
            <c:numRef>
              <c:f>'ED Graphs'!$J$26:$J$34</c:f>
              <c:numCache>
                <c:formatCode>0%</c:formatCode>
                <c:ptCount val="9"/>
                <c:pt idx="0">
                  <c:v>5.0601895317729774E-2</c:v>
                </c:pt>
                <c:pt idx="1">
                  <c:v>0.11187799642113139</c:v>
                </c:pt>
                <c:pt idx="2">
                  <c:v>0.14205073024447665</c:v>
                </c:pt>
                <c:pt idx="3">
                  <c:v>0.11314065885689138</c:v>
                </c:pt>
                <c:pt idx="4">
                  <c:v>0.1364685780803746</c:v>
                </c:pt>
                <c:pt idx="5">
                  <c:v>0.20305134196988772</c:v>
                </c:pt>
                <c:pt idx="6">
                  <c:v>6.4408948225637946E-2</c:v>
                </c:pt>
                <c:pt idx="8">
                  <c:v>9.9849535294811553E-2</c:v>
                </c:pt>
              </c:numCache>
            </c:numRef>
          </c:yVal>
          <c:smooth val="0"/>
          <c:extLst>
            <c:ext xmlns:c16="http://schemas.microsoft.com/office/drawing/2014/chart" uri="{C3380CC4-5D6E-409C-BE32-E72D297353CC}">
              <c16:uniqueId val="{00000003-85E9-462F-ABE6-DF8254B0EBB1}"/>
            </c:ext>
          </c:extLst>
        </c:ser>
        <c:dLbls>
          <c:showLegendKey val="0"/>
          <c:showVal val="0"/>
          <c:showCatName val="0"/>
          <c:showSerName val="0"/>
          <c:showPercent val="0"/>
          <c:showBubbleSize val="0"/>
        </c:dLbls>
        <c:axId val="544595936"/>
        <c:axId val="544595576"/>
      </c:scatterChart>
      <c:catAx>
        <c:axId val="58982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9829584"/>
        <c:crosses val="autoZero"/>
        <c:auto val="1"/>
        <c:lblAlgn val="ctr"/>
        <c:lblOffset val="100"/>
        <c:noMultiLvlLbl val="0"/>
      </c:catAx>
      <c:valAx>
        <c:axId val="589829584"/>
        <c:scaling>
          <c:orientation val="minMax"/>
          <c:max val="140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Average cost per presentation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9824184"/>
        <c:crosses val="autoZero"/>
        <c:crossBetween val="between"/>
      </c:valAx>
      <c:valAx>
        <c:axId val="544595576"/>
        <c:scaling>
          <c:orientation val="minMax"/>
          <c:max val="0.28000000000000003"/>
          <c:min val="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Change from 2021-22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4595936"/>
        <c:crosses val="max"/>
        <c:crossBetween val="midCat"/>
        <c:majorUnit val="4.0000000000000008E-2"/>
      </c:valAx>
      <c:valAx>
        <c:axId val="544595936"/>
        <c:scaling>
          <c:orientation val="minMax"/>
        </c:scaling>
        <c:delete val="1"/>
        <c:axPos val="t"/>
        <c:majorTickMark val="out"/>
        <c:minorTickMark val="none"/>
        <c:tickLblPos val="nextTo"/>
        <c:crossAx val="544595576"/>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ED!$H$22</c:f>
              <c:strCache>
                <c:ptCount val="1"/>
                <c:pt idx="0">
                  <c:v> 2020-21 </c:v>
                </c:pt>
              </c:strCache>
            </c:strRef>
          </c:tx>
          <c:spPr>
            <a:solidFill>
              <a:srgbClr val="246164"/>
            </a:solidFill>
            <a:ln>
              <a:noFill/>
            </a:ln>
            <a:effectLst/>
          </c:spPr>
          <c:invertIfNegative val="0"/>
          <c:cat>
            <c:strRef>
              <c:f>ED!$G$23:$G$32</c:f>
              <c:strCache>
                <c:ptCount val="10"/>
                <c:pt idx="0">
                  <c:v> Medical </c:v>
                </c:pt>
                <c:pt idx="1">
                  <c:v> Nursing </c:v>
                </c:pt>
                <c:pt idx="2">
                  <c:v> Imaging </c:v>
                </c:pt>
                <c:pt idx="3">
                  <c:v> Clin Supplies </c:v>
                </c:pt>
                <c:pt idx="4">
                  <c:v> Non Clinical </c:v>
                </c:pt>
                <c:pt idx="5">
                  <c:v> On-costs </c:v>
                </c:pt>
                <c:pt idx="6">
                  <c:v> Pathology </c:v>
                </c:pt>
                <c:pt idx="7">
                  <c:v> Dep </c:v>
                </c:pt>
                <c:pt idx="8">
                  <c:v> Hotel </c:v>
                </c:pt>
                <c:pt idx="9">
                  <c:v> Pat Transport </c:v>
                </c:pt>
              </c:strCache>
            </c:strRef>
          </c:cat>
          <c:val>
            <c:numRef>
              <c:f>ED!$H$23:$H$32</c:f>
              <c:numCache>
                <c:formatCode>_-"$"* #,##0_-;\-"$"* #,##0_-;_-"$"* "-"??_-;_-@_-</c:formatCode>
                <c:ptCount val="10"/>
                <c:pt idx="0">
                  <c:v>201.22559669</c:v>
                </c:pt>
                <c:pt idx="1">
                  <c:v>167.89724430000001</c:v>
                </c:pt>
                <c:pt idx="2">
                  <c:v>80.951996019000006</c:v>
                </c:pt>
                <c:pt idx="3">
                  <c:v>75.916095925999997</c:v>
                </c:pt>
                <c:pt idx="4">
                  <c:v>72.98247902</c:v>
                </c:pt>
                <c:pt idx="5">
                  <c:v>59.740658547999999</c:v>
                </c:pt>
                <c:pt idx="6">
                  <c:v>53.878043779000002</c:v>
                </c:pt>
                <c:pt idx="7">
                  <c:v>23.931951229999999</c:v>
                </c:pt>
                <c:pt idx="8">
                  <c:v>17.471905913000001</c:v>
                </c:pt>
                <c:pt idx="9">
                  <c:v>15.793325003</c:v>
                </c:pt>
              </c:numCache>
            </c:numRef>
          </c:val>
          <c:extLst>
            <c:ext xmlns:c16="http://schemas.microsoft.com/office/drawing/2014/chart" uri="{C3380CC4-5D6E-409C-BE32-E72D297353CC}">
              <c16:uniqueId val="{00000000-38EF-4352-B8C4-29AA16F7A7CC}"/>
            </c:ext>
          </c:extLst>
        </c:ser>
        <c:ser>
          <c:idx val="1"/>
          <c:order val="1"/>
          <c:tx>
            <c:strRef>
              <c:f>ED!$I$22</c:f>
              <c:strCache>
                <c:ptCount val="1"/>
                <c:pt idx="0">
                  <c:v> 2021-22 </c:v>
                </c:pt>
              </c:strCache>
            </c:strRef>
          </c:tx>
          <c:spPr>
            <a:solidFill>
              <a:srgbClr val="5FB2BE"/>
            </a:solidFill>
            <a:ln>
              <a:noFill/>
            </a:ln>
            <a:effectLst/>
          </c:spPr>
          <c:invertIfNegative val="0"/>
          <c:cat>
            <c:strRef>
              <c:f>ED!$G$23:$G$32</c:f>
              <c:strCache>
                <c:ptCount val="10"/>
                <c:pt idx="0">
                  <c:v> Medical </c:v>
                </c:pt>
                <c:pt idx="1">
                  <c:v> Nursing </c:v>
                </c:pt>
                <c:pt idx="2">
                  <c:v> Imaging </c:v>
                </c:pt>
                <c:pt idx="3">
                  <c:v> Clin Supplies </c:v>
                </c:pt>
                <c:pt idx="4">
                  <c:v> Non Clinical </c:v>
                </c:pt>
                <c:pt idx="5">
                  <c:v> On-costs </c:v>
                </c:pt>
                <c:pt idx="6">
                  <c:v> Pathology </c:v>
                </c:pt>
                <c:pt idx="7">
                  <c:v> Dep </c:v>
                </c:pt>
                <c:pt idx="8">
                  <c:v> Hotel </c:v>
                </c:pt>
                <c:pt idx="9">
                  <c:v> Pat Transport </c:v>
                </c:pt>
              </c:strCache>
            </c:strRef>
          </c:cat>
          <c:val>
            <c:numRef>
              <c:f>ED!$I$23:$I$32</c:f>
              <c:numCache>
                <c:formatCode>_-"$"* #,##0_-;\-"$"* #,##0_-;_-"$"* "-"??_-;_-@_-</c:formatCode>
                <c:ptCount val="10"/>
                <c:pt idx="0">
                  <c:v>222.29604909</c:v>
                </c:pt>
                <c:pt idx="1">
                  <c:v>185.12289913999999</c:v>
                </c:pt>
                <c:pt idx="2">
                  <c:v>89.666848732999995</c:v>
                </c:pt>
                <c:pt idx="3">
                  <c:v>88.828023822000006</c:v>
                </c:pt>
                <c:pt idx="4">
                  <c:v>84.041523205000004</c:v>
                </c:pt>
                <c:pt idx="5">
                  <c:v>70.923968664</c:v>
                </c:pt>
                <c:pt idx="6">
                  <c:v>62.636515508999999</c:v>
                </c:pt>
                <c:pt idx="7">
                  <c:v>28.662614874999999</c:v>
                </c:pt>
                <c:pt idx="8">
                  <c:v>20.148230639000001</c:v>
                </c:pt>
                <c:pt idx="9">
                  <c:v>15.401776241</c:v>
                </c:pt>
              </c:numCache>
            </c:numRef>
          </c:val>
          <c:extLst>
            <c:ext xmlns:c16="http://schemas.microsoft.com/office/drawing/2014/chart" uri="{C3380CC4-5D6E-409C-BE32-E72D297353CC}">
              <c16:uniqueId val="{00000001-38EF-4352-B8C4-29AA16F7A7CC}"/>
            </c:ext>
          </c:extLst>
        </c:ser>
        <c:ser>
          <c:idx val="2"/>
          <c:order val="2"/>
          <c:tx>
            <c:strRef>
              <c:f>ED!$J$22</c:f>
              <c:strCache>
                <c:ptCount val="1"/>
                <c:pt idx="0">
                  <c:v> 2022-23 </c:v>
                </c:pt>
              </c:strCache>
            </c:strRef>
          </c:tx>
          <c:spPr>
            <a:solidFill>
              <a:srgbClr val="C1867C"/>
            </a:solidFill>
            <a:ln>
              <a:noFill/>
            </a:ln>
            <a:effectLst/>
          </c:spPr>
          <c:invertIfNegative val="0"/>
          <c:cat>
            <c:strRef>
              <c:f>ED!$G$23:$G$32</c:f>
              <c:strCache>
                <c:ptCount val="10"/>
                <c:pt idx="0">
                  <c:v> Medical </c:v>
                </c:pt>
                <c:pt idx="1">
                  <c:v> Nursing </c:v>
                </c:pt>
                <c:pt idx="2">
                  <c:v> Imaging </c:v>
                </c:pt>
                <c:pt idx="3">
                  <c:v> Clin Supplies </c:v>
                </c:pt>
                <c:pt idx="4">
                  <c:v> Non Clinical </c:v>
                </c:pt>
                <c:pt idx="5">
                  <c:v> On-costs </c:v>
                </c:pt>
                <c:pt idx="6">
                  <c:v> Pathology </c:v>
                </c:pt>
                <c:pt idx="7">
                  <c:v> Dep </c:v>
                </c:pt>
                <c:pt idx="8">
                  <c:v> Hotel </c:v>
                </c:pt>
                <c:pt idx="9">
                  <c:v> Pat Transport </c:v>
                </c:pt>
              </c:strCache>
            </c:strRef>
          </c:cat>
          <c:val>
            <c:numRef>
              <c:f>ED!$J$23:$J$32</c:f>
              <c:numCache>
                <c:formatCode>_-"$"* #,##0_-;\-"$"* #,##0_-;_-"$"* "-"??_-;_-@_-</c:formatCode>
                <c:ptCount val="10"/>
                <c:pt idx="0">
                  <c:v>239.99477565999999</c:v>
                </c:pt>
                <c:pt idx="1">
                  <c:v>209.46669993</c:v>
                </c:pt>
                <c:pt idx="2">
                  <c:v>99.621629780000006</c:v>
                </c:pt>
                <c:pt idx="3">
                  <c:v>88.726953895999998</c:v>
                </c:pt>
                <c:pt idx="4">
                  <c:v>87.171999626000002</c:v>
                </c:pt>
                <c:pt idx="5">
                  <c:v>84.077585784999997</c:v>
                </c:pt>
                <c:pt idx="6">
                  <c:v>64.309422678000004</c:v>
                </c:pt>
                <c:pt idx="7">
                  <c:v>35.284534497999999</c:v>
                </c:pt>
                <c:pt idx="8">
                  <c:v>22.251696083999999</c:v>
                </c:pt>
                <c:pt idx="9">
                  <c:v>18.716255302</c:v>
                </c:pt>
              </c:numCache>
            </c:numRef>
          </c:val>
          <c:extLst>
            <c:ext xmlns:c16="http://schemas.microsoft.com/office/drawing/2014/chart" uri="{C3380CC4-5D6E-409C-BE32-E72D297353CC}">
              <c16:uniqueId val="{00000002-38EF-4352-B8C4-29AA16F7A7CC}"/>
            </c:ext>
          </c:extLst>
        </c:ser>
        <c:dLbls>
          <c:showLegendKey val="0"/>
          <c:showVal val="0"/>
          <c:showCatName val="0"/>
          <c:showSerName val="0"/>
          <c:showPercent val="0"/>
          <c:showBubbleSize val="0"/>
        </c:dLbls>
        <c:gapWidth val="219"/>
        <c:axId val="974135448"/>
        <c:axId val="974127888"/>
      </c:barChart>
      <c:catAx>
        <c:axId val="97413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27888"/>
        <c:crosses val="autoZero"/>
        <c:auto val="1"/>
        <c:lblAlgn val="ctr"/>
        <c:lblOffset val="100"/>
        <c:noMultiLvlLbl val="0"/>
      </c:catAx>
      <c:valAx>
        <c:axId val="974127888"/>
        <c:scaling>
          <c:orientation val="minMax"/>
          <c:max val="25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Average cost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35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NAP!$V$2:$V$3</c:f>
              <c:strCache>
                <c:ptCount val="2"/>
                <c:pt idx="0">
                  <c:v>NHCDC</c:v>
                </c:pt>
                <c:pt idx="1">
                  <c:v>2020-21</c:v>
                </c:pt>
              </c:strCache>
            </c:strRef>
          </c:tx>
          <c:spPr>
            <a:solidFill>
              <a:srgbClr val="246164"/>
            </a:solidFill>
            <a:ln>
              <a:noFill/>
            </a:ln>
            <a:effectLst/>
          </c:spPr>
          <c:invertIfNegative val="0"/>
          <c:cat>
            <c:strRef>
              <c:f>NAP!$U$4:$U$11</c:f>
              <c:strCache>
                <c:ptCount val="8"/>
                <c:pt idx="0">
                  <c:v>NSW</c:v>
                </c:pt>
                <c:pt idx="1">
                  <c:v>Vic</c:v>
                </c:pt>
                <c:pt idx="2">
                  <c:v>Qld</c:v>
                </c:pt>
                <c:pt idx="3">
                  <c:v>SA</c:v>
                </c:pt>
                <c:pt idx="4">
                  <c:v>WA</c:v>
                </c:pt>
                <c:pt idx="5">
                  <c:v>Tas</c:v>
                </c:pt>
                <c:pt idx="6">
                  <c:v>NT</c:v>
                </c:pt>
                <c:pt idx="7">
                  <c:v>ACT</c:v>
                </c:pt>
              </c:strCache>
            </c:strRef>
          </c:cat>
          <c:val>
            <c:numRef>
              <c:f>NAP!$V$4:$V$11</c:f>
              <c:numCache>
                <c:formatCode>_-* #,##0_-;\-* #,##0_-;_-* "-"??_-;_-@_-</c:formatCode>
                <c:ptCount val="8"/>
                <c:pt idx="0">
                  <c:v>10363.280000000001</c:v>
                </c:pt>
                <c:pt idx="1">
                  <c:v>4393.96</c:v>
                </c:pt>
                <c:pt idx="2">
                  <c:v>6774.89</c:v>
                </c:pt>
                <c:pt idx="3">
                  <c:v>1960.0740000000001</c:v>
                </c:pt>
                <c:pt idx="4">
                  <c:v>2683.3339999999998</c:v>
                </c:pt>
                <c:pt idx="5">
                  <c:v>699.46100000000001</c:v>
                </c:pt>
                <c:pt idx="6">
                  <c:v>357.56</c:v>
                </c:pt>
                <c:pt idx="7">
                  <c:v>966.53700000000003</c:v>
                </c:pt>
              </c:numCache>
            </c:numRef>
          </c:val>
          <c:extLst>
            <c:ext xmlns:c16="http://schemas.microsoft.com/office/drawing/2014/chart" uri="{C3380CC4-5D6E-409C-BE32-E72D297353CC}">
              <c16:uniqueId val="{00000000-6348-4FB9-830B-E1D85F5F8432}"/>
            </c:ext>
          </c:extLst>
        </c:ser>
        <c:ser>
          <c:idx val="1"/>
          <c:order val="1"/>
          <c:tx>
            <c:strRef>
              <c:f>NAP!$W$2:$W$3</c:f>
              <c:strCache>
                <c:ptCount val="2"/>
                <c:pt idx="0">
                  <c:v>NHCDC</c:v>
                </c:pt>
                <c:pt idx="1">
                  <c:v>2021-22</c:v>
                </c:pt>
              </c:strCache>
            </c:strRef>
          </c:tx>
          <c:spPr>
            <a:solidFill>
              <a:srgbClr val="5FB2BE"/>
            </a:solidFill>
            <a:ln>
              <a:noFill/>
            </a:ln>
            <a:effectLst/>
          </c:spPr>
          <c:invertIfNegative val="0"/>
          <c:cat>
            <c:strRef>
              <c:f>NAP!$U$4:$U$11</c:f>
              <c:strCache>
                <c:ptCount val="8"/>
                <c:pt idx="0">
                  <c:v>NSW</c:v>
                </c:pt>
                <c:pt idx="1">
                  <c:v>Vic</c:v>
                </c:pt>
                <c:pt idx="2">
                  <c:v>Qld</c:v>
                </c:pt>
                <c:pt idx="3">
                  <c:v>SA</c:v>
                </c:pt>
                <c:pt idx="4">
                  <c:v>WA</c:v>
                </c:pt>
                <c:pt idx="5">
                  <c:v>Tas</c:v>
                </c:pt>
                <c:pt idx="6">
                  <c:v>NT</c:v>
                </c:pt>
                <c:pt idx="7">
                  <c:v>ACT</c:v>
                </c:pt>
              </c:strCache>
            </c:strRef>
          </c:cat>
          <c:val>
            <c:numRef>
              <c:f>NAP!$W$4:$W$11</c:f>
              <c:numCache>
                <c:formatCode>_-* #,##0_-;\-* #,##0_-;_-* "-"??_-;_-@_-</c:formatCode>
                <c:ptCount val="8"/>
                <c:pt idx="0">
                  <c:v>9923.2160000000003</c:v>
                </c:pt>
                <c:pt idx="1">
                  <c:v>4726.1819999999998</c:v>
                </c:pt>
                <c:pt idx="2">
                  <c:v>8554.33</c:v>
                </c:pt>
                <c:pt idx="3">
                  <c:v>3534.3310000000001</c:v>
                </c:pt>
                <c:pt idx="4">
                  <c:v>2829.078</c:v>
                </c:pt>
                <c:pt idx="5">
                  <c:v>835.25699999999995</c:v>
                </c:pt>
                <c:pt idx="6">
                  <c:v>306.62900000000002</c:v>
                </c:pt>
                <c:pt idx="7">
                  <c:v>1685.768</c:v>
                </c:pt>
              </c:numCache>
            </c:numRef>
          </c:val>
          <c:extLst>
            <c:ext xmlns:c16="http://schemas.microsoft.com/office/drawing/2014/chart" uri="{C3380CC4-5D6E-409C-BE32-E72D297353CC}">
              <c16:uniqueId val="{00000001-6348-4FB9-830B-E1D85F5F8432}"/>
            </c:ext>
          </c:extLst>
        </c:ser>
        <c:ser>
          <c:idx val="2"/>
          <c:order val="2"/>
          <c:tx>
            <c:strRef>
              <c:f>NAP!$X$2:$X$3</c:f>
              <c:strCache>
                <c:ptCount val="2"/>
                <c:pt idx="0">
                  <c:v>NHCDC</c:v>
                </c:pt>
                <c:pt idx="1">
                  <c:v>2022-23</c:v>
                </c:pt>
              </c:strCache>
            </c:strRef>
          </c:tx>
          <c:spPr>
            <a:solidFill>
              <a:srgbClr val="C1867C"/>
            </a:solidFill>
            <a:ln>
              <a:noFill/>
            </a:ln>
            <a:effectLst/>
          </c:spPr>
          <c:invertIfNegative val="0"/>
          <c:cat>
            <c:strRef>
              <c:f>NAP!$U$4:$U$11</c:f>
              <c:strCache>
                <c:ptCount val="8"/>
                <c:pt idx="0">
                  <c:v>NSW</c:v>
                </c:pt>
                <c:pt idx="1">
                  <c:v>Vic</c:v>
                </c:pt>
                <c:pt idx="2">
                  <c:v>Qld</c:v>
                </c:pt>
                <c:pt idx="3">
                  <c:v>SA</c:v>
                </c:pt>
                <c:pt idx="4">
                  <c:v>WA</c:v>
                </c:pt>
                <c:pt idx="5">
                  <c:v>Tas</c:v>
                </c:pt>
                <c:pt idx="6">
                  <c:v>NT</c:v>
                </c:pt>
                <c:pt idx="7">
                  <c:v>ACT</c:v>
                </c:pt>
              </c:strCache>
            </c:strRef>
          </c:cat>
          <c:val>
            <c:numRef>
              <c:f>NAP!$X$4:$X$11</c:f>
              <c:numCache>
                <c:formatCode>_-* #,##0_-;\-* #,##0_-;_-* "-"??_-;_-@_-</c:formatCode>
                <c:ptCount val="8"/>
                <c:pt idx="0">
                  <c:v>10329.842000000001</c:v>
                </c:pt>
                <c:pt idx="1">
                  <c:v>4962.83</c:v>
                </c:pt>
                <c:pt idx="2">
                  <c:v>6998.9830000000002</c:v>
                </c:pt>
                <c:pt idx="3">
                  <c:v>1862.7560000000001</c:v>
                </c:pt>
                <c:pt idx="4">
                  <c:v>2673.0770000000002</c:v>
                </c:pt>
                <c:pt idx="5">
                  <c:v>660.41300000000001</c:v>
                </c:pt>
                <c:pt idx="6">
                  <c:v>311.95600000000002</c:v>
                </c:pt>
                <c:pt idx="7">
                  <c:v>0</c:v>
                </c:pt>
              </c:numCache>
            </c:numRef>
          </c:val>
          <c:extLst>
            <c:ext xmlns:c16="http://schemas.microsoft.com/office/drawing/2014/chart" uri="{C3380CC4-5D6E-409C-BE32-E72D297353CC}">
              <c16:uniqueId val="{00000002-6348-4FB9-830B-E1D85F5F8432}"/>
            </c:ext>
          </c:extLst>
        </c:ser>
        <c:dLbls>
          <c:showLegendKey val="0"/>
          <c:showVal val="0"/>
          <c:showCatName val="0"/>
          <c:showSerName val="0"/>
          <c:showPercent val="0"/>
          <c:showBubbleSize val="0"/>
        </c:dLbls>
        <c:gapWidth val="219"/>
        <c:axId val="1115025656"/>
        <c:axId val="1115023496"/>
      </c:barChart>
      <c:barChart>
        <c:barDir val="col"/>
        <c:grouping val="clustered"/>
        <c:varyColors val="0"/>
        <c:ser>
          <c:idx val="3"/>
          <c:order val="3"/>
          <c:tx>
            <c:strRef>
              <c:f>NAP!$Y$2:$Y$3</c:f>
              <c:strCache>
                <c:ptCount val="2"/>
                <c:pt idx="0">
                  <c:v>ABF</c:v>
                </c:pt>
                <c:pt idx="1">
                  <c:v>2020-21</c:v>
                </c:pt>
              </c:strCache>
            </c:strRef>
          </c:tx>
          <c:spPr>
            <a:solidFill>
              <a:srgbClr val="246164">
                <a:alpha val="50000"/>
              </a:srgbClr>
            </a:solidFill>
            <a:ln>
              <a:noFill/>
            </a:ln>
            <a:effectLst/>
          </c:spPr>
          <c:invertIfNegative val="0"/>
          <c:cat>
            <c:strRef>
              <c:f>NAP!$U$4:$U$11</c:f>
              <c:strCache>
                <c:ptCount val="8"/>
                <c:pt idx="0">
                  <c:v>NSW</c:v>
                </c:pt>
                <c:pt idx="1">
                  <c:v>Vic</c:v>
                </c:pt>
                <c:pt idx="2">
                  <c:v>Qld</c:v>
                </c:pt>
                <c:pt idx="3">
                  <c:v>SA</c:v>
                </c:pt>
                <c:pt idx="4">
                  <c:v>WA</c:v>
                </c:pt>
                <c:pt idx="5">
                  <c:v>Tas</c:v>
                </c:pt>
                <c:pt idx="6">
                  <c:v>NT</c:v>
                </c:pt>
                <c:pt idx="7">
                  <c:v>ACT</c:v>
                </c:pt>
              </c:strCache>
            </c:strRef>
          </c:cat>
          <c:val>
            <c:numRef>
              <c:f>NAP!$Y$4:$Y$11</c:f>
              <c:numCache>
                <c:formatCode>_-* #,##0_-;\-* #,##0_-;_-* "-"??_-;_-@_-</c:formatCode>
                <c:ptCount val="8"/>
                <c:pt idx="0">
                  <c:v>16432.689999999999</c:v>
                </c:pt>
                <c:pt idx="1">
                  <c:v>5251.4480000000003</c:v>
                </c:pt>
                <c:pt idx="2">
                  <c:v>8220.7240000000002</c:v>
                </c:pt>
                <c:pt idx="3">
                  <c:v>1971.1890000000001</c:v>
                </c:pt>
                <c:pt idx="4">
                  <c:v>3369.377</c:v>
                </c:pt>
                <c:pt idx="5">
                  <c:v>858.23199999999997</c:v>
                </c:pt>
                <c:pt idx="6">
                  <c:v>650.85699999999997</c:v>
                </c:pt>
                <c:pt idx="7">
                  <c:v>1134.2280000000001</c:v>
                </c:pt>
              </c:numCache>
            </c:numRef>
          </c:val>
          <c:extLst>
            <c:ext xmlns:c16="http://schemas.microsoft.com/office/drawing/2014/chart" uri="{C3380CC4-5D6E-409C-BE32-E72D297353CC}">
              <c16:uniqueId val="{00000003-6348-4FB9-830B-E1D85F5F8432}"/>
            </c:ext>
          </c:extLst>
        </c:ser>
        <c:ser>
          <c:idx val="4"/>
          <c:order val="4"/>
          <c:tx>
            <c:strRef>
              <c:f>NAP!$Z$2:$Z$3</c:f>
              <c:strCache>
                <c:ptCount val="2"/>
                <c:pt idx="0">
                  <c:v>ABF</c:v>
                </c:pt>
                <c:pt idx="1">
                  <c:v>2021-22</c:v>
                </c:pt>
              </c:strCache>
            </c:strRef>
          </c:tx>
          <c:spPr>
            <a:solidFill>
              <a:srgbClr val="5FB2BE">
                <a:alpha val="50000"/>
              </a:srgbClr>
            </a:solidFill>
            <a:ln>
              <a:noFill/>
            </a:ln>
            <a:effectLst/>
          </c:spPr>
          <c:invertIfNegative val="0"/>
          <c:cat>
            <c:strRef>
              <c:f>NAP!$U$4:$U$11</c:f>
              <c:strCache>
                <c:ptCount val="8"/>
                <c:pt idx="0">
                  <c:v>NSW</c:v>
                </c:pt>
                <c:pt idx="1">
                  <c:v>Vic</c:v>
                </c:pt>
                <c:pt idx="2">
                  <c:v>Qld</c:v>
                </c:pt>
                <c:pt idx="3">
                  <c:v>SA</c:v>
                </c:pt>
                <c:pt idx="4">
                  <c:v>WA</c:v>
                </c:pt>
                <c:pt idx="5">
                  <c:v>Tas</c:v>
                </c:pt>
                <c:pt idx="6">
                  <c:v>NT</c:v>
                </c:pt>
                <c:pt idx="7">
                  <c:v>ACT</c:v>
                </c:pt>
              </c:strCache>
            </c:strRef>
          </c:cat>
          <c:val>
            <c:numRef>
              <c:f>NAP!$Z$4:$Z$11</c:f>
              <c:numCache>
                <c:formatCode>_-* #,##0_-;\-* #,##0_-;_-* "-"??_-;_-@_-</c:formatCode>
                <c:ptCount val="8"/>
                <c:pt idx="0">
                  <c:v>15749.109</c:v>
                </c:pt>
                <c:pt idx="1">
                  <c:v>6164.1869999999999</c:v>
                </c:pt>
                <c:pt idx="2">
                  <c:v>11564.434999999999</c:v>
                </c:pt>
                <c:pt idx="3">
                  <c:v>3772.9110000000001</c:v>
                </c:pt>
                <c:pt idx="4">
                  <c:v>3494.375</c:v>
                </c:pt>
                <c:pt idx="5">
                  <c:v>1394.9549999999999</c:v>
                </c:pt>
                <c:pt idx="6">
                  <c:v>582.83699999999999</c:v>
                </c:pt>
                <c:pt idx="7">
                  <c:v>1688.6379999999999</c:v>
                </c:pt>
              </c:numCache>
            </c:numRef>
          </c:val>
          <c:extLst>
            <c:ext xmlns:c16="http://schemas.microsoft.com/office/drawing/2014/chart" uri="{C3380CC4-5D6E-409C-BE32-E72D297353CC}">
              <c16:uniqueId val="{00000004-6348-4FB9-830B-E1D85F5F8432}"/>
            </c:ext>
          </c:extLst>
        </c:ser>
        <c:ser>
          <c:idx val="5"/>
          <c:order val="5"/>
          <c:tx>
            <c:strRef>
              <c:f>NAP!$AA$2:$AA$3</c:f>
              <c:strCache>
                <c:ptCount val="2"/>
                <c:pt idx="0">
                  <c:v>ABF</c:v>
                </c:pt>
                <c:pt idx="1">
                  <c:v>2022-23</c:v>
                </c:pt>
              </c:strCache>
            </c:strRef>
          </c:tx>
          <c:spPr>
            <a:solidFill>
              <a:srgbClr val="C1867C">
                <a:alpha val="50000"/>
              </a:srgbClr>
            </a:solidFill>
            <a:ln>
              <a:noFill/>
            </a:ln>
            <a:effectLst/>
          </c:spPr>
          <c:invertIfNegative val="0"/>
          <c:cat>
            <c:strRef>
              <c:f>NAP!$U$4:$U$11</c:f>
              <c:strCache>
                <c:ptCount val="8"/>
                <c:pt idx="0">
                  <c:v>NSW</c:v>
                </c:pt>
                <c:pt idx="1">
                  <c:v>Vic</c:v>
                </c:pt>
                <c:pt idx="2">
                  <c:v>Qld</c:v>
                </c:pt>
                <c:pt idx="3">
                  <c:v>SA</c:v>
                </c:pt>
                <c:pt idx="4">
                  <c:v>WA</c:v>
                </c:pt>
                <c:pt idx="5">
                  <c:v>Tas</c:v>
                </c:pt>
                <c:pt idx="6">
                  <c:v>NT</c:v>
                </c:pt>
                <c:pt idx="7">
                  <c:v>ACT</c:v>
                </c:pt>
              </c:strCache>
            </c:strRef>
          </c:cat>
          <c:val>
            <c:numRef>
              <c:f>NAP!$AA$4:$AA$11</c:f>
              <c:numCache>
                <c:formatCode>_-* #,##0_-;\-* #,##0_-;_-* "-"??_-;_-@_-</c:formatCode>
                <c:ptCount val="8"/>
                <c:pt idx="0">
                  <c:v>13003.855</c:v>
                </c:pt>
                <c:pt idx="1">
                  <c:v>6202</c:v>
                </c:pt>
                <c:pt idx="2">
                  <c:v>7878.9809999999998</c:v>
                </c:pt>
                <c:pt idx="3">
                  <c:v>1976.3409999999999</c:v>
                </c:pt>
                <c:pt idx="4">
                  <c:v>3362.971</c:v>
                </c:pt>
                <c:pt idx="5">
                  <c:v>710.47299999999996</c:v>
                </c:pt>
                <c:pt idx="6">
                  <c:v>591.17200000000003</c:v>
                </c:pt>
                <c:pt idx="7">
                  <c:v>734</c:v>
                </c:pt>
              </c:numCache>
            </c:numRef>
          </c:val>
          <c:extLst>
            <c:ext xmlns:c16="http://schemas.microsoft.com/office/drawing/2014/chart" uri="{C3380CC4-5D6E-409C-BE32-E72D297353CC}">
              <c16:uniqueId val="{00000005-6348-4FB9-830B-E1D85F5F8432}"/>
            </c:ext>
          </c:extLst>
        </c:ser>
        <c:dLbls>
          <c:showLegendKey val="0"/>
          <c:showVal val="0"/>
          <c:showCatName val="0"/>
          <c:showSerName val="0"/>
          <c:showPercent val="0"/>
          <c:showBubbleSize val="0"/>
        </c:dLbls>
        <c:gapWidth val="219"/>
        <c:axId val="1115021336"/>
        <c:axId val="1115014856"/>
      </c:barChart>
      <c:catAx>
        <c:axId val="1115025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15023496"/>
        <c:crosses val="autoZero"/>
        <c:auto val="1"/>
        <c:lblAlgn val="ctr"/>
        <c:lblOffset val="100"/>
        <c:noMultiLvlLbl val="0"/>
      </c:catAx>
      <c:valAx>
        <c:axId val="1115023496"/>
        <c:scaling>
          <c:orientation val="minMax"/>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Service</a:t>
                </a:r>
                <a:r>
                  <a:rPr lang="en-US" baseline="0"/>
                  <a:t> events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15025656"/>
        <c:crosses val="autoZero"/>
        <c:crossBetween val="between"/>
        <c:majorUnit val="2500"/>
      </c:valAx>
      <c:valAx>
        <c:axId val="1115014856"/>
        <c:scaling>
          <c:orientation val="minMax"/>
          <c:max val="3000"/>
        </c:scaling>
        <c:delete val="1"/>
        <c:axPos val="r"/>
        <c:numFmt formatCode="_-* #,##0_-;\-* #,##0_-;_-* &quot;-&quot;??_-;_-@_-" sourceLinked="1"/>
        <c:majorTickMark val="out"/>
        <c:minorTickMark val="none"/>
        <c:tickLblPos val="nextTo"/>
        <c:crossAx val="1115021336"/>
        <c:crosses val="max"/>
        <c:crossBetween val="between"/>
      </c:valAx>
      <c:catAx>
        <c:axId val="1115021336"/>
        <c:scaling>
          <c:orientation val="minMax"/>
        </c:scaling>
        <c:delete val="1"/>
        <c:axPos val="b"/>
        <c:numFmt formatCode="General" sourceLinked="1"/>
        <c:majorTickMark val="out"/>
        <c:minorTickMark val="none"/>
        <c:tickLblPos val="nextTo"/>
        <c:crossAx val="1115014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NAP!$G$13</c:f>
              <c:strCache>
                <c:ptCount val="1"/>
                <c:pt idx="0">
                  <c:v>2020-21</c:v>
                </c:pt>
              </c:strCache>
            </c:strRef>
          </c:tx>
          <c:spPr>
            <a:solidFill>
              <a:srgbClr val="246164"/>
            </a:solidFill>
            <a:ln>
              <a:noFill/>
            </a:ln>
            <a:effectLst/>
          </c:spPr>
          <c:invertIfNegative val="0"/>
          <c:cat>
            <c:strRef>
              <c:f>NAP!$F$14:$F$21</c:f>
              <c:strCache>
                <c:ptCount val="8"/>
                <c:pt idx="0">
                  <c:v>NSW</c:v>
                </c:pt>
                <c:pt idx="1">
                  <c:v>Vic</c:v>
                </c:pt>
                <c:pt idx="2">
                  <c:v>Qld</c:v>
                </c:pt>
                <c:pt idx="3">
                  <c:v>SA</c:v>
                </c:pt>
                <c:pt idx="4">
                  <c:v>WA</c:v>
                </c:pt>
                <c:pt idx="5">
                  <c:v>Tas</c:v>
                </c:pt>
                <c:pt idx="6">
                  <c:v>NT</c:v>
                </c:pt>
                <c:pt idx="7">
                  <c:v>ACT</c:v>
                </c:pt>
              </c:strCache>
            </c:strRef>
          </c:cat>
          <c:val>
            <c:numRef>
              <c:f>NAP!$G$14:$G$21</c:f>
              <c:numCache>
                <c:formatCode>_-"$"* #,##0_-;\-"$"* #,##0_-;_-"$"* "-"??_-;_-@_-</c:formatCode>
                <c:ptCount val="8"/>
                <c:pt idx="0">
                  <c:v>3036.2477690000001</c:v>
                </c:pt>
                <c:pt idx="1">
                  <c:v>1609.8907187</c:v>
                </c:pt>
                <c:pt idx="2">
                  <c:v>2462.9501252</c:v>
                </c:pt>
                <c:pt idx="3">
                  <c:v>897.47668965000003</c:v>
                </c:pt>
                <c:pt idx="4">
                  <c:v>902.05321878999996</c:v>
                </c:pt>
                <c:pt idx="5">
                  <c:v>268.90029416000004</c:v>
                </c:pt>
                <c:pt idx="6">
                  <c:v>172.80767786000001</c:v>
                </c:pt>
                <c:pt idx="7">
                  <c:v>277.16496314</c:v>
                </c:pt>
              </c:numCache>
            </c:numRef>
          </c:val>
          <c:extLst>
            <c:ext xmlns:c16="http://schemas.microsoft.com/office/drawing/2014/chart" uri="{C3380CC4-5D6E-409C-BE32-E72D297353CC}">
              <c16:uniqueId val="{00000000-BF72-4BB9-BE33-25903D4DF4AC}"/>
            </c:ext>
          </c:extLst>
        </c:ser>
        <c:ser>
          <c:idx val="1"/>
          <c:order val="1"/>
          <c:tx>
            <c:strRef>
              <c:f>NAP!$H$13</c:f>
              <c:strCache>
                <c:ptCount val="1"/>
                <c:pt idx="0">
                  <c:v>2021-22</c:v>
                </c:pt>
              </c:strCache>
            </c:strRef>
          </c:tx>
          <c:spPr>
            <a:solidFill>
              <a:srgbClr val="5FB2BE"/>
            </a:solidFill>
            <a:ln>
              <a:noFill/>
            </a:ln>
            <a:effectLst/>
          </c:spPr>
          <c:invertIfNegative val="0"/>
          <c:cat>
            <c:strRef>
              <c:f>NAP!$F$14:$F$21</c:f>
              <c:strCache>
                <c:ptCount val="8"/>
                <c:pt idx="0">
                  <c:v>NSW</c:v>
                </c:pt>
                <c:pt idx="1">
                  <c:v>Vic</c:v>
                </c:pt>
                <c:pt idx="2">
                  <c:v>Qld</c:v>
                </c:pt>
                <c:pt idx="3">
                  <c:v>SA</c:v>
                </c:pt>
                <c:pt idx="4">
                  <c:v>WA</c:v>
                </c:pt>
                <c:pt idx="5">
                  <c:v>Tas</c:v>
                </c:pt>
                <c:pt idx="6">
                  <c:v>NT</c:v>
                </c:pt>
                <c:pt idx="7">
                  <c:v>ACT</c:v>
                </c:pt>
              </c:strCache>
            </c:strRef>
          </c:cat>
          <c:val>
            <c:numRef>
              <c:f>NAP!$H$14:$H$21</c:f>
              <c:numCache>
                <c:formatCode>_-"$"* #,##0_-;\-"$"* #,##0_-;_-"$"* "-"??_-;_-@_-</c:formatCode>
                <c:ptCount val="8"/>
                <c:pt idx="0">
                  <c:v>3241.9302054999998</c:v>
                </c:pt>
                <c:pt idx="1">
                  <c:v>1786.7373319999999</c:v>
                </c:pt>
                <c:pt idx="2">
                  <c:v>2714.1486375999998</c:v>
                </c:pt>
                <c:pt idx="3">
                  <c:v>1008.836721</c:v>
                </c:pt>
                <c:pt idx="4">
                  <c:v>1014.5422226000001</c:v>
                </c:pt>
                <c:pt idx="5">
                  <c:v>235.18779916</c:v>
                </c:pt>
                <c:pt idx="6">
                  <c:v>161.65719794999998</c:v>
                </c:pt>
                <c:pt idx="7">
                  <c:v>341.24791182999996</c:v>
                </c:pt>
              </c:numCache>
            </c:numRef>
          </c:val>
          <c:extLst>
            <c:ext xmlns:c16="http://schemas.microsoft.com/office/drawing/2014/chart" uri="{C3380CC4-5D6E-409C-BE32-E72D297353CC}">
              <c16:uniqueId val="{00000001-BF72-4BB9-BE33-25903D4DF4AC}"/>
            </c:ext>
          </c:extLst>
        </c:ser>
        <c:ser>
          <c:idx val="2"/>
          <c:order val="2"/>
          <c:tx>
            <c:strRef>
              <c:f>NAP!$I$13</c:f>
              <c:strCache>
                <c:ptCount val="1"/>
                <c:pt idx="0">
                  <c:v>2022-23</c:v>
                </c:pt>
              </c:strCache>
            </c:strRef>
          </c:tx>
          <c:spPr>
            <a:solidFill>
              <a:srgbClr val="C1867C"/>
            </a:solidFill>
            <a:ln>
              <a:noFill/>
            </a:ln>
            <a:effectLst/>
          </c:spPr>
          <c:invertIfNegative val="0"/>
          <c:cat>
            <c:strRef>
              <c:f>NAP!$F$14:$F$21</c:f>
              <c:strCache>
                <c:ptCount val="8"/>
                <c:pt idx="0">
                  <c:v>NSW</c:v>
                </c:pt>
                <c:pt idx="1">
                  <c:v>Vic</c:v>
                </c:pt>
                <c:pt idx="2">
                  <c:v>Qld</c:v>
                </c:pt>
                <c:pt idx="3">
                  <c:v>SA</c:v>
                </c:pt>
                <c:pt idx="4">
                  <c:v>WA</c:v>
                </c:pt>
                <c:pt idx="5">
                  <c:v>Tas</c:v>
                </c:pt>
                <c:pt idx="6">
                  <c:v>NT</c:v>
                </c:pt>
                <c:pt idx="7">
                  <c:v>ACT</c:v>
                </c:pt>
              </c:strCache>
            </c:strRef>
          </c:cat>
          <c:val>
            <c:numRef>
              <c:f>NAP!$I$14:$I$21</c:f>
              <c:numCache>
                <c:formatCode>_-"$"* #,##0_-;\-"$"* #,##0_-;_-"$"* "-"??_-;_-@_-</c:formatCode>
                <c:ptCount val="8"/>
                <c:pt idx="0">
                  <c:v>3577.1343849999998</c:v>
                </c:pt>
                <c:pt idx="1">
                  <c:v>2012.7659510000001</c:v>
                </c:pt>
                <c:pt idx="2">
                  <c:v>3066.303977</c:v>
                </c:pt>
                <c:pt idx="3">
                  <c:v>1011.438393</c:v>
                </c:pt>
                <c:pt idx="4">
                  <c:v>1096.411456</c:v>
                </c:pt>
                <c:pt idx="5">
                  <c:v>268.00831699999998</c:v>
                </c:pt>
                <c:pt idx="6">
                  <c:v>162.38000099999999</c:v>
                </c:pt>
                <c:pt idx="7">
                  <c:v>0</c:v>
                </c:pt>
              </c:numCache>
            </c:numRef>
          </c:val>
          <c:extLst>
            <c:ext xmlns:c16="http://schemas.microsoft.com/office/drawing/2014/chart" uri="{C3380CC4-5D6E-409C-BE32-E72D297353CC}">
              <c16:uniqueId val="{00000002-BF72-4BB9-BE33-25903D4DF4AC}"/>
            </c:ext>
          </c:extLst>
        </c:ser>
        <c:dLbls>
          <c:showLegendKey val="0"/>
          <c:showVal val="0"/>
          <c:showCatName val="0"/>
          <c:showSerName val="0"/>
          <c:showPercent val="0"/>
          <c:showBubbleSize val="0"/>
        </c:dLbls>
        <c:gapWidth val="219"/>
        <c:axId val="589824184"/>
        <c:axId val="589829584"/>
      </c:barChart>
      <c:scatterChart>
        <c:scatterStyle val="lineMarker"/>
        <c:varyColors val="0"/>
        <c:ser>
          <c:idx val="3"/>
          <c:order val="3"/>
          <c:tx>
            <c:strRef>
              <c:f>NAP!$J$13</c:f>
              <c:strCache>
                <c:ptCount val="1"/>
                <c:pt idx="0">
                  <c:v>% change</c:v>
                </c:pt>
              </c:strCache>
            </c:strRef>
          </c:tx>
          <c:spPr>
            <a:ln w="25400" cap="rnd">
              <a:noFill/>
              <a:round/>
            </a:ln>
            <a:effectLst/>
          </c:spPr>
          <c:marker>
            <c:symbol val="circle"/>
            <c:size val="8"/>
            <c:spPr>
              <a:solidFill>
                <a:srgbClr val="D5D3A5"/>
              </a:solidFill>
              <a:ln w="9525">
                <a:solidFill>
                  <a:srgbClr val="333333"/>
                </a:solidFill>
              </a:ln>
              <a:effectLst/>
            </c:spPr>
          </c:marker>
          <c:xVal>
            <c:strRef>
              <c:f>NAP!$F$14:$F$21</c:f>
              <c:strCache>
                <c:ptCount val="8"/>
                <c:pt idx="0">
                  <c:v>NSW</c:v>
                </c:pt>
                <c:pt idx="1">
                  <c:v>Vic</c:v>
                </c:pt>
                <c:pt idx="2">
                  <c:v>Qld</c:v>
                </c:pt>
                <c:pt idx="3">
                  <c:v>SA</c:v>
                </c:pt>
                <c:pt idx="4">
                  <c:v>WA</c:v>
                </c:pt>
                <c:pt idx="5">
                  <c:v>Tas</c:v>
                </c:pt>
                <c:pt idx="6">
                  <c:v>NT</c:v>
                </c:pt>
                <c:pt idx="7">
                  <c:v>ACT</c:v>
                </c:pt>
              </c:strCache>
            </c:strRef>
          </c:xVal>
          <c:yVal>
            <c:numRef>
              <c:f>NAP!$J$14:$J$21</c:f>
              <c:numCache>
                <c:formatCode>0%</c:formatCode>
                <c:ptCount val="8"/>
                <c:pt idx="0">
                  <c:v>0.10339648242004698</c:v>
                </c:pt>
                <c:pt idx="1">
                  <c:v>0.12650355200615473</c:v>
                </c:pt>
                <c:pt idx="2">
                  <c:v>0.12974799335654491</c:v>
                </c:pt>
                <c:pt idx="3">
                  <c:v>2.5788831292948224E-3</c:v>
                </c:pt>
                <c:pt idx="4">
                  <c:v>8.0695738014915794E-2</c:v>
                </c:pt>
                <c:pt idx="5">
                  <c:v>0.1395502571018658</c:v>
                </c:pt>
                <c:pt idx="6">
                  <c:v>4.4712085769516479E-3</c:v>
                </c:pt>
              </c:numCache>
            </c:numRef>
          </c:yVal>
          <c:smooth val="0"/>
          <c:extLst>
            <c:ext xmlns:c16="http://schemas.microsoft.com/office/drawing/2014/chart" uri="{C3380CC4-5D6E-409C-BE32-E72D297353CC}">
              <c16:uniqueId val="{00000003-BF72-4BB9-BE33-25903D4DF4AC}"/>
            </c:ext>
          </c:extLst>
        </c:ser>
        <c:dLbls>
          <c:showLegendKey val="0"/>
          <c:showVal val="0"/>
          <c:showCatName val="0"/>
          <c:showSerName val="0"/>
          <c:showPercent val="0"/>
          <c:showBubbleSize val="0"/>
        </c:dLbls>
        <c:axId val="544595936"/>
        <c:axId val="544595576"/>
      </c:scatterChart>
      <c:catAx>
        <c:axId val="58982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9829584"/>
        <c:crosses val="autoZero"/>
        <c:auto val="1"/>
        <c:lblAlgn val="ctr"/>
        <c:lblOffset val="100"/>
        <c:noMultiLvlLbl val="0"/>
      </c:catAx>
      <c:valAx>
        <c:axId val="589829584"/>
        <c:scaling>
          <c:orientation val="minMax"/>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Cost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9824184"/>
        <c:crosses val="autoZero"/>
        <c:crossBetween val="between"/>
        <c:majorUnit val="1000"/>
      </c:valAx>
      <c:valAx>
        <c:axId val="54459557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Change from 2021-22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4595936"/>
        <c:crosses val="max"/>
        <c:crossBetween val="midCat"/>
        <c:majorUnit val="4.0000000000000008E-2"/>
      </c:valAx>
      <c:valAx>
        <c:axId val="544595936"/>
        <c:scaling>
          <c:orientation val="minMax"/>
        </c:scaling>
        <c:delete val="1"/>
        <c:axPos val="t"/>
        <c:majorTickMark val="out"/>
        <c:minorTickMark val="none"/>
        <c:tickLblPos val="nextTo"/>
        <c:crossAx val="544595576"/>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'Acute graphs'!$X$2:$X$3</c:f>
              <c:strCache>
                <c:ptCount val="2"/>
                <c:pt idx="0">
                  <c:v>NHCDC</c:v>
                </c:pt>
                <c:pt idx="1">
                  <c:v>2020-21</c:v>
                </c:pt>
              </c:strCache>
            </c:strRef>
          </c:tx>
          <c:spPr>
            <a:solidFill>
              <a:srgbClr val="246164"/>
            </a:solidFill>
            <a:ln>
              <a:noFill/>
            </a:ln>
            <a:effectLst/>
          </c:spPr>
          <c:invertIfNegative val="0"/>
          <c:cat>
            <c:strRef>
              <c:f>'Acute graphs'!$W$4:$W$11</c:f>
              <c:strCache>
                <c:ptCount val="8"/>
                <c:pt idx="0">
                  <c:v>NSW</c:v>
                </c:pt>
                <c:pt idx="1">
                  <c:v>Vic</c:v>
                </c:pt>
                <c:pt idx="2">
                  <c:v>Qld</c:v>
                </c:pt>
                <c:pt idx="3">
                  <c:v>SA</c:v>
                </c:pt>
                <c:pt idx="4">
                  <c:v>WA</c:v>
                </c:pt>
                <c:pt idx="5">
                  <c:v>Tas</c:v>
                </c:pt>
                <c:pt idx="6">
                  <c:v>NT</c:v>
                </c:pt>
                <c:pt idx="7">
                  <c:v>ACT</c:v>
                </c:pt>
              </c:strCache>
            </c:strRef>
          </c:cat>
          <c:val>
            <c:numRef>
              <c:f>'Acute graphs'!$X$4:$X$11</c:f>
              <c:numCache>
                <c:formatCode>_-* #,##0_-;\-* #,##0_-;_-* "-"??_-;_-@_-</c:formatCode>
                <c:ptCount val="8"/>
                <c:pt idx="0">
                  <c:v>1627.5150000000001</c:v>
                </c:pt>
                <c:pt idx="1">
                  <c:v>1659.307</c:v>
                </c:pt>
                <c:pt idx="2">
                  <c:v>1626.3820000000001</c:v>
                </c:pt>
                <c:pt idx="3">
                  <c:v>404.83600000000001</c:v>
                </c:pt>
                <c:pt idx="4">
                  <c:v>609.83900000000006</c:v>
                </c:pt>
                <c:pt idx="5">
                  <c:v>132.792</c:v>
                </c:pt>
                <c:pt idx="6">
                  <c:v>179.773</c:v>
                </c:pt>
                <c:pt idx="7">
                  <c:v>119.815</c:v>
                </c:pt>
              </c:numCache>
            </c:numRef>
          </c:val>
          <c:extLst>
            <c:ext xmlns:c16="http://schemas.microsoft.com/office/drawing/2014/chart" uri="{C3380CC4-5D6E-409C-BE32-E72D297353CC}">
              <c16:uniqueId val="{00000000-64E7-407D-AA08-148A9AF36021}"/>
            </c:ext>
          </c:extLst>
        </c:ser>
        <c:ser>
          <c:idx val="1"/>
          <c:order val="1"/>
          <c:tx>
            <c:strRef>
              <c:f>'Acute graphs'!$Y$2:$Y$3</c:f>
              <c:strCache>
                <c:ptCount val="2"/>
                <c:pt idx="0">
                  <c:v>NHCDC</c:v>
                </c:pt>
                <c:pt idx="1">
                  <c:v>2021-22</c:v>
                </c:pt>
              </c:strCache>
            </c:strRef>
          </c:tx>
          <c:spPr>
            <a:solidFill>
              <a:srgbClr val="5FB2BE"/>
            </a:solidFill>
            <a:ln>
              <a:noFill/>
            </a:ln>
            <a:effectLst/>
          </c:spPr>
          <c:invertIfNegative val="0"/>
          <c:cat>
            <c:strRef>
              <c:f>'Acute graphs'!$W$4:$W$11</c:f>
              <c:strCache>
                <c:ptCount val="8"/>
                <c:pt idx="0">
                  <c:v>NSW</c:v>
                </c:pt>
                <c:pt idx="1">
                  <c:v>Vic</c:v>
                </c:pt>
                <c:pt idx="2">
                  <c:v>Qld</c:v>
                </c:pt>
                <c:pt idx="3">
                  <c:v>SA</c:v>
                </c:pt>
                <c:pt idx="4">
                  <c:v>WA</c:v>
                </c:pt>
                <c:pt idx="5">
                  <c:v>Tas</c:v>
                </c:pt>
                <c:pt idx="6">
                  <c:v>NT</c:v>
                </c:pt>
                <c:pt idx="7">
                  <c:v>ACT</c:v>
                </c:pt>
              </c:strCache>
            </c:strRef>
          </c:cat>
          <c:val>
            <c:numRef>
              <c:f>'Acute graphs'!$Y$4:$Y$11</c:f>
              <c:numCache>
                <c:formatCode>_-* #,##0_-;\-* #,##0_-;_-* "-"??_-;_-@_-</c:formatCode>
                <c:ptCount val="8"/>
                <c:pt idx="0">
                  <c:v>1489.598</c:v>
                </c:pt>
                <c:pt idx="1">
                  <c:v>1682.451</c:v>
                </c:pt>
                <c:pt idx="2">
                  <c:v>1622.556</c:v>
                </c:pt>
                <c:pt idx="3">
                  <c:v>409.86500000000001</c:v>
                </c:pt>
                <c:pt idx="4">
                  <c:v>588.30899999999997</c:v>
                </c:pt>
                <c:pt idx="5">
                  <c:v>150.054</c:v>
                </c:pt>
                <c:pt idx="6">
                  <c:v>169.31399999999999</c:v>
                </c:pt>
                <c:pt idx="7">
                  <c:v>112.495</c:v>
                </c:pt>
              </c:numCache>
            </c:numRef>
          </c:val>
          <c:extLst>
            <c:ext xmlns:c16="http://schemas.microsoft.com/office/drawing/2014/chart" uri="{C3380CC4-5D6E-409C-BE32-E72D297353CC}">
              <c16:uniqueId val="{00000001-64E7-407D-AA08-148A9AF36021}"/>
            </c:ext>
          </c:extLst>
        </c:ser>
        <c:ser>
          <c:idx val="2"/>
          <c:order val="2"/>
          <c:tx>
            <c:strRef>
              <c:f>'Acute graphs'!$Z$2:$Z$3</c:f>
              <c:strCache>
                <c:ptCount val="2"/>
                <c:pt idx="0">
                  <c:v>NHCDC</c:v>
                </c:pt>
                <c:pt idx="1">
                  <c:v>2022-23</c:v>
                </c:pt>
              </c:strCache>
            </c:strRef>
          </c:tx>
          <c:spPr>
            <a:solidFill>
              <a:srgbClr val="C1867C"/>
            </a:solidFill>
            <a:ln>
              <a:noFill/>
            </a:ln>
            <a:effectLst/>
          </c:spPr>
          <c:invertIfNegative val="0"/>
          <c:cat>
            <c:strRef>
              <c:f>'Acute graphs'!$W$4:$W$11</c:f>
              <c:strCache>
                <c:ptCount val="8"/>
                <c:pt idx="0">
                  <c:v>NSW</c:v>
                </c:pt>
                <c:pt idx="1">
                  <c:v>Vic</c:v>
                </c:pt>
                <c:pt idx="2">
                  <c:v>Qld</c:v>
                </c:pt>
                <c:pt idx="3">
                  <c:v>SA</c:v>
                </c:pt>
                <c:pt idx="4">
                  <c:v>WA</c:v>
                </c:pt>
                <c:pt idx="5">
                  <c:v>Tas</c:v>
                </c:pt>
                <c:pt idx="6">
                  <c:v>NT</c:v>
                </c:pt>
                <c:pt idx="7">
                  <c:v>ACT</c:v>
                </c:pt>
              </c:strCache>
            </c:strRef>
          </c:cat>
          <c:val>
            <c:numRef>
              <c:f>'Acute graphs'!$Z$4:$Z$11</c:f>
              <c:numCache>
                <c:formatCode>_-* #,##0_-;\-* #,##0_-;_-* "-"??_-;_-@_-</c:formatCode>
                <c:ptCount val="8"/>
                <c:pt idx="0">
                  <c:v>1665.2940000000001</c:v>
                </c:pt>
                <c:pt idx="1">
                  <c:v>1790.0309999999999</c:v>
                </c:pt>
                <c:pt idx="2">
                  <c:v>1672.2280000000001</c:v>
                </c:pt>
                <c:pt idx="3">
                  <c:v>421.048</c:v>
                </c:pt>
                <c:pt idx="4">
                  <c:v>619.90800000000002</c:v>
                </c:pt>
                <c:pt idx="5">
                  <c:v>157.79900000000001</c:v>
                </c:pt>
                <c:pt idx="6">
                  <c:v>179.92500000000001</c:v>
                </c:pt>
                <c:pt idx="7">
                  <c:v>0</c:v>
                </c:pt>
              </c:numCache>
            </c:numRef>
          </c:val>
          <c:extLst>
            <c:ext xmlns:c16="http://schemas.microsoft.com/office/drawing/2014/chart" uri="{C3380CC4-5D6E-409C-BE32-E72D297353CC}">
              <c16:uniqueId val="{00000002-64E7-407D-AA08-148A9AF36021}"/>
            </c:ext>
          </c:extLst>
        </c:ser>
        <c:dLbls>
          <c:showLegendKey val="0"/>
          <c:showVal val="0"/>
          <c:showCatName val="0"/>
          <c:showSerName val="0"/>
          <c:showPercent val="0"/>
          <c:showBubbleSize val="0"/>
        </c:dLbls>
        <c:gapWidth val="219"/>
        <c:axId val="290463664"/>
        <c:axId val="290458984"/>
      </c:barChart>
      <c:barChart>
        <c:barDir val="col"/>
        <c:grouping val="clustered"/>
        <c:varyColors val="0"/>
        <c:ser>
          <c:idx val="3"/>
          <c:order val="3"/>
          <c:tx>
            <c:strRef>
              <c:f>'Acute graphs'!$AA$2:$AA$3</c:f>
              <c:strCache>
                <c:ptCount val="2"/>
                <c:pt idx="0">
                  <c:v>ABF</c:v>
                </c:pt>
                <c:pt idx="1">
                  <c:v>2020-21</c:v>
                </c:pt>
              </c:strCache>
            </c:strRef>
          </c:tx>
          <c:spPr>
            <a:solidFill>
              <a:srgbClr val="246164">
                <a:alpha val="54902"/>
              </a:srgbClr>
            </a:solidFill>
            <a:ln>
              <a:noFill/>
              <a:prstDash val="sysDot"/>
            </a:ln>
            <a:effectLst/>
          </c:spPr>
          <c:invertIfNegative val="0"/>
          <c:cat>
            <c:strRef>
              <c:f>'Acute graphs'!$W$4:$W$11</c:f>
              <c:strCache>
                <c:ptCount val="8"/>
                <c:pt idx="0">
                  <c:v>NSW</c:v>
                </c:pt>
                <c:pt idx="1">
                  <c:v>Vic</c:v>
                </c:pt>
                <c:pt idx="2">
                  <c:v>Qld</c:v>
                </c:pt>
                <c:pt idx="3">
                  <c:v>SA</c:v>
                </c:pt>
                <c:pt idx="4">
                  <c:v>WA</c:v>
                </c:pt>
                <c:pt idx="5">
                  <c:v>Tas</c:v>
                </c:pt>
                <c:pt idx="6">
                  <c:v>NT</c:v>
                </c:pt>
                <c:pt idx="7">
                  <c:v>ACT</c:v>
                </c:pt>
              </c:strCache>
            </c:strRef>
          </c:cat>
          <c:val>
            <c:numRef>
              <c:f>'Acute graphs'!$AA$4:$AA$11</c:f>
              <c:numCache>
                <c:formatCode>0</c:formatCode>
                <c:ptCount val="8"/>
                <c:pt idx="0">
                  <c:v>1790.6859999999999</c:v>
                </c:pt>
                <c:pt idx="1">
                  <c:v>1753.4949999999999</c:v>
                </c:pt>
                <c:pt idx="2">
                  <c:v>1645.7329999999999</c:v>
                </c:pt>
                <c:pt idx="3">
                  <c:v>437.52</c:v>
                </c:pt>
                <c:pt idx="4">
                  <c:v>619.55700000000002</c:v>
                </c:pt>
                <c:pt idx="5">
                  <c:v>132.84100000000001</c:v>
                </c:pt>
                <c:pt idx="6">
                  <c:v>179.78</c:v>
                </c:pt>
                <c:pt idx="7">
                  <c:v>121.672</c:v>
                </c:pt>
              </c:numCache>
            </c:numRef>
          </c:val>
          <c:extLst>
            <c:ext xmlns:c16="http://schemas.microsoft.com/office/drawing/2014/chart" uri="{C3380CC4-5D6E-409C-BE32-E72D297353CC}">
              <c16:uniqueId val="{00000003-64E7-407D-AA08-148A9AF36021}"/>
            </c:ext>
          </c:extLst>
        </c:ser>
        <c:ser>
          <c:idx val="4"/>
          <c:order val="4"/>
          <c:tx>
            <c:strRef>
              <c:f>'Acute graphs'!$AB$2:$AB$3</c:f>
              <c:strCache>
                <c:ptCount val="2"/>
                <c:pt idx="0">
                  <c:v>ABF</c:v>
                </c:pt>
                <c:pt idx="1">
                  <c:v>2021-22</c:v>
                </c:pt>
              </c:strCache>
            </c:strRef>
          </c:tx>
          <c:spPr>
            <a:solidFill>
              <a:srgbClr val="5FB2BE">
                <a:alpha val="41961"/>
              </a:srgbClr>
            </a:solidFill>
            <a:ln>
              <a:solidFill>
                <a:schemeClr val="accent1">
                  <a:alpha val="0"/>
                </a:schemeClr>
              </a:solidFill>
            </a:ln>
            <a:effectLst/>
          </c:spPr>
          <c:invertIfNegative val="0"/>
          <c:cat>
            <c:strRef>
              <c:f>'Acute graphs'!$W$4:$W$11</c:f>
              <c:strCache>
                <c:ptCount val="8"/>
                <c:pt idx="0">
                  <c:v>NSW</c:v>
                </c:pt>
                <c:pt idx="1">
                  <c:v>Vic</c:v>
                </c:pt>
                <c:pt idx="2">
                  <c:v>Qld</c:v>
                </c:pt>
                <c:pt idx="3">
                  <c:v>SA</c:v>
                </c:pt>
                <c:pt idx="4">
                  <c:v>WA</c:v>
                </c:pt>
                <c:pt idx="5">
                  <c:v>Tas</c:v>
                </c:pt>
                <c:pt idx="6">
                  <c:v>NT</c:v>
                </c:pt>
                <c:pt idx="7">
                  <c:v>ACT</c:v>
                </c:pt>
              </c:strCache>
            </c:strRef>
          </c:cat>
          <c:val>
            <c:numRef>
              <c:f>'Acute graphs'!$AB$4:$AB$11</c:f>
              <c:numCache>
                <c:formatCode>0</c:formatCode>
                <c:ptCount val="8"/>
                <c:pt idx="0">
                  <c:v>1679.231</c:v>
                </c:pt>
                <c:pt idx="1">
                  <c:v>1746.9069999999999</c:v>
                </c:pt>
                <c:pt idx="2">
                  <c:v>1654.508</c:v>
                </c:pt>
                <c:pt idx="3">
                  <c:v>437.40499999999997</c:v>
                </c:pt>
                <c:pt idx="4">
                  <c:v>600.83600000000001</c:v>
                </c:pt>
                <c:pt idx="5">
                  <c:v>150.14599999999999</c:v>
                </c:pt>
                <c:pt idx="6">
                  <c:v>169.53299999999999</c:v>
                </c:pt>
                <c:pt idx="7">
                  <c:v>113.88500000000001</c:v>
                </c:pt>
              </c:numCache>
            </c:numRef>
          </c:val>
          <c:extLst>
            <c:ext xmlns:c16="http://schemas.microsoft.com/office/drawing/2014/chart" uri="{C3380CC4-5D6E-409C-BE32-E72D297353CC}">
              <c16:uniqueId val="{00000004-64E7-407D-AA08-148A9AF36021}"/>
            </c:ext>
          </c:extLst>
        </c:ser>
        <c:ser>
          <c:idx val="5"/>
          <c:order val="5"/>
          <c:tx>
            <c:strRef>
              <c:f>'Acute graphs'!$AC$2:$AC$3</c:f>
              <c:strCache>
                <c:ptCount val="2"/>
                <c:pt idx="0">
                  <c:v>ABF</c:v>
                </c:pt>
                <c:pt idx="1">
                  <c:v>2022-23</c:v>
                </c:pt>
              </c:strCache>
            </c:strRef>
          </c:tx>
          <c:spPr>
            <a:solidFill>
              <a:srgbClr val="C1867C">
                <a:alpha val="33725"/>
              </a:srgbClr>
            </a:solidFill>
            <a:ln>
              <a:noFill/>
            </a:ln>
            <a:effectLst/>
          </c:spPr>
          <c:invertIfNegative val="0"/>
          <c:cat>
            <c:strRef>
              <c:f>'Acute graphs'!$W$4:$W$11</c:f>
              <c:strCache>
                <c:ptCount val="8"/>
                <c:pt idx="0">
                  <c:v>NSW</c:v>
                </c:pt>
                <c:pt idx="1">
                  <c:v>Vic</c:v>
                </c:pt>
                <c:pt idx="2">
                  <c:v>Qld</c:v>
                </c:pt>
                <c:pt idx="3">
                  <c:v>SA</c:v>
                </c:pt>
                <c:pt idx="4">
                  <c:v>WA</c:v>
                </c:pt>
                <c:pt idx="5">
                  <c:v>Tas</c:v>
                </c:pt>
                <c:pt idx="6">
                  <c:v>NT</c:v>
                </c:pt>
                <c:pt idx="7">
                  <c:v>ACT</c:v>
                </c:pt>
              </c:strCache>
            </c:strRef>
          </c:cat>
          <c:val>
            <c:numRef>
              <c:f>'Acute graphs'!$AC$4:$AC$11</c:f>
              <c:numCache>
                <c:formatCode>0</c:formatCode>
                <c:ptCount val="8"/>
                <c:pt idx="0">
                  <c:v>1761.1690000000001</c:v>
                </c:pt>
                <c:pt idx="1">
                  <c:v>1868.8810000000001</c:v>
                </c:pt>
                <c:pt idx="2">
                  <c:v>1680.748</c:v>
                </c:pt>
                <c:pt idx="3">
                  <c:v>446.30399999999997</c:v>
                </c:pt>
                <c:pt idx="4">
                  <c:v>628.51499999999999</c:v>
                </c:pt>
                <c:pt idx="5">
                  <c:v>157.85300000000001</c:v>
                </c:pt>
                <c:pt idx="6">
                  <c:v>179.96100000000001</c:v>
                </c:pt>
                <c:pt idx="7">
                  <c:v>121</c:v>
                </c:pt>
              </c:numCache>
            </c:numRef>
          </c:val>
          <c:extLst>
            <c:ext xmlns:c16="http://schemas.microsoft.com/office/drawing/2014/chart" uri="{C3380CC4-5D6E-409C-BE32-E72D297353CC}">
              <c16:uniqueId val="{00000005-64E7-407D-AA08-148A9AF36021}"/>
            </c:ext>
          </c:extLst>
        </c:ser>
        <c:dLbls>
          <c:showLegendKey val="0"/>
          <c:showVal val="0"/>
          <c:showCatName val="0"/>
          <c:showSerName val="0"/>
          <c:showPercent val="0"/>
          <c:showBubbleSize val="0"/>
        </c:dLbls>
        <c:gapWidth val="224"/>
        <c:axId val="934064136"/>
        <c:axId val="934063416"/>
      </c:barChart>
      <c:catAx>
        <c:axId val="29046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0458984"/>
        <c:crosses val="autoZero"/>
        <c:auto val="1"/>
        <c:lblAlgn val="ctr"/>
        <c:lblOffset val="100"/>
        <c:noMultiLvlLbl val="0"/>
      </c:catAx>
      <c:valAx>
        <c:axId val="290458984"/>
        <c:scaling>
          <c:orientation val="minMax"/>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Separations (thousands)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0463664"/>
        <c:crosses val="autoZero"/>
        <c:crossBetween val="between"/>
        <c:majorUnit val="400"/>
      </c:valAx>
      <c:valAx>
        <c:axId val="934063416"/>
        <c:scaling>
          <c:orientation val="minMax"/>
        </c:scaling>
        <c:delete val="1"/>
        <c:axPos val="r"/>
        <c:numFmt formatCode="0" sourceLinked="1"/>
        <c:majorTickMark val="out"/>
        <c:minorTickMark val="none"/>
        <c:tickLblPos val="nextTo"/>
        <c:crossAx val="934064136"/>
        <c:crosses val="max"/>
        <c:crossBetween val="between"/>
      </c:valAx>
      <c:catAx>
        <c:axId val="934064136"/>
        <c:scaling>
          <c:orientation val="minMax"/>
        </c:scaling>
        <c:delete val="1"/>
        <c:axPos val="b"/>
        <c:numFmt formatCode="General" sourceLinked="1"/>
        <c:majorTickMark val="out"/>
        <c:minorTickMark val="none"/>
        <c:tickLblPos val="nextTo"/>
        <c:crossAx val="9340634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NAP!$G$25</c:f>
              <c:strCache>
                <c:ptCount val="1"/>
                <c:pt idx="0">
                  <c:v>2020-21</c:v>
                </c:pt>
              </c:strCache>
            </c:strRef>
          </c:tx>
          <c:spPr>
            <a:solidFill>
              <a:srgbClr val="246164"/>
            </a:solidFill>
            <a:ln>
              <a:noFill/>
            </a:ln>
            <a:effectLst/>
          </c:spPr>
          <c:invertIfNegative val="0"/>
          <c:cat>
            <c:strRef>
              <c:f>NAP!$F$26:$F$34</c:f>
              <c:strCache>
                <c:ptCount val="9"/>
                <c:pt idx="0">
                  <c:v>NSW</c:v>
                </c:pt>
                <c:pt idx="1">
                  <c:v>Vic</c:v>
                </c:pt>
                <c:pt idx="2">
                  <c:v>Qld</c:v>
                </c:pt>
                <c:pt idx="3">
                  <c:v>SA</c:v>
                </c:pt>
                <c:pt idx="4">
                  <c:v>WA</c:v>
                </c:pt>
                <c:pt idx="5">
                  <c:v>Tas</c:v>
                </c:pt>
                <c:pt idx="6">
                  <c:v>NT</c:v>
                </c:pt>
                <c:pt idx="7">
                  <c:v>ACT</c:v>
                </c:pt>
                <c:pt idx="8">
                  <c:v>National</c:v>
                </c:pt>
              </c:strCache>
            </c:strRef>
          </c:cat>
          <c:val>
            <c:numRef>
              <c:f>NAP!$G$26:$G$34</c:f>
              <c:numCache>
                <c:formatCode>_-"$"* #,##0_-;\-"$"* #,##0_-;_-"$"* "-"??_-;_-@_-</c:formatCode>
                <c:ptCount val="9"/>
                <c:pt idx="0">
                  <c:v>292.98135040257523</c:v>
                </c:pt>
                <c:pt idx="1">
                  <c:v>366.38720395725039</c:v>
                </c:pt>
                <c:pt idx="2">
                  <c:v>363.54097634057524</c:v>
                </c:pt>
                <c:pt idx="3">
                  <c:v>457.87898296186773</c:v>
                </c:pt>
                <c:pt idx="4">
                  <c:v>336.16881789221912</c:v>
                </c:pt>
                <c:pt idx="5">
                  <c:v>384.439295629063</c:v>
                </c:pt>
                <c:pt idx="6">
                  <c:v>483.29700710370292</c:v>
                </c:pt>
                <c:pt idx="7">
                  <c:v>286.76084116800496</c:v>
                </c:pt>
                <c:pt idx="8">
                  <c:v>341.41135079294742</c:v>
                </c:pt>
              </c:numCache>
            </c:numRef>
          </c:val>
          <c:extLst>
            <c:ext xmlns:c16="http://schemas.microsoft.com/office/drawing/2014/chart" uri="{C3380CC4-5D6E-409C-BE32-E72D297353CC}">
              <c16:uniqueId val="{00000000-C0B9-444E-9948-C5D8D4073F09}"/>
            </c:ext>
          </c:extLst>
        </c:ser>
        <c:ser>
          <c:idx val="1"/>
          <c:order val="1"/>
          <c:tx>
            <c:strRef>
              <c:f>NAP!$H$25</c:f>
              <c:strCache>
                <c:ptCount val="1"/>
                <c:pt idx="0">
                  <c:v>2021-22</c:v>
                </c:pt>
              </c:strCache>
            </c:strRef>
          </c:tx>
          <c:spPr>
            <a:solidFill>
              <a:srgbClr val="5FB2BE"/>
            </a:solidFill>
            <a:ln>
              <a:noFill/>
            </a:ln>
            <a:effectLst/>
          </c:spPr>
          <c:invertIfNegative val="0"/>
          <c:cat>
            <c:strRef>
              <c:f>NAP!$F$26:$F$34</c:f>
              <c:strCache>
                <c:ptCount val="9"/>
                <c:pt idx="0">
                  <c:v>NSW</c:v>
                </c:pt>
                <c:pt idx="1">
                  <c:v>Vic</c:v>
                </c:pt>
                <c:pt idx="2">
                  <c:v>Qld</c:v>
                </c:pt>
                <c:pt idx="3">
                  <c:v>SA</c:v>
                </c:pt>
                <c:pt idx="4">
                  <c:v>WA</c:v>
                </c:pt>
                <c:pt idx="5">
                  <c:v>Tas</c:v>
                </c:pt>
                <c:pt idx="6">
                  <c:v>NT</c:v>
                </c:pt>
                <c:pt idx="7">
                  <c:v>ACT</c:v>
                </c:pt>
                <c:pt idx="8">
                  <c:v>National</c:v>
                </c:pt>
              </c:strCache>
            </c:strRef>
          </c:cat>
          <c:val>
            <c:numRef>
              <c:f>NAP!$H$26:$H$34</c:f>
              <c:numCache>
                <c:formatCode>_-"$"* #,##0_-;\-"$"* #,##0_-;_-"$"* "-"??_-;_-@_-</c:formatCode>
                <c:ptCount val="9"/>
                <c:pt idx="0">
                  <c:v>326.70156585324759</c:v>
                </c:pt>
                <c:pt idx="1">
                  <c:v>378.05089435827904</c:v>
                </c:pt>
                <c:pt idx="2">
                  <c:v>317.28360229264007</c:v>
                </c:pt>
                <c:pt idx="3">
                  <c:v>285.43923050783866</c:v>
                </c:pt>
                <c:pt idx="4">
                  <c:v>358.61231913718888</c:v>
                </c:pt>
                <c:pt idx="5">
                  <c:v>281.57537040695257</c:v>
                </c:pt>
                <c:pt idx="6">
                  <c:v>527.20779166354123</c:v>
                </c:pt>
                <c:pt idx="7">
                  <c:v>202.42875166096402</c:v>
                </c:pt>
                <c:pt idx="8">
                  <c:v>324.25855217402085</c:v>
                </c:pt>
              </c:numCache>
            </c:numRef>
          </c:val>
          <c:extLst>
            <c:ext xmlns:c16="http://schemas.microsoft.com/office/drawing/2014/chart" uri="{C3380CC4-5D6E-409C-BE32-E72D297353CC}">
              <c16:uniqueId val="{00000001-C0B9-444E-9948-C5D8D4073F09}"/>
            </c:ext>
          </c:extLst>
        </c:ser>
        <c:ser>
          <c:idx val="2"/>
          <c:order val="2"/>
          <c:tx>
            <c:strRef>
              <c:f>NAP!$I$25</c:f>
              <c:strCache>
                <c:ptCount val="1"/>
                <c:pt idx="0">
                  <c:v>2022-23</c:v>
                </c:pt>
              </c:strCache>
            </c:strRef>
          </c:tx>
          <c:spPr>
            <a:solidFill>
              <a:srgbClr val="C1867C"/>
            </a:solidFill>
            <a:ln>
              <a:noFill/>
            </a:ln>
            <a:effectLst/>
          </c:spPr>
          <c:invertIfNegative val="0"/>
          <c:cat>
            <c:strRef>
              <c:f>NAP!$F$26:$F$34</c:f>
              <c:strCache>
                <c:ptCount val="9"/>
                <c:pt idx="0">
                  <c:v>NSW</c:v>
                </c:pt>
                <c:pt idx="1">
                  <c:v>Vic</c:v>
                </c:pt>
                <c:pt idx="2">
                  <c:v>Qld</c:v>
                </c:pt>
                <c:pt idx="3">
                  <c:v>SA</c:v>
                </c:pt>
                <c:pt idx="4">
                  <c:v>WA</c:v>
                </c:pt>
                <c:pt idx="5">
                  <c:v>Tas</c:v>
                </c:pt>
                <c:pt idx="6">
                  <c:v>NT</c:v>
                </c:pt>
                <c:pt idx="7">
                  <c:v>ACT</c:v>
                </c:pt>
                <c:pt idx="8">
                  <c:v>National</c:v>
                </c:pt>
              </c:strCache>
            </c:strRef>
          </c:cat>
          <c:val>
            <c:numRef>
              <c:f>NAP!$I$26:$I$34</c:f>
              <c:numCache>
                <c:formatCode>_-"$"* #,##0_-;\-"$"* #,##0_-;_-"$"* "-"??_-;_-@_-</c:formatCode>
                <c:ptCount val="9"/>
                <c:pt idx="0">
                  <c:v>346.29129709825185</c:v>
                </c:pt>
                <c:pt idx="1">
                  <c:v>405.5681840804541</c:v>
                </c:pt>
                <c:pt idx="2">
                  <c:v>438.10707598518241</c:v>
                </c:pt>
                <c:pt idx="3">
                  <c:v>542.97953838291221</c:v>
                </c:pt>
                <c:pt idx="4">
                  <c:v>410.16830267141574</c:v>
                </c:pt>
                <c:pt idx="5">
                  <c:v>405.81926309748599</c:v>
                </c:pt>
                <c:pt idx="6">
                  <c:v>520.52212812063237</c:v>
                </c:pt>
                <c:pt idx="7">
                  <c:v>0</c:v>
                </c:pt>
                <c:pt idx="8">
                  <c:v>402.67985838919964</c:v>
                </c:pt>
              </c:numCache>
            </c:numRef>
          </c:val>
          <c:extLst>
            <c:ext xmlns:c16="http://schemas.microsoft.com/office/drawing/2014/chart" uri="{C3380CC4-5D6E-409C-BE32-E72D297353CC}">
              <c16:uniqueId val="{00000002-C0B9-444E-9948-C5D8D4073F09}"/>
            </c:ext>
          </c:extLst>
        </c:ser>
        <c:dLbls>
          <c:showLegendKey val="0"/>
          <c:showVal val="0"/>
          <c:showCatName val="0"/>
          <c:showSerName val="0"/>
          <c:showPercent val="0"/>
          <c:showBubbleSize val="0"/>
        </c:dLbls>
        <c:gapWidth val="219"/>
        <c:axId val="589824184"/>
        <c:axId val="589829584"/>
      </c:barChart>
      <c:scatterChart>
        <c:scatterStyle val="lineMarker"/>
        <c:varyColors val="0"/>
        <c:ser>
          <c:idx val="3"/>
          <c:order val="3"/>
          <c:tx>
            <c:strRef>
              <c:f>NAP!$J$25</c:f>
              <c:strCache>
                <c:ptCount val="1"/>
                <c:pt idx="0">
                  <c:v>% change</c:v>
                </c:pt>
              </c:strCache>
            </c:strRef>
          </c:tx>
          <c:spPr>
            <a:ln w="25400" cap="rnd">
              <a:noFill/>
              <a:round/>
            </a:ln>
            <a:effectLst/>
          </c:spPr>
          <c:marker>
            <c:symbol val="circle"/>
            <c:size val="8"/>
            <c:spPr>
              <a:solidFill>
                <a:srgbClr val="D5D3A5"/>
              </a:solidFill>
              <a:ln w="9525">
                <a:solidFill>
                  <a:srgbClr val="333333"/>
                </a:solidFill>
              </a:ln>
              <a:effectLst/>
            </c:spPr>
          </c:marker>
          <c:xVal>
            <c:strRef>
              <c:f>NAP!$F$26:$F$34</c:f>
              <c:strCache>
                <c:ptCount val="9"/>
                <c:pt idx="0">
                  <c:v>NSW</c:v>
                </c:pt>
                <c:pt idx="1">
                  <c:v>Vic</c:v>
                </c:pt>
                <c:pt idx="2">
                  <c:v>Qld</c:v>
                </c:pt>
                <c:pt idx="3">
                  <c:v>SA</c:v>
                </c:pt>
                <c:pt idx="4">
                  <c:v>WA</c:v>
                </c:pt>
                <c:pt idx="5">
                  <c:v>Tas</c:v>
                </c:pt>
                <c:pt idx="6">
                  <c:v>NT</c:v>
                </c:pt>
                <c:pt idx="7">
                  <c:v>ACT</c:v>
                </c:pt>
                <c:pt idx="8">
                  <c:v>National</c:v>
                </c:pt>
              </c:strCache>
            </c:strRef>
          </c:xVal>
          <c:yVal>
            <c:numRef>
              <c:f>NAP!$J$26:$J$34</c:f>
              <c:numCache>
                <c:formatCode>0%</c:formatCode>
                <c:ptCount val="9"/>
                <c:pt idx="0">
                  <c:v>5.9962159023761306E-2</c:v>
                </c:pt>
                <c:pt idx="1">
                  <c:v>7.2787262595646482E-2</c:v>
                </c:pt>
                <c:pt idx="2">
                  <c:v>0.38080591880415954</c:v>
                </c:pt>
                <c:pt idx="3">
                  <c:v>0.90225967683864339</c:v>
                </c:pt>
                <c:pt idx="4">
                  <c:v>0.14376523276799055</c:v>
                </c:pt>
                <c:pt idx="5">
                  <c:v>0.44124559797601398</c:v>
                </c:pt>
                <c:pt idx="6">
                  <c:v>-1.2681268464969083E-2</c:v>
                </c:pt>
                <c:pt idx="8">
                  <c:v>0.24184807367267891</c:v>
                </c:pt>
              </c:numCache>
            </c:numRef>
          </c:yVal>
          <c:smooth val="0"/>
          <c:extLst>
            <c:ext xmlns:c16="http://schemas.microsoft.com/office/drawing/2014/chart" uri="{C3380CC4-5D6E-409C-BE32-E72D297353CC}">
              <c16:uniqueId val="{00000003-C0B9-444E-9948-C5D8D4073F09}"/>
            </c:ext>
          </c:extLst>
        </c:ser>
        <c:dLbls>
          <c:showLegendKey val="0"/>
          <c:showVal val="0"/>
          <c:showCatName val="0"/>
          <c:showSerName val="0"/>
          <c:showPercent val="0"/>
          <c:showBubbleSize val="0"/>
        </c:dLbls>
        <c:axId val="544595936"/>
        <c:axId val="544595576"/>
      </c:scatterChart>
      <c:catAx>
        <c:axId val="58982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9829584"/>
        <c:crosses val="autoZero"/>
        <c:auto val="1"/>
        <c:lblAlgn val="ctr"/>
        <c:lblOffset val="100"/>
        <c:noMultiLvlLbl val="0"/>
      </c:catAx>
      <c:valAx>
        <c:axId val="589829584"/>
        <c:scaling>
          <c:orientation val="minMax"/>
          <c:max val="600"/>
          <c:min val="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Average cost per service event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9824184"/>
        <c:crosses val="autoZero"/>
        <c:crossBetween val="between"/>
      </c:valAx>
      <c:valAx>
        <c:axId val="544595576"/>
        <c:scaling>
          <c:orientation val="minMax"/>
          <c:max val="1.1000000000000001"/>
          <c:min val="-0.1"/>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Change from 2021-22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4595936"/>
        <c:crosses val="max"/>
        <c:crossBetween val="midCat"/>
        <c:majorUnit val="0.2"/>
      </c:valAx>
      <c:valAx>
        <c:axId val="544595936"/>
        <c:scaling>
          <c:orientation val="minMax"/>
        </c:scaling>
        <c:delete val="1"/>
        <c:axPos val="t"/>
        <c:majorTickMark val="out"/>
        <c:minorTickMark val="none"/>
        <c:tickLblPos val="nextTo"/>
        <c:crossAx val="544595576"/>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NAP!$H$22</c:f>
              <c:strCache>
                <c:ptCount val="1"/>
                <c:pt idx="0">
                  <c:v> 2020-21 </c:v>
                </c:pt>
              </c:strCache>
            </c:strRef>
          </c:tx>
          <c:spPr>
            <a:solidFill>
              <a:srgbClr val="246164"/>
            </a:solidFill>
            <a:ln>
              <a:noFill/>
            </a:ln>
            <a:effectLst/>
          </c:spPr>
          <c:invertIfNegative val="0"/>
          <c:cat>
            <c:strRef>
              <c:f>NAP!$G$23:$G$32</c:f>
              <c:strCache>
                <c:ptCount val="10"/>
                <c:pt idx="0">
                  <c:v> Medical </c:v>
                </c:pt>
                <c:pt idx="1">
                  <c:v> Pharmacy </c:v>
                </c:pt>
                <c:pt idx="2">
                  <c:v> Nursing </c:v>
                </c:pt>
                <c:pt idx="3">
                  <c:v> Allied Health </c:v>
                </c:pt>
                <c:pt idx="4">
                  <c:v> Non Clinical </c:v>
                </c:pt>
                <c:pt idx="5">
                  <c:v> Clin Supplies </c:v>
                </c:pt>
                <c:pt idx="6">
                  <c:v> On-costs </c:v>
                </c:pt>
                <c:pt idx="7">
                  <c:v> Dep </c:v>
                </c:pt>
                <c:pt idx="8">
                  <c:v> Imaging </c:v>
                </c:pt>
                <c:pt idx="9">
                  <c:v> Pathology </c:v>
                </c:pt>
              </c:strCache>
            </c:strRef>
          </c:cat>
          <c:val>
            <c:numRef>
              <c:f>NAP!$H$23:$H$32</c:f>
              <c:numCache>
                <c:formatCode>_-"$"* #,##0_-;\-"$"* #,##0_-;_-"$"* "-"??_-;_-@_-</c:formatCode>
                <c:ptCount val="10"/>
                <c:pt idx="0">
                  <c:v>55.245631885000002</c:v>
                </c:pt>
                <c:pt idx="1">
                  <c:v>47.448078183</c:v>
                </c:pt>
                <c:pt idx="2">
                  <c:v>47.757800177999997</c:v>
                </c:pt>
                <c:pt idx="3">
                  <c:v>36.306804358999997</c:v>
                </c:pt>
                <c:pt idx="4">
                  <c:v>32.922356626999999</c:v>
                </c:pt>
                <c:pt idx="5">
                  <c:v>39.813496446000002</c:v>
                </c:pt>
                <c:pt idx="6">
                  <c:v>22.680503922</c:v>
                </c:pt>
                <c:pt idx="7">
                  <c:v>11.293537200999999</c:v>
                </c:pt>
                <c:pt idx="8">
                  <c:v>13.781562216999999</c:v>
                </c:pt>
                <c:pt idx="9">
                  <c:v>18.403199313999998</c:v>
                </c:pt>
              </c:numCache>
            </c:numRef>
          </c:val>
          <c:extLst>
            <c:ext xmlns:c16="http://schemas.microsoft.com/office/drawing/2014/chart" uri="{C3380CC4-5D6E-409C-BE32-E72D297353CC}">
              <c16:uniqueId val="{00000000-1E76-4D58-A1EA-DD5CB03D81A5}"/>
            </c:ext>
          </c:extLst>
        </c:ser>
        <c:ser>
          <c:idx val="1"/>
          <c:order val="1"/>
          <c:tx>
            <c:strRef>
              <c:f>NAP!$I$22</c:f>
              <c:strCache>
                <c:ptCount val="1"/>
                <c:pt idx="0">
                  <c:v> 2021-22 </c:v>
                </c:pt>
              </c:strCache>
            </c:strRef>
          </c:tx>
          <c:spPr>
            <a:solidFill>
              <a:srgbClr val="5FB2BE"/>
            </a:solidFill>
            <a:ln>
              <a:noFill/>
            </a:ln>
            <a:effectLst/>
          </c:spPr>
          <c:invertIfNegative val="0"/>
          <c:cat>
            <c:strRef>
              <c:f>NAP!$G$23:$G$32</c:f>
              <c:strCache>
                <c:ptCount val="10"/>
                <c:pt idx="0">
                  <c:v> Medical </c:v>
                </c:pt>
                <c:pt idx="1">
                  <c:v> Pharmacy </c:v>
                </c:pt>
                <c:pt idx="2">
                  <c:v> Nursing </c:v>
                </c:pt>
                <c:pt idx="3">
                  <c:v> Allied Health </c:v>
                </c:pt>
                <c:pt idx="4">
                  <c:v> Non Clinical </c:v>
                </c:pt>
                <c:pt idx="5">
                  <c:v> Clin Supplies </c:v>
                </c:pt>
                <c:pt idx="6">
                  <c:v> On-costs </c:v>
                </c:pt>
                <c:pt idx="7">
                  <c:v> Dep </c:v>
                </c:pt>
                <c:pt idx="8">
                  <c:v> Imaging </c:v>
                </c:pt>
                <c:pt idx="9">
                  <c:v> Pathology </c:v>
                </c:pt>
              </c:strCache>
            </c:strRef>
          </c:cat>
          <c:val>
            <c:numRef>
              <c:f>NAP!$I$23:$I$32</c:f>
              <c:numCache>
                <c:formatCode>_-"$"* #,##0_-;\-"$"* #,##0_-;_-"$"* "-"??_-;_-@_-</c:formatCode>
                <c:ptCount val="10"/>
                <c:pt idx="0">
                  <c:v>52.454785711</c:v>
                </c:pt>
                <c:pt idx="1">
                  <c:v>40.779594326000002</c:v>
                </c:pt>
                <c:pt idx="2">
                  <c:v>50.248575946000003</c:v>
                </c:pt>
                <c:pt idx="3">
                  <c:v>36.008978229999997</c:v>
                </c:pt>
                <c:pt idx="4">
                  <c:v>32.106412186999997</c:v>
                </c:pt>
                <c:pt idx="5">
                  <c:v>36.074187549999998</c:v>
                </c:pt>
                <c:pt idx="6">
                  <c:v>23.765358952</c:v>
                </c:pt>
                <c:pt idx="7">
                  <c:v>11.504805481</c:v>
                </c:pt>
                <c:pt idx="8">
                  <c:v>12.107741470000001</c:v>
                </c:pt>
                <c:pt idx="9">
                  <c:v>12.440329547999999</c:v>
                </c:pt>
              </c:numCache>
            </c:numRef>
          </c:val>
          <c:extLst>
            <c:ext xmlns:c16="http://schemas.microsoft.com/office/drawing/2014/chart" uri="{C3380CC4-5D6E-409C-BE32-E72D297353CC}">
              <c16:uniqueId val="{00000001-1E76-4D58-A1EA-DD5CB03D81A5}"/>
            </c:ext>
          </c:extLst>
        </c:ser>
        <c:ser>
          <c:idx val="2"/>
          <c:order val="2"/>
          <c:tx>
            <c:strRef>
              <c:f>NAP!$J$22</c:f>
              <c:strCache>
                <c:ptCount val="1"/>
                <c:pt idx="0">
                  <c:v> 2022-23 </c:v>
                </c:pt>
              </c:strCache>
            </c:strRef>
          </c:tx>
          <c:spPr>
            <a:solidFill>
              <a:srgbClr val="C1867C"/>
            </a:solidFill>
            <a:ln>
              <a:noFill/>
            </a:ln>
            <a:effectLst/>
          </c:spPr>
          <c:invertIfNegative val="0"/>
          <c:cat>
            <c:strRef>
              <c:f>NAP!$G$23:$G$32</c:f>
              <c:strCache>
                <c:ptCount val="10"/>
                <c:pt idx="0">
                  <c:v> Medical </c:v>
                </c:pt>
                <c:pt idx="1">
                  <c:v> Pharmacy </c:v>
                </c:pt>
                <c:pt idx="2">
                  <c:v> Nursing </c:v>
                </c:pt>
                <c:pt idx="3">
                  <c:v> Allied Health </c:v>
                </c:pt>
                <c:pt idx="4">
                  <c:v> Non Clinical </c:v>
                </c:pt>
                <c:pt idx="5">
                  <c:v> Clin Supplies </c:v>
                </c:pt>
                <c:pt idx="6">
                  <c:v> On-costs </c:v>
                </c:pt>
                <c:pt idx="7">
                  <c:v> Dep </c:v>
                </c:pt>
                <c:pt idx="8">
                  <c:v> Imaging </c:v>
                </c:pt>
                <c:pt idx="9">
                  <c:v> Pathology </c:v>
                </c:pt>
              </c:strCache>
            </c:strRef>
          </c:cat>
          <c:val>
            <c:numRef>
              <c:f>NAP!$J$23:$J$32</c:f>
              <c:numCache>
                <c:formatCode>_-"$"* #,##0_-;\-"$"* #,##0_-;_-"$"* "-"??_-;_-@_-</c:formatCode>
                <c:ptCount val="10"/>
                <c:pt idx="0">
                  <c:v>66.143086199999999</c:v>
                </c:pt>
                <c:pt idx="1">
                  <c:v>58.772548524999998</c:v>
                </c:pt>
                <c:pt idx="2">
                  <c:v>58.063724266000001</c:v>
                </c:pt>
                <c:pt idx="3">
                  <c:v>45.093586835000004</c:v>
                </c:pt>
                <c:pt idx="4">
                  <c:v>38.482332456999998</c:v>
                </c:pt>
                <c:pt idx="5">
                  <c:v>36.236559313000001</c:v>
                </c:pt>
                <c:pt idx="6">
                  <c:v>31.897614895</c:v>
                </c:pt>
                <c:pt idx="7">
                  <c:v>16.600075926999999</c:v>
                </c:pt>
                <c:pt idx="8">
                  <c:v>15.855926441999999</c:v>
                </c:pt>
                <c:pt idx="9">
                  <c:v>12.732624632</c:v>
                </c:pt>
              </c:numCache>
            </c:numRef>
          </c:val>
          <c:extLst>
            <c:ext xmlns:c16="http://schemas.microsoft.com/office/drawing/2014/chart" uri="{C3380CC4-5D6E-409C-BE32-E72D297353CC}">
              <c16:uniqueId val="{00000002-1E76-4D58-A1EA-DD5CB03D81A5}"/>
            </c:ext>
          </c:extLst>
        </c:ser>
        <c:dLbls>
          <c:showLegendKey val="0"/>
          <c:showVal val="0"/>
          <c:showCatName val="0"/>
          <c:showSerName val="0"/>
          <c:showPercent val="0"/>
          <c:showBubbleSize val="0"/>
        </c:dLbls>
        <c:gapWidth val="219"/>
        <c:axId val="974135448"/>
        <c:axId val="974127888"/>
      </c:barChart>
      <c:catAx>
        <c:axId val="97413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27888"/>
        <c:crosses val="autoZero"/>
        <c:auto val="1"/>
        <c:lblAlgn val="ctr"/>
        <c:lblOffset val="100"/>
        <c:noMultiLvlLbl val="0"/>
      </c:catAx>
      <c:valAx>
        <c:axId val="974127888"/>
        <c:scaling>
          <c:orientation val="minMax"/>
          <c:max val="75"/>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Average cost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35448"/>
        <c:crosses val="autoZero"/>
        <c:crossBetween val="between"/>
        <c:majorUnit val="1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'AMH Graphs'!$V$2:$V$3</c:f>
              <c:strCache>
                <c:ptCount val="2"/>
                <c:pt idx="0">
                  <c:v>NHCDC</c:v>
                </c:pt>
                <c:pt idx="1">
                  <c:v>2020-21</c:v>
                </c:pt>
              </c:strCache>
            </c:strRef>
          </c:tx>
          <c:spPr>
            <a:solidFill>
              <a:srgbClr val="246164"/>
            </a:solidFill>
            <a:ln>
              <a:noFill/>
            </a:ln>
            <a:effectLst/>
          </c:spPr>
          <c:invertIfNegative val="0"/>
          <c:cat>
            <c:strRef>
              <c:f>'AMH Graphs'!$U$15:$U$22</c:f>
              <c:strCache>
                <c:ptCount val="8"/>
                <c:pt idx="0">
                  <c:v>NSW</c:v>
                </c:pt>
                <c:pt idx="1">
                  <c:v>Vic</c:v>
                </c:pt>
                <c:pt idx="2">
                  <c:v>Qld</c:v>
                </c:pt>
                <c:pt idx="3">
                  <c:v>SA</c:v>
                </c:pt>
                <c:pt idx="4">
                  <c:v>WA</c:v>
                </c:pt>
                <c:pt idx="5">
                  <c:v>Tas</c:v>
                </c:pt>
                <c:pt idx="6">
                  <c:v>NT</c:v>
                </c:pt>
                <c:pt idx="7">
                  <c:v>ACT</c:v>
                </c:pt>
              </c:strCache>
            </c:strRef>
          </c:cat>
          <c:val>
            <c:numRef>
              <c:f>'AMH Graphs'!$V$15:$V$22</c:f>
              <c:numCache>
                <c:formatCode>_-* #,##0_-;\-* #,##0_-;_-* "-"??_-;_-@_-</c:formatCode>
                <c:ptCount val="8"/>
                <c:pt idx="0">
                  <c:v>36387</c:v>
                </c:pt>
                <c:pt idx="1">
                  <c:v>26470</c:v>
                </c:pt>
                <c:pt idx="2">
                  <c:v>6562</c:v>
                </c:pt>
                <c:pt idx="3">
                  <c:v>0</c:v>
                </c:pt>
                <c:pt idx="4">
                  <c:v>0</c:v>
                </c:pt>
                <c:pt idx="5">
                  <c:v>0</c:v>
                </c:pt>
                <c:pt idx="6">
                  <c:v>0</c:v>
                </c:pt>
                <c:pt idx="7">
                  <c:v>0</c:v>
                </c:pt>
              </c:numCache>
            </c:numRef>
          </c:val>
          <c:extLst>
            <c:ext xmlns:c16="http://schemas.microsoft.com/office/drawing/2014/chart" uri="{C3380CC4-5D6E-409C-BE32-E72D297353CC}">
              <c16:uniqueId val="{00000000-9559-4CC0-90FB-5AEA732D582C}"/>
            </c:ext>
          </c:extLst>
        </c:ser>
        <c:ser>
          <c:idx val="1"/>
          <c:order val="1"/>
          <c:tx>
            <c:strRef>
              <c:f>'AMH Graphs'!$W$2:$W$3</c:f>
              <c:strCache>
                <c:ptCount val="2"/>
                <c:pt idx="0">
                  <c:v>NHCDC</c:v>
                </c:pt>
                <c:pt idx="1">
                  <c:v>2021-22</c:v>
                </c:pt>
              </c:strCache>
            </c:strRef>
          </c:tx>
          <c:spPr>
            <a:solidFill>
              <a:srgbClr val="5FB2BE"/>
            </a:solidFill>
            <a:ln>
              <a:noFill/>
            </a:ln>
            <a:effectLst/>
          </c:spPr>
          <c:invertIfNegative val="0"/>
          <c:cat>
            <c:strRef>
              <c:f>'AMH Graphs'!$U$15:$U$22</c:f>
              <c:strCache>
                <c:ptCount val="8"/>
                <c:pt idx="0">
                  <c:v>NSW</c:v>
                </c:pt>
                <c:pt idx="1">
                  <c:v>Vic</c:v>
                </c:pt>
                <c:pt idx="2">
                  <c:v>Qld</c:v>
                </c:pt>
                <c:pt idx="3">
                  <c:v>SA</c:v>
                </c:pt>
                <c:pt idx="4">
                  <c:v>WA</c:v>
                </c:pt>
                <c:pt idx="5">
                  <c:v>Tas</c:v>
                </c:pt>
                <c:pt idx="6">
                  <c:v>NT</c:v>
                </c:pt>
                <c:pt idx="7">
                  <c:v>ACT</c:v>
                </c:pt>
              </c:strCache>
            </c:strRef>
          </c:cat>
          <c:val>
            <c:numRef>
              <c:f>'AMH Graphs'!$W$15:$W$22</c:f>
              <c:numCache>
                <c:formatCode>_-* #,##0_-;\-* #,##0_-;_-* "-"??_-;_-@_-</c:formatCode>
                <c:ptCount val="8"/>
                <c:pt idx="0">
                  <c:v>32181</c:v>
                </c:pt>
                <c:pt idx="1">
                  <c:v>25507</c:v>
                </c:pt>
                <c:pt idx="2">
                  <c:v>15763</c:v>
                </c:pt>
                <c:pt idx="3">
                  <c:v>6484</c:v>
                </c:pt>
                <c:pt idx="4">
                  <c:v>0</c:v>
                </c:pt>
                <c:pt idx="5">
                  <c:v>0</c:v>
                </c:pt>
                <c:pt idx="6">
                  <c:v>0</c:v>
                </c:pt>
                <c:pt idx="7">
                  <c:v>0</c:v>
                </c:pt>
              </c:numCache>
            </c:numRef>
          </c:val>
          <c:extLst>
            <c:ext xmlns:c16="http://schemas.microsoft.com/office/drawing/2014/chart" uri="{C3380CC4-5D6E-409C-BE32-E72D297353CC}">
              <c16:uniqueId val="{00000001-9559-4CC0-90FB-5AEA732D582C}"/>
            </c:ext>
          </c:extLst>
        </c:ser>
        <c:ser>
          <c:idx val="2"/>
          <c:order val="2"/>
          <c:tx>
            <c:strRef>
              <c:f>'AMH Graphs'!$X$2:$X$3</c:f>
              <c:strCache>
                <c:ptCount val="2"/>
                <c:pt idx="0">
                  <c:v>NHCDC</c:v>
                </c:pt>
                <c:pt idx="1">
                  <c:v>2022-23</c:v>
                </c:pt>
              </c:strCache>
            </c:strRef>
          </c:tx>
          <c:spPr>
            <a:solidFill>
              <a:srgbClr val="C1867C"/>
            </a:solidFill>
            <a:ln>
              <a:noFill/>
            </a:ln>
            <a:effectLst/>
          </c:spPr>
          <c:invertIfNegative val="0"/>
          <c:cat>
            <c:strRef>
              <c:f>'AMH Graphs'!$U$15:$U$22</c:f>
              <c:strCache>
                <c:ptCount val="8"/>
                <c:pt idx="0">
                  <c:v>NSW</c:v>
                </c:pt>
                <c:pt idx="1">
                  <c:v>Vic</c:v>
                </c:pt>
                <c:pt idx="2">
                  <c:v>Qld</c:v>
                </c:pt>
                <c:pt idx="3">
                  <c:v>SA</c:v>
                </c:pt>
                <c:pt idx="4">
                  <c:v>WA</c:v>
                </c:pt>
                <c:pt idx="5">
                  <c:v>Tas</c:v>
                </c:pt>
                <c:pt idx="6">
                  <c:v>NT</c:v>
                </c:pt>
                <c:pt idx="7">
                  <c:v>ACT</c:v>
                </c:pt>
              </c:strCache>
            </c:strRef>
          </c:cat>
          <c:val>
            <c:numRef>
              <c:f>'AMH Graphs'!$X$15:$X$22</c:f>
              <c:numCache>
                <c:formatCode>_-* #,##0_-;\-* #,##0_-;_-* "-"??_-;_-@_-</c:formatCode>
                <c:ptCount val="8"/>
                <c:pt idx="0">
                  <c:v>35432</c:v>
                </c:pt>
                <c:pt idx="1">
                  <c:v>24295</c:v>
                </c:pt>
                <c:pt idx="2">
                  <c:v>24036</c:v>
                </c:pt>
                <c:pt idx="3">
                  <c:v>9135</c:v>
                </c:pt>
                <c:pt idx="4">
                  <c:v>0</c:v>
                </c:pt>
                <c:pt idx="5">
                  <c:v>0</c:v>
                </c:pt>
                <c:pt idx="6">
                  <c:v>0</c:v>
                </c:pt>
                <c:pt idx="7">
                  <c:v>0</c:v>
                </c:pt>
              </c:numCache>
            </c:numRef>
          </c:val>
          <c:extLst>
            <c:ext xmlns:c16="http://schemas.microsoft.com/office/drawing/2014/chart" uri="{C3380CC4-5D6E-409C-BE32-E72D297353CC}">
              <c16:uniqueId val="{00000002-9559-4CC0-90FB-5AEA732D582C}"/>
            </c:ext>
          </c:extLst>
        </c:ser>
        <c:dLbls>
          <c:showLegendKey val="0"/>
          <c:showVal val="0"/>
          <c:showCatName val="0"/>
          <c:showSerName val="0"/>
          <c:showPercent val="0"/>
          <c:showBubbleSize val="0"/>
        </c:dLbls>
        <c:gapWidth val="219"/>
        <c:axId val="944024424"/>
        <c:axId val="944017944"/>
      </c:barChart>
      <c:barChart>
        <c:barDir val="col"/>
        <c:grouping val="clustered"/>
        <c:varyColors val="0"/>
        <c:ser>
          <c:idx val="3"/>
          <c:order val="3"/>
          <c:tx>
            <c:strRef>
              <c:f>'AMH Graphs'!$Y$2:$Y$3</c:f>
              <c:strCache>
                <c:ptCount val="2"/>
                <c:pt idx="0">
                  <c:v>ABF</c:v>
                </c:pt>
                <c:pt idx="1">
                  <c:v>2020-21</c:v>
                </c:pt>
              </c:strCache>
            </c:strRef>
          </c:tx>
          <c:spPr>
            <a:solidFill>
              <a:srgbClr val="246164">
                <a:alpha val="50000"/>
              </a:srgbClr>
            </a:solidFill>
            <a:ln>
              <a:noFill/>
            </a:ln>
            <a:effectLst/>
          </c:spPr>
          <c:invertIfNegative val="0"/>
          <c:cat>
            <c:strRef>
              <c:f>'AMH Graphs'!$U$15:$U$22</c:f>
              <c:strCache>
                <c:ptCount val="8"/>
                <c:pt idx="0">
                  <c:v>NSW</c:v>
                </c:pt>
                <c:pt idx="1">
                  <c:v>Vic</c:v>
                </c:pt>
                <c:pt idx="2">
                  <c:v>Qld</c:v>
                </c:pt>
                <c:pt idx="3">
                  <c:v>SA</c:v>
                </c:pt>
                <c:pt idx="4">
                  <c:v>WA</c:v>
                </c:pt>
                <c:pt idx="5">
                  <c:v>Tas</c:v>
                </c:pt>
                <c:pt idx="6">
                  <c:v>NT</c:v>
                </c:pt>
                <c:pt idx="7">
                  <c:v>ACT</c:v>
                </c:pt>
              </c:strCache>
            </c:strRef>
          </c:cat>
          <c:val>
            <c:numRef>
              <c:f>'AMH Graphs'!$Y$15:$Y$22</c:f>
              <c:numCache>
                <c:formatCode>_-* #,##0_-;\-* #,##0_-;_-* "-"??_-;_-@_-</c:formatCode>
                <c:ptCount val="8"/>
                <c:pt idx="0">
                  <c:v>43292</c:v>
                </c:pt>
                <c:pt idx="1">
                  <c:v>28160</c:v>
                </c:pt>
                <c:pt idx="2">
                  <c:v>23281</c:v>
                </c:pt>
                <c:pt idx="3">
                  <c:v>10653</c:v>
                </c:pt>
                <c:pt idx="4">
                  <c:v>11269</c:v>
                </c:pt>
                <c:pt idx="5">
                  <c:v>2388</c:v>
                </c:pt>
                <c:pt idx="6">
                  <c:v>0</c:v>
                </c:pt>
                <c:pt idx="7">
                  <c:v>5264</c:v>
                </c:pt>
              </c:numCache>
            </c:numRef>
          </c:val>
          <c:extLst>
            <c:ext xmlns:c16="http://schemas.microsoft.com/office/drawing/2014/chart" uri="{C3380CC4-5D6E-409C-BE32-E72D297353CC}">
              <c16:uniqueId val="{00000003-9559-4CC0-90FB-5AEA732D582C}"/>
            </c:ext>
          </c:extLst>
        </c:ser>
        <c:ser>
          <c:idx val="4"/>
          <c:order val="4"/>
          <c:tx>
            <c:strRef>
              <c:f>'AMH Graphs'!$Z$2:$Z$3</c:f>
              <c:strCache>
                <c:ptCount val="2"/>
                <c:pt idx="0">
                  <c:v>ABF</c:v>
                </c:pt>
                <c:pt idx="1">
                  <c:v>2021-22</c:v>
                </c:pt>
              </c:strCache>
            </c:strRef>
          </c:tx>
          <c:spPr>
            <a:solidFill>
              <a:srgbClr val="5FB2BE">
                <a:alpha val="50000"/>
              </a:srgbClr>
            </a:solidFill>
            <a:ln>
              <a:noFill/>
            </a:ln>
            <a:effectLst/>
          </c:spPr>
          <c:invertIfNegative val="0"/>
          <c:cat>
            <c:strRef>
              <c:f>'AMH Graphs'!$U$15:$U$22</c:f>
              <c:strCache>
                <c:ptCount val="8"/>
                <c:pt idx="0">
                  <c:v>NSW</c:v>
                </c:pt>
                <c:pt idx="1">
                  <c:v>Vic</c:v>
                </c:pt>
                <c:pt idx="2">
                  <c:v>Qld</c:v>
                </c:pt>
                <c:pt idx="3">
                  <c:v>SA</c:v>
                </c:pt>
                <c:pt idx="4">
                  <c:v>WA</c:v>
                </c:pt>
                <c:pt idx="5">
                  <c:v>Tas</c:v>
                </c:pt>
                <c:pt idx="6">
                  <c:v>NT</c:v>
                </c:pt>
                <c:pt idx="7">
                  <c:v>ACT</c:v>
                </c:pt>
              </c:strCache>
            </c:strRef>
          </c:cat>
          <c:val>
            <c:numRef>
              <c:f>'AMH Graphs'!$Z$15:$Z$22</c:f>
              <c:numCache>
                <c:formatCode>_-* #,##0_-;\-* #,##0_-;_-* "-"??_-;_-@_-</c:formatCode>
                <c:ptCount val="8"/>
                <c:pt idx="0">
                  <c:v>38942</c:v>
                </c:pt>
                <c:pt idx="1">
                  <c:v>27057</c:v>
                </c:pt>
                <c:pt idx="2">
                  <c:v>21221</c:v>
                </c:pt>
                <c:pt idx="3">
                  <c:v>9310</c:v>
                </c:pt>
                <c:pt idx="4">
                  <c:v>10676</c:v>
                </c:pt>
                <c:pt idx="5">
                  <c:v>3086</c:v>
                </c:pt>
                <c:pt idx="6">
                  <c:v>1192</c:v>
                </c:pt>
                <c:pt idx="7">
                  <c:v>7254</c:v>
                </c:pt>
              </c:numCache>
            </c:numRef>
          </c:val>
          <c:extLst>
            <c:ext xmlns:c16="http://schemas.microsoft.com/office/drawing/2014/chart" uri="{C3380CC4-5D6E-409C-BE32-E72D297353CC}">
              <c16:uniqueId val="{00000004-9559-4CC0-90FB-5AEA732D582C}"/>
            </c:ext>
          </c:extLst>
        </c:ser>
        <c:ser>
          <c:idx val="5"/>
          <c:order val="5"/>
          <c:tx>
            <c:strRef>
              <c:f>'AMH Graphs'!$AA$2:$AA$3</c:f>
              <c:strCache>
                <c:ptCount val="2"/>
                <c:pt idx="0">
                  <c:v>ABF</c:v>
                </c:pt>
                <c:pt idx="1">
                  <c:v>2022-23</c:v>
                </c:pt>
              </c:strCache>
            </c:strRef>
          </c:tx>
          <c:spPr>
            <a:solidFill>
              <a:srgbClr val="C1867C">
                <a:alpha val="50000"/>
              </a:srgbClr>
            </a:solidFill>
            <a:ln>
              <a:noFill/>
            </a:ln>
            <a:effectLst/>
          </c:spPr>
          <c:invertIfNegative val="0"/>
          <c:cat>
            <c:strRef>
              <c:f>'AMH Graphs'!$U$15:$U$22</c:f>
              <c:strCache>
                <c:ptCount val="8"/>
                <c:pt idx="0">
                  <c:v>NSW</c:v>
                </c:pt>
                <c:pt idx="1">
                  <c:v>Vic</c:v>
                </c:pt>
                <c:pt idx="2">
                  <c:v>Qld</c:v>
                </c:pt>
                <c:pt idx="3">
                  <c:v>SA</c:v>
                </c:pt>
                <c:pt idx="4">
                  <c:v>WA</c:v>
                </c:pt>
                <c:pt idx="5">
                  <c:v>Tas</c:v>
                </c:pt>
                <c:pt idx="6">
                  <c:v>NT</c:v>
                </c:pt>
                <c:pt idx="7">
                  <c:v>ACT</c:v>
                </c:pt>
              </c:strCache>
            </c:strRef>
          </c:cat>
          <c:val>
            <c:numRef>
              <c:f>'AMH Graphs'!$AA$15:$AA$22</c:f>
              <c:numCache>
                <c:formatCode>_-* #,##0_-;\-* #,##0_-;_-* "-"??_-;_-@_-</c:formatCode>
                <c:ptCount val="8"/>
                <c:pt idx="0">
                  <c:v>39975</c:v>
                </c:pt>
                <c:pt idx="1">
                  <c:v>25516</c:v>
                </c:pt>
                <c:pt idx="2">
                  <c:v>25631</c:v>
                </c:pt>
                <c:pt idx="3" formatCode="#,##0">
                  <c:v>10502</c:v>
                </c:pt>
                <c:pt idx="4" formatCode="#,##0">
                  <c:v>11166</c:v>
                </c:pt>
                <c:pt idx="5" formatCode="#,##0">
                  <c:v>2934</c:v>
                </c:pt>
                <c:pt idx="6" formatCode="#,##0">
                  <c:v>1636</c:v>
                </c:pt>
                <c:pt idx="7" formatCode="#,##0">
                  <c:v>4034</c:v>
                </c:pt>
              </c:numCache>
            </c:numRef>
          </c:val>
          <c:extLst>
            <c:ext xmlns:c16="http://schemas.microsoft.com/office/drawing/2014/chart" uri="{C3380CC4-5D6E-409C-BE32-E72D297353CC}">
              <c16:uniqueId val="{00000005-9559-4CC0-90FB-5AEA732D582C}"/>
            </c:ext>
          </c:extLst>
        </c:ser>
        <c:dLbls>
          <c:showLegendKey val="0"/>
          <c:showVal val="0"/>
          <c:showCatName val="0"/>
          <c:showSerName val="0"/>
          <c:showPercent val="0"/>
          <c:showBubbleSize val="0"/>
        </c:dLbls>
        <c:gapWidth val="219"/>
        <c:axId val="1165914768"/>
        <c:axId val="1165917648"/>
      </c:barChart>
      <c:catAx>
        <c:axId val="944024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4017944"/>
        <c:crosses val="autoZero"/>
        <c:auto val="1"/>
        <c:lblAlgn val="ctr"/>
        <c:lblOffset val="100"/>
        <c:noMultiLvlLbl val="0"/>
      </c:catAx>
      <c:valAx>
        <c:axId val="944017944"/>
        <c:scaling>
          <c:orientation val="minMax"/>
          <c:max val="5000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Phases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4024424"/>
        <c:crosses val="autoZero"/>
        <c:crossBetween val="between"/>
        <c:majorUnit val="10000"/>
      </c:valAx>
      <c:valAx>
        <c:axId val="1165917648"/>
        <c:scaling>
          <c:orientation val="minMax"/>
        </c:scaling>
        <c:delete val="1"/>
        <c:axPos val="r"/>
        <c:numFmt formatCode="_-* #,##0_-;\-* #,##0_-;_-* &quot;-&quot;??_-;_-@_-" sourceLinked="1"/>
        <c:majorTickMark val="out"/>
        <c:minorTickMark val="none"/>
        <c:tickLblPos val="nextTo"/>
        <c:crossAx val="1165914768"/>
        <c:crosses val="max"/>
        <c:crossBetween val="between"/>
      </c:valAx>
      <c:catAx>
        <c:axId val="1165914768"/>
        <c:scaling>
          <c:orientation val="minMax"/>
        </c:scaling>
        <c:delete val="1"/>
        <c:axPos val="b"/>
        <c:numFmt formatCode="General" sourceLinked="1"/>
        <c:majorTickMark val="out"/>
        <c:minorTickMark val="none"/>
        <c:tickLblPos val="nextTo"/>
        <c:crossAx val="1165917648"/>
        <c:crosses val="autoZero"/>
        <c:auto val="1"/>
        <c:lblAlgn val="ctr"/>
        <c:lblOffset val="100"/>
        <c:noMultiLvlLbl val="0"/>
      </c:catAx>
      <c:spPr>
        <a:noFill/>
        <a:ln>
          <a:noFill/>
        </a:ln>
        <a:effectLst/>
      </c:spPr>
    </c:plotArea>
    <c:legend>
      <c:legendPos val="b"/>
      <c:layout>
        <c:manualLayout>
          <c:xMode val="edge"/>
          <c:yMode val="edge"/>
          <c:x val="6.0551207805645137E-2"/>
          <c:y val="0.88389734149114729"/>
          <c:w val="0.8999998504563822"/>
          <c:h val="8.436548561623011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'AMH Graphs'!$G$24</c:f>
              <c:strCache>
                <c:ptCount val="1"/>
                <c:pt idx="0">
                  <c:v>2020-21</c:v>
                </c:pt>
              </c:strCache>
            </c:strRef>
          </c:tx>
          <c:spPr>
            <a:solidFill>
              <a:srgbClr val="246164"/>
            </a:solidFill>
            <a:ln>
              <a:noFill/>
            </a:ln>
            <a:effectLst/>
          </c:spPr>
          <c:invertIfNegative val="0"/>
          <c:cat>
            <c:strRef>
              <c:f>'AMH Graphs'!$F$36:$F$43</c:f>
              <c:strCache>
                <c:ptCount val="8"/>
                <c:pt idx="0">
                  <c:v>NSW</c:v>
                </c:pt>
                <c:pt idx="1">
                  <c:v>Vic</c:v>
                </c:pt>
                <c:pt idx="2">
                  <c:v>Qld</c:v>
                </c:pt>
                <c:pt idx="3">
                  <c:v>SA</c:v>
                </c:pt>
                <c:pt idx="4">
                  <c:v>WA</c:v>
                </c:pt>
                <c:pt idx="5">
                  <c:v>Tas</c:v>
                </c:pt>
                <c:pt idx="6">
                  <c:v>NT</c:v>
                </c:pt>
                <c:pt idx="7">
                  <c:v>ACT</c:v>
                </c:pt>
              </c:strCache>
            </c:strRef>
          </c:cat>
          <c:val>
            <c:numRef>
              <c:f>'AMH Graphs'!$G$36:$G$43</c:f>
              <c:numCache>
                <c:formatCode>_-"$"* #,##0_-;\-"$"* #,##0_-;_-"$"* "-"??_-;_-@_-</c:formatCode>
                <c:ptCount val="8"/>
                <c:pt idx="0">
                  <c:v>706.78102832000002</c:v>
                </c:pt>
                <c:pt idx="1">
                  <c:v>574.61763076</c:v>
                </c:pt>
                <c:pt idx="2">
                  <c:v>155.51000295</c:v>
                </c:pt>
                <c:pt idx="3">
                  <c:v>0</c:v>
                </c:pt>
                <c:pt idx="4">
                  <c:v>0</c:v>
                </c:pt>
                <c:pt idx="5">
                  <c:v>0</c:v>
                </c:pt>
                <c:pt idx="6">
                  <c:v>0</c:v>
                </c:pt>
                <c:pt idx="7">
                  <c:v>0</c:v>
                </c:pt>
              </c:numCache>
            </c:numRef>
          </c:val>
          <c:extLst>
            <c:ext xmlns:c16="http://schemas.microsoft.com/office/drawing/2014/chart" uri="{C3380CC4-5D6E-409C-BE32-E72D297353CC}">
              <c16:uniqueId val="{00000000-0088-478B-965B-D05ECCE10BC5}"/>
            </c:ext>
          </c:extLst>
        </c:ser>
        <c:ser>
          <c:idx val="1"/>
          <c:order val="1"/>
          <c:tx>
            <c:strRef>
              <c:f>'AMH Graphs'!$H$24</c:f>
              <c:strCache>
                <c:ptCount val="1"/>
                <c:pt idx="0">
                  <c:v>2021-22</c:v>
                </c:pt>
              </c:strCache>
            </c:strRef>
          </c:tx>
          <c:spPr>
            <a:solidFill>
              <a:srgbClr val="5FB2BE"/>
            </a:solidFill>
            <a:ln>
              <a:noFill/>
            </a:ln>
            <a:effectLst/>
          </c:spPr>
          <c:invertIfNegative val="0"/>
          <c:cat>
            <c:strRef>
              <c:f>'AMH Graphs'!$F$36:$F$43</c:f>
              <c:strCache>
                <c:ptCount val="8"/>
                <c:pt idx="0">
                  <c:v>NSW</c:v>
                </c:pt>
                <c:pt idx="1">
                  <c:v>Vic</c:v>
                </c:pt>
                <c:pt idx="2">
                  <c:v>Qld</c:v>
                </c:pt>
                <c:pt idx="3">
                  <c:v>SA</c:v>
                </c:pt>
                <c:pt idx="4">
                  <c:v>WA</c:v>
                </c:pt>
                <c:pt idx="5">
                  <c:v>Tas</c:v>
                </c:pt>
                <c:pt idx="6">
                  <c:v>NT</c:v>
                </c:pt>
                <c:pt idx="7">
                  <c:v>ACT</c:v>
                </c:pt>
              </c:strCache>
            </c:strRef>
          </c:cat>
          <c:val>
            <c:numRef>
              <c:f>'AMH Graphs'!$H$36:$H$43</c:f>
              <c:numCache>
                <c:formatCode>_-"$"* #,##0_-;\-"$"* #,##0_-;_-"$"* "-"??_-;_-@_-</c:formatCode>
                <c:ptCount val="8"/>
                <c:pt idx="0">
                  <c:v>744.11127296000006</c:v>
                </c:pt>
                <c:pt idx="1">
                  <c:v>593.50575913</c:v>
                </c:pt>
                <c:pt idx="2">
                  <c:v>395.34196200000002</c:v>
                </c:pt>
                <c:pt idx="3">
                  <c:v>176.54708259</c:v>
                </c:pt>
                <c:pt idx="4">
                  <c:v>0</c:v>
                </c:pt>
                <c:pt idx="5">
                  <c:v>0</c:v>
                </c:pt>
                <c:pt idx="6">
                  <c:v>0</c:v>
                </c:pt>
                <c:pt idx="7">
                  <c:v>0</c:v>
                </c:pt>
              </c:numCache>
            </c:numRef>
          </c:val>
          <c:extLst>
            <c:ext xmlns:c16="http://schemas.microsoft.com/office/drawing/2014/chart" uri="{C3380CC4-5D6E-409C-BE32-E72D297353CC}">
              <c16:uniqueId val="{00000001-0088-478B-965B-D05ECCE10BC5}"/>
            </c:ext>
          </c:extLst>
        </c:ser>
        <c:ser>
          <c:idx val="2"/>
          <c:order val="2"/>
          <c:tx>
            <c:strRef>
              <c:f>'AMH Graphs'!$I$24</c:f>
              <c:strCache>
                <c:ptCount val="1"/>
                <c:pt idx="0">
                  <c:v>2022-23</c:v>
                </c:pt>
              </c:strCache>
            </c:strRef>
          </c:tx>
          <c:spPr>
            <a:solidFill>
              <a:srgbClr val="C1867C"/>
            </a:solidFill>
            <a:ln>
              <a:noFill/>
            </a:ln>
            <a:effectLst/>
          </c:spPr>
          <c:invertIfNegative val="0"/>
          <c:cat>
            <c:strRef>
              <c:f>'AMH Graphs'!$F$36:$F$43</c:f>
              <c:strCache>
                <c:ptCount val="8"/>
                <c:pt idx="0">
                  <c:v>NSW</c:v>
                </c:pt>
                <c:pt idx="1">
                  <c:v>Vic</c:v>
                </c:pt>
                <c:pt idx="2">
                  <c:v>Qld</c:v>
                </c:pt>
                <c:pt idx="3">
                  <c:v>SA</c:v>
                </c:pt>
                <c:pt idx="4">
                  <c:v>WA</c:v>
                </c:pt>
                <c:pt idx="5">
                  <c:v>Tas</c:v>
                </c:pt>
                <c:pt idx="6">
                  <c:v>NT</c:v>
                </c:pt>
                <c:pt idx="7">
                  <c:v>ACT</c:v>
                </c:pt>
              </c:strCache>
            </c:strRef>
          </c:cat>
          <c:val>
            <c:numRef>
              <c:f>'AMH Graphs'!$I$36:$I$43</c:f>
              <c:numCache>
                <c:formatCode>_-"$"* #,##0_-;\-"$"* #,##0_-;_-"$"* "-"??_-;_-@_-</c:formatCode>
                <c:ptCount val="8"/>
                <c:pt idx="0">
                  <c:v>840.18659000000002</c:v>
                </c:pt>
                <c:pt idx="1">
                  <c:v>712.97081147000006</c:v>
                </c:pt>
                <c:pt idx="2">
                  <c:v>589.88762499999996</c:v>
                </c:pt>
                <c:pt idx="3">
                  <c:v>246.33296899999999</c:v>
                </c:pt>
                <c:pt idx="4">
                  <c:v>0</c:v>
                </c:pt>
                <c:pt idx="5">
                  <c:v>0</c:v>
                </c:pt>
                <c:pt idx="6">
                  <c:v>0</c:v>
                </c:pt>
                <c:pt idx="7">
                  <c:v>0</c:v>
                </c:pt>
              </c:numCache>
            </c:numRef>
          </c:val>
          <c:extLst>
            <c:ext xmlns:c16="http://schemas.microsoft.com/office/drawing/2014/chart" uri="{C3380CC4-5D6E-409C-BE32-E72D297353CC}">
              <c16:uniqueId val="{00000002-0088-478B-965B-D05ECCE10BC5}"/>
            </c:ext>
          </c:extLst>
        </c:ser>
        <c:dLbls>
          <c:showLegendKey val="0"/>
          <c:showVal val="0"/>
          <c:showCatName val="0"/>
          <c:showSerName val="0"/>
          <c:showPercent val="0"/>
          <c:showBubbleSize val="0"/>
        </c:dLbls>
        <c:gapWidth val="219"/>
        <c:axId val="548009000"/>
        <c:axId val="548009360"/>
      </c:barChart>
      <c:scatterChart>
        <c:scatterStyle val="lineMarker"/>
        <c:varyColors val="0"/>
        <c:ser>
          <c:idx val="3"/>
          <c:order val="3"/>
          <c:tx>
            <c:strRef>
              <c:f>'AMH Graphs'!$J$24</c:f>
              <c:strCache>
                <c:ptCount val="1"/>
                <c:pt idx="0">
                  <c:v>% change</c:v>
                </c:pt>
              </c:strCache>
            </c:strRef>
          </c:tx>
          <c:spPr>
            <a:ln w="25400" cap="rnd">
              <a:noFill/>
              <a:round/>
            </a:ln>
            <a:effectLst/>
          </c:spPr>
          <c:marker>
            <c:symbol val="circle"/>
            <c:size val="8"/>
            <c:spPr>
              <a:solidFill>
                <a:srgbClr val="D5D3A5"/>
              </a:solidFill>
              <a:ln w="9525">
                <a:solidFill>
                  <a:srgbClr val="333333"/>
                </a:solidFill>
              </a:ln>
              <a:effectLst/>
            </c:spPr>
          </c:marker>
          <c:xVal>
            <c:strRef>
              <c:f>'AMH Graphs'!$F$36:$F$43</c:f>
              <c:strCache>
                <c:ptCount val="8"/>
                <c:pt idx="0">
                  <c:v>NSW</c:v>
                </c:pt>
                <c:pt idx="1">
                  <c:v>Vic</c:v>
                </c:pt>
                <c:pt idx="2">
                  <c:v>Qld</c:v>
                </c:pt>
                <c:pt idx="3">
                  <c:v>SA</c:v>
                </c:pt>
                <c:pt idx="4">
                  <c:v>WA</c:v>
                </c:pt>
                <c:pt idx="5">
                  <c:v>Tas</c:v>
                </c:pt>
                <c:pt idx="6">
                  <c:v>NT</c:v>
                </c:pt>
                <c:pt idx="7">
                  <c:v>ACT</c:v>
                </c:pt>
              </c:strCache>
            </c:strRef>
          </c:xVal>
          <c:yVal>
            <c:numRef>
              <c:f>'AMH Graphs'!$J$36:$J$43</c:f>
              <c:numCache>
                <c:formatCode>0%</c:formatCode>
                <c:ptCount val="8"/>
                <c:pt idx="0">
                  <c:v>0.12911418027282665</c:v>
                </c:pt>
                <c:pt idx="1">
                  <c:v>0.20128709873872128</c:v>
                </c:pt>
                <c:pt idx="2">
                  <c:v>0.49209464640639389</c:v>
                </c:pt>
                <c:pt idx="3">
                  <c:v>0.39528201421524262</c:v>
                </c:pt>
              </c:numCache>
            </c:numRef>
          </c:yVal>
          <c:smooth val="0"/>
          <c:extLst>
            <c:ext xmlns:c16="http://schemas.microsoft.com/office/drawing/2014/chart" uri="{C3380CC4-5D6E-409C-BE32-E72D297353CC}">
              <c16:uniqueId val="{00000003-0088-478B-965B-D05ECCE10BC5}"/>
            </c:ext>
          </c:extLst>
        </c:ser>
        <c:dLbls>
          <c:showLegendKey val="0"/>
          <c:showVal val="0"/>
          <c:showCatName val="0"/>
          <c:showSerName val="0"/>
          <c:showPercent val="0"/>
          <c:showBubbleSize val="0"/>
        </c:dLbls>
        <c:axId val="944015064"/>
        <c:axId val="944007144"/>
      </c:scatterChart>
      <c:catAx>
        <c:axId val="54800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8009360"/>
        <c:crosses val="autoZero"/>
        <c:auto val="1"/>
        <c:lblAlgn val="ctr"/>
        <c:lblOffset val="100"/>
        <c:noMultiLvlLbl val="0"/>
      </c:catAx>
      <c:valAx>
        <c:axId val="548009360"/>
        <c:scaling>
          <c:orientation val="minMax"/>
          <c:max val="90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b="0" i="0" u="none" strike="noStrike" kern="1200" baseline="0">
                    <a:solidFill>
                      <a:sysClr val="windowText" lastClr="000000"/>
                    </a:solidFill>
                    <a:latin typeface="Arial" panose="020B0604020202020204" pitchFamily="34" charset="0"/>
                    <a:cs typeface="Arial" panose="020B0604020202020204" pitchFamily="34" charset="0"/>
                  </a:rPr>
                  <a:t>Phase cost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8009000"/>
        <c:crosses val="autoZero"/>
        <c:crossBetween val="between"/>
        <c:majorUnit val="150"/>
      </c:valAx>
      <c:valAx>
        <c:axId val="944007144"/>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Change from 2021-22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4015064"/>
        <c:crosses val="max"/>
        <c:crossBetween val="midCat"/>
        <c:majorUnit val="0.1"/>
      </c:valAx>
      <c:valAx>
        <c:axId val="944015064"/>
        <c:scaling>
          <c:orientation val="minMax"/>
        </c:scaling>
        <c:delete val="1"/>
        <c:axPos val="t"/>
        <c:majorTickMark val="out"/>
        <c:minorTickMark val="none"/>
        <c:tickLblPos val="nextTo"/>
        <c:crossAx val="944007144"/>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'AMH Graphs'!$G$24</c:f>
              <c:strCache>
                <c:ptCount val="1"/>
                <c:pt idx="0">
                  <c:v>2020-21</c:v>
                </c:pt>
              </c:strCache>
            </c:strRef>
          </c:tx>
          <c:spPr>
            <a:solidFill>
              <a:srgbClr val="246164"/>
            </a:solidFill>
            <a:ln>
              <a:noFill/>
            </a:ln>
            <a:effectLst/>
          </c:spPr>
          <c:invertIfNegative val="0"/>
          <c:cat>
            <c:strRef>
              <c:f>'AMH Graphs'!$F$58:$F$66</c:f>
              <c:strCache>
                <c:ptCount val="9"/>
                <c:pt idx="0">
                  <c:v>NSW</c:v>
                </c:pt>
                <c:pt idx="1">
                  <c:v>Vic</c:v>
                </c:pt>
                <c:pt idx="2">
                  <c:v>Qld</c:v>
                </c:pt>
                <c:pt idx="3">
                  <c:v>SA</c:v>
                </c:pt>
                <c:pt idx="4">
                  <c:v>WA</c:v>
                </c:pt>
                <c:pt idx="5">
                  <c:v>Tas</c:v>
                </c:pt>
                <c:pt idx="6">
                  <c:v>NT</c:v>
                </c:pt>
                <c:pt idx="7">
                  <c:v>ACT</c:v>
                </c:pt>
                <c:pt idx="8">
                  <c:v>National</c:v>
                </c:pt>
              </c:strCache>
            </c:strRef>
          </c:cat>
          <c:val>
            <c:numRef>
              <c:f>'AMH Graphs'!$G$58:$G$66</c:f>
              <c:numCache>
                <c:formatCode>_-"$"* #,##0_-;\-"$"* #,##0_-;_-"$"* "-"??_-;_-@_-</c:formatCode>
                <c:ptCount val="9"/>
                <c:pt idx="0">
                  <c:v>19423.998359853795</c:v>
                </c:pt>
                <c:pt idx="1">
                  <c:v>21708.259567812616</c:v>
                </c:pt>
                <c:pt idx="2">
                  <c:v>23698.567959463577</c:v>
                </c:pt>
                <c:pt idx="3">
                  <c:v>0</c:v>
                </c:pt>
                <c:pt idx="4">
                  <c:v>0</c:v>
                </c:pt>
                <c:pt idx="5">
                  <c:v>0</c:v>
                </c:pt>
                <c:pt idx="6">
                  <c:v>0</c:v>
                </c:pt>
                <c:pt idx="7">
                  <c:v>0</c:v>
                </c:pt>
                <c:pt idx="8" formatCode="General">
                  <c:v>20699.068872066724</c:v>
                </c:pt>
              </c:numCache>
            </c:numRef>
          </c:val>
          <c:extLst>
            <c:ext xmlns:c16="http://schemas.microsoft.com/office/drawing/2014/chart" uri="{C3380CC4-5D6E-409C-BE32-E72D297353CC}">
              <c16:uniqueId val="{00000000-4B72-44A2-9518-82B0B83713CB}"/>
            </c:ext>
          </c:extLst>
        </c:ser>
        <c:ser>
          <c:idx val="1"/>
          <c:order val="1"/>
          <c:tx>
            <c:strRef>
              <c:f>'AMH Graphs'!$H$24</c:f>
              <c:strCache>
                <c:ptCount val="1"/>
                <c:pt idx="0">
                  <c:v>2021-22</c:v>
                </c:pt>
              </c:strCache>
            </c:strRef>
          </c:tx>
          <c:spPr>
            <a:solidFill>
              <a:srgbClr val="5FB2BE"/>
            </a:solidFill>
            <a:ln>
              <a:noFill/>
            </a:ln>
            <a:effectLst/>
          </c:spPr>
          <c:invertIfNegative val="0"/>
          <c:cat>
            <c:strRef>
              <c:f>'AMH Graphs'!$F$58:$F$66</c:f>
              <c:strCache>
                <c:ptCount val="9"/>
                <c:pt idx="0">
                  <c:v>NSW</c:v>
                </c:pt>
                <c:pt idx="1">
                  <c:v>Vic</c:v>
                </c:pt>
                <c:pt idx="2">
                  <c:v>Qld</c:v>
                </c:pt>
                <c:pt idx="3">
                  <c:v>SA</c:v>
                </c:pt>
                <c:pt idx="4">
                  <c:v>WA</c:v>
                </c:pt>
                <c:pt idx="5">
                  <c:v>Tas</c:v>
                </c:pt>
                <c:pt idx="6">
                  <c:v>NT</c:v>
                </c:pt>
                <c:pt idx="7">
                  <c:v>ACT</c:v>
                </c:pt>
                <c:pt idx="8">
                  <c:v>National</c:v>
                </c:pt>
              </c:strCache>
            </c:strRef>
          </c:cat>
          <c:val>
            <c:numRef>
              <c:f>'AMH Graphs'!$H$58:$H$66</c:f>
              <c:numCache>
                <c:formatCode>_-"$"* #,##0_-;\-"$"* #,##0_-;_-"$"* "-"??_-;_-@_-</c:formatCode>
                <c:ptCount val="9"/>
                <c:pt idx="0">
                  <c:v>23122.689567135887</c:v>
                </c:pt>
                <c:pt idx="1">
                  <c:v>23268.348262437761</c:v>
                </c:pt>
                <c:pt idx="2">
                  <c:v>25080.375689906745</c:v>
                </c:pt>
                <c:pt idx="3">
                  <c:v>27228.112675817396</c:v>
                </c:pt>
                <c:pt idx="4">
                  <c:v>0</c:v>
                </c:pt>
                <c:pt idx="5">
                  <c:v>0</c:v>
                </c:pt>
                <c:pt idx="6">
                  <c:v>0</c:v>
                </c:pt>
                <c:pt idx="7">
                  <c:v>0</c:v>
                </c:pt>
                <c:pt idx="8" formatCode="General">
                  <c:v>23888.235149559019</c:v>
                </c:pt>
              </c:numCache>
            </c:numRef>
          </c:val>
          <c:extLst>
            <c:ext xmlns:c16="http://schemas.microsoft.com/office/drawing/2014/chart" uri="{C3380CC4-5D6E-409C-BE32-E72D297353CC}">
              <c16:uniqueId val="{00000001-4B72-44A2-9518-82B0B83713CB}"/>
            </c:ext>
          </c:extLst>
        </c:ser>
        <c:ser>
          <c:idx val="2"/>
          <c:order val="2"/>
          <c:tx>
            <c:strRef>
              <c:f>'AMH Graphs'!$I$24</c:f>
              <c:strCache>
                <c:ptCount val="1"/>
                <c:pt idx="0">
                  <c:v>2022-23</c:v>
                </c:pt>
              </c:strCache>
            </c:strRef>
          </c:tx>
          <c:spPr>
            <a:solidFill>
              <a:srgbClr val="C1867C"/>
            </a:solidFill>
            <a:ln>
              <a:noFill/>
            </a:ln>
            <a:effectLst/>
          </c:spPr>
          <c:invertIfNegative val="0"/>
          <c:cat>
            <c:strRef>
              <c:f>'AMH Graphs'!$F$58:$F$66</c:f>
              <c:strCache>
                <c:ptCount val="9"/>
                <c:pt idx="0">
                  <c:v>NSW</c:v>
                </c:pt>
                <c:pt idx="1">
                  <c:v>Vic</c:v>
                </c:pt>
                <c:pt idx="2">
                  <c:v>Qld</c:v>
                </c:pt>
                <c:pt idx="3">
                  <c:v>SA</c:v>
                </c:pt>
                <c:pt idx="4">
                  <c:v>WA</c:v>
                </c:pt>
                <c:pt idx="5">
                  <c:v>Tas</c:v>
                </c:pt>
                <c:pt idx="6">
                  <c:v>NT</c:v>
                </c:pt>
                <c:pt idx="7">
                  <c:v>ACT</c:v>
                </c:pt>
                <c:pt idx="8">
                  <c:v>National</c:v>
                </c:pt>
              </c:strCache>
            </c:strRef>
          </c:cat>
          <c:val>
            <c:numRef>
              <c:f>'AMH Graphs'!$I$58:$I$66</c:f>
              <c:numCache>
                <c:formatCode>_-* #,##0_-;\-* #,##0_-;_-* "-"??_-;_-@_-</c:formatCode>
                <c:ptCount val="9"/>
                <c:pt idx="0" formatCode="_-&quot;$&quot;* #,##0_-;\-&quot;$&quot;* #,##0_-;_-&quot;$&quot;* &quot;-&quot;??_-;_-@_-">
                  <c:v>23712.649300067736</c:v>
                </c:pt>
                <c:pt idx="1">
                  <c:v>29346.400966000001</c:v>
                </c:pt>
                <c:pt idx="2" formatCode="_-&quot;$&quot;* #,##0_-;\-&quot;$&quot;* #,##0_-;_-&quot;$&quot;* &quot;-&quot;??_-;_-@_-">
                  <c:v>24541.838284240308</c:v>
                </c:pt>
                <c:pt idx="3" formatCode="_-&quot;$&quot;* #,##0_-;\-&quot;$&quot;* #,##0_-;_-&quot;$&quot;* &quot;-&quot;??_-;_-@_-">
                  <c:v>26965.842255062944</c:v>
                </c:pt>
                <c:pt idx="4" formatCode="_-&quot;$&quot;* #,##0_-;\-&quot;$&quot;* #,##0_-;_-&quot;$&quot;* &quot;-&quot;??_-;_-@_-">
                  <c:v>0</c:v>
                </c:pt>
                <c:pt idx="5" formatCode="_-&quot;$&quot;* #,##0_-;\-&quot;$&quot;* #,##0_-;_-&quot;$&quot;* &quot;-&quot;??_-;_-@_-">
                  <c:v>0</c:v>
                </c:pt>
                <c:pt idx="6" formatCode="_-&quot;$&quot;* #,##0_-;\-&quot;$&quot;* #,##0_-;_-&quot;$&quot;* &quot;-&quot;??_-;_-@_-">
                  <c:v>0</c:v>
                </c:pt>
                <c:pt idx="7" formatCode="_-&quot;$&quot;* #,##0_-;\-&quot;$&quot;* #,##0_-;_-&quot;$&quot;* &quot;-&quot;??_-;_-@_-">
                  <c:v>0</c:v>
                </c:pt>
                <c:pt idx="8">
                  <c:v>25720.446029999999</c:v>
                </c:pt>
              </c:numCache>
            </c:numRef>
          </c:val>
          <c:extLst>
            <c:ext xmlns:c16="http://schemas.microsoft.com/office/drawing/2014/chart" uri="{C3380CC4-5D6E-409C-BE32-E72D297353CC}">
              <c16:uniqueId val="{00000002-4B72-44A2-9518-82B0B83713CB}"/>
            </c:ext>
          </c:extLst>
        </c:ser>
        <c:dLbls>
          <c:showLegendKey val="0"/>
          <c:showVal val="0"/>
          <c:showCatName val="0"/>
          <c:showSerName val="0"/>
          <c:showPercent val="0"/>
          <c:showBubbleSize val="0"/>
        </c:dLbls>
        <c:gapWidth val="219"/>
        <c:axId val="548009000"/>
        <c:axId val="548009360"/>
      </c:barChart>
      <c:scatterChart>
        <c:scatterStyle val="lineMarker"/>
        <c:varyColors val="0"/>
        <c:ser>
          <c:idx val="3"/>
          <c:order val="3"/>
          <c:tx>
            <c:strRef>
              <c:f>'AMH Graphs'!$J$24</c:f>
              <c:strCache>
                <c:ptCount val="1"/>
                <c:pt idx="0">
                  <c:v>% change</c:v>
                </c:pt>
              </c:strCache>
            </c:strRef>
          </c:tx>
          <c:spPr>
            <a:ln w="25400" cap="rnd">
              <a:noFill/>
              <a:round/>
            </a:ln>
            <a:effectLst/>
          </c:spPr>
          <c:marker>
            <c:symbol val="circle"/>
            <c:size val="8"/>
            <c:spPr>
              <a:solidFill>
                <a:srgbClr val="D5D3A5"/>
              </a:solidFill>
              <a:ln w="9525">
                <a:solidFill>
                  <a:srgbClr val="333333"/>
                </a:solidFill>
              </a:ln>
              <a:effectLst/>
            </c:spPr>
          </c:marker>
          <c:xVal>
            <c:strRef>
              <c:f>'AMH Graphs'!$F$58:$F$66</c:f>
              <c:strCache>
                <c:ptCount val="9"/>
                <c:pt idx="0">
                  <c:v>NSW</c:v>
                </c:pt>
                <c:pt idx="1">
                  <c:v>Vic</c:v>
                </c:pt>
                <c:pt idx="2">
                  <c:v>Qld</c:v>
                </c:pt>
                <c:pt idx="3">
                  <c:v>SA</c:v>
                </c:pt>
                <c:pt idx="4">
                  <c:v>WA</c:v>
                </c:pt>
                <c:pt idx="5">
                  <c:v>Tas</c:v>
                </c:pt>
                <c:pt idx="6">
                  <c:v>NT</c:v>
                </c:pt>
                <c:pt idx="7">
                  <c:v>ACT</c:v>
                </c:pt>
                <c:pt idx="8">
                  <c:v>National</c:v>
                </c:pt>
              </c:strCache>
            </c:strRef>
          </c:xVal>
          <c:yVal>
            <c:numRef>
              <c:f>'AMH Graphs'!$J$58:$J$66</c:f>
              <c:numCache>
                <c:formatCode>0%</c:formatCode>
                <c:ptCount val="9"/>
                <c:pt idx="0">
                  <c:v>2.5514321386312905E-2</c:v>
                </c:pt>
                <c:pt idx="1">
                  <c:v>0.26121547756675439</c:v>
                </c:pt>
                <c:pt idx="2">
                  <c:v>-2.1472461669829128E-2</c:v>
                </c:pt>
                <c:pt idx="3">
                  <c:v>-9.6323393353439108E-3</c:v>
                </c:pt>
                <c:pt idx="8">
                  <c:v>7.6699298586517931E-2</c:v>
                </c:pt>
              </c:numCache>
            </c:numRef>
          </c:yVal>
          <c:smooth val="0"/>
          <c:extLst>
            <c:ext xmlns:c16="http://schemas.microsoft.com/office/drawing/2014/chart" uri="{C3380CC4-5D6E-409C-BE32-E72D297353CC}">
              <c16:uniqueId val="{00000003-4B72-44A2-9518-82B0B83713CB}"/>
            </c:ext>
          </c:extLst>
        </c:ser>
        <c:dLbls>
          <c:showLegendKey val="0"/>
          <c:showVal val="0"/>
          <c:showCatName val="0"/>
          <c:showSerName val="0"/>
          <c:showPercent val="0"/>
          <c:showBubbleSize val="0"/>
        </c:dLbls>
        <c:axId val="944015064"/>
        <c:axId val="944007144"/>
      </c:scatterChart>
      <c:catAx>
        <c:axId val="54800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8009360"/>
        <c:crosses val="autoZero"/>
        <c:auto val="1"/>
        <c:lblAlgn val="ctr"/>
        <c:lblOffset val="100"/>
        <c:noMultiLvlLbl val="0"/>
      </c:catAx>
      <c:valAx>
        <c:axId val="548009360"/>
        <c:scaling>
          <c:orientation val="minMax"/>
          <c:max val="3000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Average</a:t>
                </a:r>
                <a:r>
                  <a:rPr lang="en-US" baseline="0"/>
                  <a:t> cost per phase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8009000"/>
        <c:crosses val="autoZero"/>
        <c:crossBetween val="between"/>
      </c:valAx>
      <c:valAx>
        <c:axId val="944007144"/>
        <c:scaling>
          <c:orientation val="minMax"/>
          <c:min val="-5.000000000000001E-2"/>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Change from 2021-22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4015064"/>
        <c:crosses val="max"/>
        <c:crossBetween val="midCat"/>
        <c:majorUnit val="6.0000000000000012E-2"/>
      </c:valAx>
      <c:valAx>
        <c:axId val="944015064"/>
        <c:scaling>
          <c:orientation val="minMax"/>
        </c:scaling>
        <c:delete val="1"/>
        <c:axPos val="t"/>
        <c:majorTickMark val="out"/>
        <c:minorTickMark val="none"/>
        <c:tickLblPos val="nextTo"/>
        <c:crossAx val="944007144"/>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'AMH PH'!$H$22</c:f>
              <c:strCache>
                <c:ptCount val="1"/>
                <c:pt idx="0">
                  <c:v> 2020-21 </c:v>
                </c:pt>
              </c:strCache>
            </c:strRef>
          </c:tx>
          <c:spPr>
            <a:solidFill>
              <a:srgbClr val="246164"/>
            </a:solidFill>
            <a:ln>
              <a:noFill/>
            </a:ln>
            <a:effectLst/>
          </c:spPr>
          <c:invertIfNegative val="0"/>
          <c:cat>
            <c:strRef>
              <c:f>'AMH PH'!$G$23:$G$32</c:f>
              <c:strCache>
                <c:ptCount val="10"/>
                <c:pt idx="0">
                  <c:v> Nursing </c:v>
                </c:pt>
                <c:pt idx="1">
                  <c:v> Medical </c:v>
                </c:pt>
                <c:pt idx="2">
                  <c:v> Non Clinical </c:v>
                </c:pt>
                <c:pt idx="3">
                  <c:v> On-costs </c:v>
                </c:pt>
                <c:pt idx="4">
                  <c:v> Clinical Supplies </c:v>
                </c:pt>
                <c:pt idx="5">
                  <c:v> Allied Health </c:v>
                </c:pt>
                <c:pt idx="6">
                  <c:v> Hotel </c:v>
                </c:pt>
                <c:pt idx="7">
                  <c:v>Depreciation</c:v>
                </c:pt>
                <c:pt idx="8">
                  <c:v> Pharmacy </c:v>
                </c:pt>
                <c:pt idx="9">
                  <c:v> Critical Care </c:v>
                </c:pt>
              </c:strCache>
            </c:strRef>
          </c:cat>
          <c:val>
            <c:numRef>
              <c:f>'AMH PH'!$H$23:$H$32</c:f>
              <c:numCache>
                <c:formatCode>_-"$"* #,##0_-;\-"$"* #,##0_-;_-"$"* "-"??_-;_-@_-</c:formatCode>
                <c:ptCount val="10"/>
                <c:pt idx="0">
                  <c:v>7402.3287901000003</c:v>
                </c:pt>
                <c:pt idx="1">
                  <c:v>3330.9735099999998</c:v>
                </c:pt>
                <c:pt idx="2">
                  <c:v>2388.9238277999998</c:v>
                </c:pt>
                <c:pt idx="3">
                  <c:v>2130.1743941</c:v>
                </c:pt>
                <c:pt idx="4">
                  <c:v>1928.0050268</c:v>
                </c:pt>
                <c:pt idx="5">
                  <c:v>1041.4848305999999</c:v>
                </c:pt>
                <c:pt idx="6">
                  <c:v>983.18286891000002</c:v>
                </c:pt>
                <c:pt idx="7">
                  <c:v>510.50596604999998</c:v>
                </c:pt>
                <c:pt idx="8">
                  <c:v>345.86955805000002</c:v>
                </c:pt>
                <c:pt idx="9">
                  <c:v>274.13474355</c:v>
                </c:pt>
              </c:numCache>
            </c:numRef>
          </c:val>
          <c:extLst>
            <c:ext xmlns:c16="http://schemas.microsoft.com/office/drawing/2014/chart" uri="{C3380CC4-5D6E-409C-BE32-E72D297353CC}">
              <c16:uniqueId val="{00000000-3208-4BAB-B443-C99CFDEE6C41}"/>
            </c:ext>
          </c:extLst>
        </c:ser>
        <c:ser>
          <c:idx val="1"/>
          <c:order val="1"/>
          <c:tx>
            <c:strRef>
              <c:f>'AMH PH'!$I$22</c:f>
              <c:strCache>
                <c:ptCount val="1"/>
                <c:pt idx="0">
                  <c:v> 2021-22 </c:v>
                </c:pt>
              </c:strCache>
            </c:strRef>
          </c:tx>
          <c:spPr>
            <a:solidFill>
              <a:srgbClr val="5FB2BE"/>
            </a:solidFill>
            <a:ln>
              <a:noFill/>
            </a:ln>
            <a:effectLst/>
          </c:spPr>
          <c:invertIfNegative val="0"/>
          <c:cat>
            <c:strRef>
              <c:f>'AMH PH'!$G$23:$G$32</c:f>
              <c:strCache>
                <c:ptCount val="10"/>
                <c:pt idx="0">
                  <c:v> Nursing </c:v>
                </c:pt>
                <c:pt idx="1">
                  <c:v> Medical </c:v>
                </c:pt>
                <c:pt idx="2">
                  <c:v> Non Clinical </c:v>
                </c:pt>
                <c:pt idx="3">
                  <c:v> On-costs </c:v>
                </c:pt>
                <c:pt idx="4">
                  <c:v> Clinical Supplies </c:v>
                </c:pt>
                <c:pt idx="5">
                  <c:v> Allied Health </c:v>
                </c:pt>
                <c:pt idx="6">
                  <c:v> Hotel </c:v>
                </c:pt>
                <c:pt idx="7">
                  <c:v>Depreciation</c:v>
                </c:pt>
                <c:pt idx="8">
                  <c:v> Pharmacy </c:v>
                </c:pt>
                <c:pt idx="9">
                  <c:v> Critical Care </c:v>
                </c:pt>
              </c:strCache>
            </c:strRef>
          </c:cat>
          <c:val>
            <c:numRef>
              <c:f>'AMH PH'!$I$23:$I$32</c:f>
              <c:numCache>
                <c:formatCode>_-"$"* #,##0_-;\-"$"* #,##0_-;_-"$"* "-"??_-;_-@_-</c:formatCode>
                <c:ptCount val="10"/>
                <c:pt idx="0">
                  <c:v>8624.7254658999991</c:v>
                </c:pt>
                <c:pt idx="1">
                  <c:v>3802.9523113999999</c:v>
                </c:pt>
                <c:pt idx="2">
                  <c:v>2689.9124667000001</c:v>
                </c:pt>
                <c:pt idx="3">
                  <c:v>2283.1555659999999</c:v>
                </c:pt>
                <c:pt idx="4">
                  <c:v>2430.8917901</c:v>
                </c:pt>
                <c:pt idx="5">
                  <c:v>1156.8034842</c:v>
                </c:pt>
                <c:pt idx="6">
                  <c:v>1050.2728711</c:v>
                </c:pt>
                <c:pt idx="7">
                  <c:v>660.14434187999996</c:v>
                </c:pt>
                <c:pt idx="8">
                  <c:v>415.34502435000002</c:v>
                </c:pt>
                <c:pt idx="9">
                  <c:v>294.97516039999999</c:v>
                </c:pt>
              </c:numCache>
            </c:numRef>
          </c:val>
          <c:extLst>
            <c:ext xmlns:c16="http://schemas.microsoft.com/office/drawing/2014/chart" uri="{C3380CC4-5D6E-409C-BE32-E72D297353CC}">
              <c16:uniqueId val="{00000001-3208-4BAB-B443-C99CFDEE6C41}"/>
            </c:ext>
          </c:extLst>
        </c:ser>
        <c:ser>
          <c:idx val="2"/>
          <c:order val="2"/>
          <c:tx>
            <c:strRef>
              <c:f>'AMH PH'!$J$22</c:f>
              <c:strCache>
                <c:ptCount val="1"/>
                <c:pt idx="0">
                  <c:v> 2022-23 </c:v>
                </c:pt>
              </c:strCache>
            </c:strRef>
          </c:tx>
          <c:spPr>
            <a:solidFill>
              <a:srgbClr val="C1867C"/>
            </a:solidFill>
            <a:ln>
              <a:noFill/>
            </a:ln>
            <a:effectLst/>
          </c:spPr>
          <c:invertIfNegative val="0"/>
          <c:cat>
            <c:strRef>
              <c:f>'AMH PH'!$G$23:$G$32</c:f>
              <c:strCache>
                <c:ptCount val="10"/>
                <c:pt idx="0">
                  <c:v> Nursing </c:v>
                </c:pt>
                <c:pt idx="1">
                  <c:v> Medical </c:v>
                </c:pt>
                <c:pt idx="2">
                  <c:v> Non Clinical </c:v>
                </c:pt>
                <c:pt idx="3">
                  <c:v> On-costs </c:v>
                </c:pt>
                <c:pt idx="4">
                  <c:v> Clinical Supplies </c:v>
                </c:pt>
                <c:pt idx="5">
                  <c:v> Allied Health </c:v>
                </c:pt>
                <c:pt idx="6">
                  <c:v> Hotel </c:v>
                </c:pt>
                <c:pt idx="7">
                  <c:v>Depreciation</c:v>
                </c:pt>
                <c:pt idx="8">
                  <c:v> Pharmacy </c:v>
                </c:pt>
                <c:pt idx="9">
                  <c:v> Critical Care </c:v>
                </c:pt>
              </c:strCache>
            </c:strRef>
          </c:cat>
          <c:val>
            <c:numRef>
              <c:f>'AMH PH'!$J$23:$J$32</c:f>
              <c:numCache>
                <c:formatCode>_-"$"* #,##0_-;\-"$"* #,##0_-;_-"$"* "-"??_-;_-@_-</c:formatCode>
                <c:ptCount val="10"/>
                <c:pt idx="0">
                  <c:v>9364.1557412000002</c:v>
                </c:pt>
                <c:pt idx="1">
                  <c:v>3921.6416929000002</c:v>
                </c:pt>
                <c:pt idx="2">
                  <c:v>2991.1639577999999</c:v>
                </c:pt>
                <c:pt idx="3">
                  <c:v>2644.4405362000002</c:v>
                </c:pt>
                <c:pt idx="4">
                  <c:v>2457.5068443999999</c:v>
                </c:pt>
                <c:pt idx="5">
                  <c:v>1162.137839</c:v>
                </c:pt>
                <c:pt idx="6">
                  <c:v>1115.5996674999999</c:v>
                </c:pt>
                <c:pt idx="7">
                  <c:v>757.04503995000005</c:v>
                </c:pt>
                <c:pt idx="8">
                  <c:v>459.55185296000002</c:v>
                </c:pt>
                <c:pt idx="9">
                  <c:v>305.73198948999999</c:v>
                </c:pt>
              </c:numCache>
            </c:numRef>
          </c:val>
          <c:extLst>
            <c:ext xmlns:c16="http://schemas.microsoft.com/office/drawing/2014/chart" uri="{C3380CC4-5D6E-409C-BE32-E72D297353CC}">
              <c16:uniqueId val="{00000002-3208-4BAB-B443-C99CFDEE6C41}"/>
            </c:ext>
          </c:extLst>
        </c:ser>
        <c:dLbls>
          <c:showLegendKey val="0"/>
          <c:showVal val="0"/>
          <c:showCatName val="0"/>
          <c:showSerName val="0"/>
          <c:showPercent val="0"/>
          <c:showBubbleSize val="0"/>
        </c:dLbls>
        <c:gapWidth val="219"/>
        <c:axId val="974135448"/>
        <c:axId val="974127888"/>
      </c:barChart>
      <c:catAx>
        <c:axId val="97413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27888"/>
        <c:crosses val="autoZero"/>
        <c:auto val="1"/>
        <c:lblAlgn val="ctr"/>
        <c:lblOffset val="100"/>
        <c:noMultiLvlLbl val="0"/>
      </c:catAx>
      <c:valAx>
        <c:axId val="974127888"/>
        <c:scaling>
          <c:orientation val="minMax"/>
          <c:max val="1000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Average cost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35448"/>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'CMH Graphs'!$V$2:$V$3</c:f>
              <c:strCache>
                <c:ptCount val="2"/>
                <c:pt idx="0">
                  <c:v>NHCDC</c:v>
                </c:pt>
                <c:pt idx="1">
                  <c:v>2020-21</c:v>
                </c:pt>
              </c:strCache>
            </c:strRef>
          </c:tx>
          <c:spPr>
            <a:solidFill>
              <a:srgbClr val="246164"/>
            </a:solidFill>
            <a:ln>
              <a:noFill/>
            </a:ln>
            <a:effectLst/>
          </c:spPr>
          <c:invertIfNegative val="0"/>
          <c:cat>
            <c:strRef>
              <c:f>'CMH Graphs'!$U$15:$U$22</c:f>
              <c:strCache>
                <c:ptCount val="8"/>
                <c:pt idx="0">
                  <c:v>NSW</c:v>
                </c:pt>
                <c:pt idx="1">
                  <c:v>Vic</c:v>
                </c:pt>
                <c:pt idx="2">
                  <c:v>Qld</c:v>
                </c:pt>
                <c:pt idx="3">
                  <c:v>SA</c:v>
                </c:pt>
                <c:pt idx="4">
                  <c:v>WA</c:v>
                </c:pt>
                <c:pt idx="5">
                  <c:v>Tas</c:v>
                </c:pt>
                <c:pt idx="6">
                  <c:v>NT</c:v>
                </c:pt>
                <c:pt idx="7">
                  <c:v>ACT</c:v>
                </c:pt>
              </c:strCache>
            </c:strRef>
          </c:cat>
          <c:val>
            <c:numRef>
              <c:f>'CMH Graphs'!$V$15:$V$22</c:f>
              <c:numCache>
                <c:formatCode>_-* #,##0_-;\-* #,##0_-;_-* "-"??_-;_-@_-</c:formatCode>
                <c:ptCount val="8"/>
                <c:pt idx="0">
                  <c:v>200.18600000000001</c:v>
                </c:pt>
                <c:pt idx="1">
                  <c:v>119.84099999999999</c:v>
                </c:pt>
                <c:pt idx="2">
                  <c:v>82.903999999999996</c:v>
                </c:pt>
                <c:pt idx="3">
                  <c:v>0</c:v>
                </c:pt>
                <c:pt idx="4">
                  <c:v>0</c:v>
                </c:pt>
                <c:pt idx="5">
                  <c:v>2.8839999999999999</c:v>
                </c:pt>
                <c:pt idx="6">
                  <c:v>0</c:v>
                </c:pt>
                <c:pt idx="7">
                  <c:v>0</c:v>
                </c:pt>
              </c:numCache>
            </c:numRef>
          </c:val>
          <c:extLst>
            <c:ext xmlns:c16="http://schemas.microsoft.com/office/drawing/2014/chart" uri="{C3380CC4-5D6E-409C-BE32-E72D297353CC}">
              <c16:uniqueId val="{00000000-2668-400C-B5BF-C7FB33D766E9}"/>
            </c:ext>
          </c:extLst>
        </c:ser>
        <c:ser>
          <c:idx val="1"/>
          <c:order val="1"/>
          <c:tx>
            <c:strRef>
              <c:f>'CMH Graphs'!$W$2:$W$3</c:f>
              <c:strCache>
                <c:ptCount val="2"/>
                <c:pt idx="0">
                  <c:v>NHCDC</c:v>
                </c:pt>
                <c:pt idx="1">
                  <c:v>2021-22</c:v>
                </c:pt>
              </c:strCache>
            </c:strRef>
          </c:tx>
          <c:spPr>
            <a:solidFill>
              <a:srgbClr val="5FB2BE"/>
            </a:solidFill>
            <a:ln>
              <a:noFill/>
            </a:ln>
            <a:effectLst/>
          </c:spPr>
          <c:invertIfNegative val="0"/>
          <c:cat>
            <c:strRef>
              <c:f>'CMH Graphs'!$U$15:$U$22</c:f>
              <c:strCache>
                <c:ptCount val="8"/>
                <c:pt idx="0">
                  <c:v>NSW</c:v>
                </c:pt>
                <c:pt idx="1">
                  <c:v>Vic</c:v>
                </c:pt>
                <c:pt idx="2">
                  <c:v>Qld</c:v>
                </c:pt>
                <c:pt idx="3">
                  <c:v>SA</c:v>
                </c:pt>
                <c:pt idx="4">
                  <c:v>WA</c:v>
                </c:pt>
                <c:pt idx="5">
                  <c:v>Tas</c:v>
                </c:pt>
                <c:pt idx="6">
                  <c:v>NT</c:v>
                </c:pt>
                <c:pt idx="7">
                  <c:v>ACT</c:v>
                </c:pt>
              </c:strCache>
            </c:strRef>
          </c:cat>
          <c:val>
            <c:numRef>
              <c:f>'CMH Graphs'!$W$15:$W$22</c:f>
              <c:numCache>
                <c:formatCode>_-* #,##0_-;\-* #,##0_-;_-* "-"??_-;_-@_-</c:formatCode>
                <c:ptCount val="8"/>
                <c:pt idx="0">
                  <c:v>192.66800000000001</c:v>
                </c:pt>
                <c:pt idx="1">
                  <c:v>223.99600000000001</c:v>
                </c:pt>
                <c:pt idx="2">
                  <c:v>135.18100000000001</c:v>
                </c:pt>
                <c:pt idx="3">
                  <c:v>0</c:v>
                </c:pt>
                <c:pt idx="4">
                  <c:v>0</c:v>
                </c:pt>
                <c:pt idx="5">
                  <c:v>3.9830000000000001</c:v>
                </c:pt>
                <c:pt idx="6">
                  <c:v>0</c:v>
                </c:pt>
                <c:pt idx="7">
                  <c:v>0</c:v>
                </c:pt>
              </c:numCache>
            </c:numRef>
          </c:val>
          <c:extLst>
            <c:ext xmlns:c16="http://schemas.microsoft.com/office/drawing/2014/chart" uri="{C3380CC4-5D6E-409C-BE32-E72D297353CC}">
              <c16:uniqueId val="{00000001-2668-400C-B5BF-C7FB33D766E9}"/>
            </c:ext>
          </c:extLst>
        </c:ser>
        <c:ser>
          <c:idx val="2"/>
          <c:order val="2"/>
          <c:tx>
            <c:strRef>
              <c:f>'CMH Graphs'!$X$2:$X$3</c:f>
              <c:strCache>
                <c:ptCount val="2"/>
                <c:pt idx="0">
                  <c:v>NHCDC</c:v>
                </c:pt>
                <c:pt idx="1">
                  <c:v>2022-23</c:v>
                </c:pt>
              </c:strCache>
            </c:strRef>
          </c:tx>
          <c:spPr>
            <a:solidFill>
              <a:srgbClr val="C1867C"/>
            </a:solidFill>
            <a:ln>
              <a:noFill/>
            </a:ln>
            <a:effectLst/>
          </c:spPr>
          <c:invertIfNegative val="0"/>
          <c:cat>
            <c:strRef>
              <c:f>'CMH Graphs'!$U$15:$U$22</c:f>
              <c:strCache>
                <c:ptCount val="8"/>
                <c:pt idx="0">
                  <c:v>NSW</c:v>
                </c:pt>
                <c:pt idx="1">
                  <c:v>Vic</c:v>
                </c:pt>
                <c:pt idx="2">
                  <c:v>Qld</c:v>
                </c:pt>
                <c:pt idx="3">
                  <c:v>SA</c:v>
                </c:pt>
                <c:pt idx="4">
                  <c:v>WA</c:v>
                </c:pt>
                <c:pt idx="5">
                  <c:v>Tas</c:v>
                </c:pt>
                <c:pt idx="6">
                  <c:v>NT</c:v>
                </c:pt>
                <c:pt idx="7">
                  <c:v>ACT</c:v>
                </c:pt>
              </c:strCache>
            </c:strRef>
          </c:cat>
          <c:val>
            <c:numRef>
              <c:f>'CMH Graphs'!$X$15:$X$22</c:f>
              <c:numCache>
                <c:formatCode>_-* #,##0_-;\-* #,##0_-;_-* "-"??_-;_-@_-</c:formatCode>
                <c:ptCount val="8"/>
                <c:pt idx="0">
                  <c:v>184.69900000000001</c:v>
                </c:pt>
                <c:pt idx="1">
                  <c:v>478.97399999999999</c:v>
                </c:pt>
                <c:pt idx="2">
                  <c:v>62.185000000000002</c:v>
                </c:pt>
                <c:pt idx="3">
                  <c:v>0</c:v>
                </c:pt>
                <c:pt idx="4">
                  <c:v>0</c:v>
                </c:pt>
                <c:pt idx="5">
                  <c:v>3.5840000000000001</c:v>
                </c:pt>
                <c:pt idx="6">
                  <c:v>0</c:v>
                </c:pt>
                <c:pt idx="7">
                  <c:v>0</c:v>
                </c:pt>
              </c:numCache>
            </c:numRef>
          </c:val>
          <c:extLst>
            <c:ext xmlns:c16="http://schemas.microsoft.com/office/drawing/2014/chart" uri="{C3380CC4-5D6E-409C-BE32-E72D297353CC}">
              <c16:uniqueId val="{00000002-2668-400C-B5BF-C7FB33D766E9}"/>
            </c:ext>
          </c:extLst>
        </c:ser>
        <c:dLbls>
          <c:showLegendKey val="0"/>
          <c:showVal val="0"/>
          <c:showCatName val="0"/>
          <c:showSerName val="0"/>
          <c:showPercent val="0"/>
          <c:showBubbleSize val="0"/>
        </c:dLbls>
        <c:gapWidth val="219"/>
        <c:axId val="944024424"/>
        <c:axId val="944017944"/>
      </c:barChart>
      <c:barChart>
        <c:barDir val="col"/>
        <c:grouping val="clustered"/>
        <c:varyColors val="0"/>
        <c:ser>
          <c:idx val="3"/>
          <c:order val="3"/>
          <c:tx>
            <c:strRef>
              <c:f>'CMH Graphs'!$Y$2:$Y$3</c:f>
              <c:strCache>
                <c:ptCount val="2"/>
                <c:pt idx="0">
                  <c:v>ABF</c:v>
                </c:pt>
                <c:pt idx="1">
                  <c:v>2020-21</c:v>
                </c:pt>
              </c:strCache>
            </c:strRef>
          </c:tx>
          <c:spPr>
            <a:solidFill>
              <a:srgbClr val="246164">
                <a:alpha val="50000"/>
              </a:srgbClr>
            </a:solidFill>
            <a:ln>
              <a:noFill/>
            </a:ln>
            <a:effectLst/>
          </c:spPr>
          <c:invertIfNegative val="0"/>
          <c:cat>
            <c:strRef>
              <c:f>'CMH Graphs'!$U$15:$U$22</c:f>
              <c:strCache>
                <c:ptCount val="8"/>
                <c:pt idx="0">
                  <c:v>NSW</c:v>
                </c:pt>
                <c:pt idx="1">
                  <c:v>Vic</c:v>
                </c:pt>
                <c:pt idx="2">
                  <c:v>Qld</c:v>
                </c:pt>
                <c:pt idx="3">
                  <c:v>SA</c:v>
                </c:pt>
                <c:pt idx="4">
                  <c:v>WA</c:v>
                </c:pt>
                <c:pt idx="5">
                  <c:v>Tas</c:v>
                </c:pt>
                <c:pt idx="6">
                  <c:v>NT</c:v>
                </c:pt>
                <c:pt idx="7">
                  <c:v>ACT</c:v>
                </c:pt>
              </c:strCache>
            </c:strRef>
          </c:cat>
          <c:val>
            <c:numRef>
              <c:f>'CMH Graphs'!$Y$15:$Y$22</c:f>
              <c:numCache>
                <c:formatCode>_-* #,##0_-;\-* #,##0_-;_-* "-"??_-;_-@_-</c:formatCode>
                <c:ptCount val="8"/>
                <c:pt idx="0">
                  <c:v>236.49100000000001</c:v>
                </c:pt>
                <c:pt idx="1">
                  <c:v>233.53</c:v>
                </c:pt>
                <c:pt idx="2">
                  <c:v>214.44800000000001</c:v>
                </c:pt>
                <c:pt idx="3">
                  <c:v>63.633000000000003</c:v>
                </c:pt>
                <c:pt idx="4">
                  <c:v>85.649000000000001</c:v>
                </c:pt>
                <c:pt idx="5">
                  <c:v>8.7070000000000007</c:v>
                </c:pt>
                <c:pt idx="6">
                  <c:v>5.3230000000000004</c:v>
                </c:pt>
                <c:pt idx="7">
                  <c:v>11.920999999999999</c:v>
                </c:pt>
              </c:numCache>
            </c:numRef>
          </c:val>
          <c:extLst>
            <c:ext xmlns:c16="http://schemas.microsoft.com/office/drawing/2014/chart" uri="{C3380CC4-5D6E-409C-BE32-E72D297353CC}">
              <c16:uniqueId val="{00000003-2668-400C-B5BF-C7FB33D766E9}"/>
            </c:ext>
          </c:extLst>
        </c:ser>
        <c:ser>
          <c:idx val="4"/>
          <c:order val="4"/>
          <c:tx>
            <c:strRef>
              <c:f>'CMH Graphs'!$Z$2:$Z$3</c:f>
              <c:strCache>
                <c:ptCount val="2"/>
                <c:pt idx="0">
                  <c:v>ABF</c:v>
                </c:pt>
                <c:pt idx="1">
                  <c:v>2021-22</c:v>
                </c:pt>
              </c:strCache>
            </c:strRef>
          </c:tx>
          <c:spPr>
            <a:solidFill>
              <a:srgbClr val="5FB2BE">
                <a:alpha val="50000"/>
              </a:srgbClr>
            </a:solidFill>
            <a:ln>
              <a:noFill/>
            </a:ln>
            <a:effectLst/>
          </c:spPr>
          <c:invertIfNegative val="0"/>
          <c:cat>
            <c:strRef>
              <c:f>'CMH Graphs'!$U$15:$U$22</c:f>
              <c:strCache>
                <c:ptCount val="8"/>
                <c:pt idx="0">
                  <c:v>NSW</c:v>
                </c:pt>
                <c:pt idx="1">
                  <c:v>Vic</c:v>
                </c:pt>
                <c:pt idx="2">
                  <c:v>Qld</c:v>
                </c:pt>
                <c:pt idx="3">
                  <c:v>SA</c:v>
                </c:pt>
                <c:pt idx="4">
                  <c:v>WA</c:v>
                </c:pt>
                <c:pt idx="5">
                  <c:v>Tas</c:v>
                </c:pt>
                <c:pt idx="6">
                  <c:v>NT</c:v>
                </c:pt>
                <c:pt idx="7">
                  <c:v>ACT</c:v>
                </c:pt>
              </c:strCache>
            </c:strRef>
          </c:cat>
          <c:val>
            <c:numRef>
              <c:f>'CMH Graphs'!$Z$15:$Z$22</c:f>
              <c:numCache>
                <c:formatCode>_-* #,##0_-;\-* #,##0_-;_-* "-"??_-;_-@_-</c:formatCode>
                <c:ptCount val="8"/>
                <c:pt idx="0">
                  <c:v>221.779</c:v>
                </c:pt>
                <c:pt idx="1">
                  <c:v>270.15600000000001</c:v>
                </c:pt>
                <c:pt idx="2">
                  <c:v>202.34399999999999</c:v>
                </c:pt>
                <c:pt idx="3">
                  <c:v>66.835999999999999</c:v>
                </c:pt>
                <c:pt idx="4">
                  <c:v>79.847999999999999</c:v>
                </c:pt>
                <c:pt idx="5">
                  <c:v>5.8490000000000002</c:v>
                </c:pt>
                <c:pt idx="6">
                  <c:v>4.2839999999999998</c:v>
                </c:pt>
                <c:pt idx="7">
                  <c:v>32.999000000000002</c:v>
                </c:pt>
              </c:numCache>
            </c:numRef>
          </c:val>
          <c:extLst>
            <c:ext xmlns:c16="http://schemas.microsoft.com/office/drawing/2014/chart" uri="{C3380CC4-5D6E-409C-BE32-E72D297353CC}">
              <c16:uniqueId val="{00000004-2668-400C-B5BF-C7FB33D766E9}"/>
            </c:ext>
          </c:extLst>
        </c:ser>
        <c:ser>
          <c:idx val="5"/>
          <c:order val="5"/>
          <c:tx>
            <c:strRef>
              <c:f>'CMH Graphs'!$AA$2:$AA$3</c:f>
              <c:strCache>
                <c:ptCount val="2"/>
                <c:pt idx="0">
                  <c:v>ABF</c:v>
                </c:pt>
                <c:pt idx="1">
                  <c:v>2022-23</c:v>
                </c:pt>
              </c:strCache>
            </c:strRef>
          </c:tx>
          <c:spPr>
            <a:solidFill>
              <a:srgbClr val="C1867C">
                <a:alpha val="50000"/>
              </a:srgbClr>
            </a:solidFill>
            <a:ln>
              <a:noFill/>
            </a:ln>
            <a:effectLst/>
          </c:spPr>
          <c:invertIfNegative val="0"/>
          <c:cat>
            <c:strRef>
              <c:f>'CMH Graphs'!$U$15:$U$22</c:f>
              <c:strCache>
                <c:ptCount val="8"/>
                <c:pt idx="0">
                  <c:v>NSW</c:v>
                </c:pt>
                <c:pt idx="1">
                  <c:v>Vic</c:v>
                </c:pt>
                <c:pt idx="2">
                  <c:v>Qld</c:v>
                </c:pt>
                <c:pt idx="3">
                  <c:v>SA</c:v>
                </c:pt>
                <c:pt idx="4">
                  <c:v>WA</c:v>
                </c:pt>
                <c:pt idx="5">
                  <c:v>Tas</c:v>
                </c:pt>
                <c:pt idx="6">
                  <c:v>NT</c:v>
                </c:pt>
                <c:pt idx="7">
                  <c:v>ACT</c:v>
                </c:pt>
              </c:strCache>
            </c:strRef>
          </c:cat>
          <c:val>
            <c:numRef>
              <c:f>'CMH Graphs'!$AA$15:$AA$22</c:f>
              <c:numCache>
                <c:formatCode>_-* #,##0_-;\-* #,##0_-;_-* "-"??_-;_-@_-</c:formatCode>
                <c:ptCount val="8"/>
                <c:pt idx="0">
                  <c:v>246.45099999999999</c:v>
                </c:pt>
                <c:pt idx="1">
                  <c:v>609.14400000000001</c:v>
                </c:pt>
                <c:pt idx="2">
                  <c:v>73.328000000000003</c:v>
                </c:pt>
                <c:pt idx="3">
                  <c:v>62.692</c:v>
                </c:pt>
                <c:pt idx="4">
                  <c:v>75.662000000000006</c:v>
                </c:pt>
                <c:pt idx="5">
                  <c:v>5.4989999999999997</c:v>
                </c:pt>
                <c:pt idx="6">
                  <c:v>7.9930000000000003</c:v>
                </c:pt>
                <c:pt idx="7">
                  <c:v>21.831</c:v>
                </c:pt>
              </c:numCache>
            </c:numRef>
          </c:val>
          <c:extLst>
            <c:ext xmlns:c16="http://schemas.microsoft.com/office/drawing/2014/chart" uri="{C3380CC4-5D6E-409C-BE32-E72D297353CC}">
              <c16:uniqueId val="{00000005-2668-400C-B5BF-C7FB33D766E9}"/>
            </c:ext>
          </c:extLst>
        </c:ser>
        <c:dLbls>
          <c:showLegendKey val="0"/>
          <c:showVal val="0"/>
          <c:showCatName val="0"/>
          <c:showSerName val="0"/>
          <c:showPercent val="0"/>
          <c:showBubbleSize val="0"/>
        </c:dLbls>
        <c:gapWidth val="219"/>
        <c:axId val="1165914768"/>
        <c:axId val="1165917648"/>
      </c:barChart>
      <c:catAx>
        <c:axId val="944024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4017944"/>
        <c:crosses val="autoZero"/>
        <c:auto val="1"/>
        <c:lblAlgn val="ctr"/>
        <c:lblOffset val="100"/>
        <c:noMultiLvlLbl val="0"/>
      </c:catAx>
      <c:valAx>
        <c:axId val="944017944"/>
        <c:scaling>
          <c:orientation val="minMax"/>
          <c:max val="500"/>
          <c:min val="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Phases (thousands)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4024424"/>
        <c:crosses val="autoZero"/>
        <c:crossBetween val="between"/>
        <c:majorUnit val="100"/>
      </c:valAx>
      <c:valAx>
        <c:axId val="1165917648"/>
        <c:scaling>
          <c:orientation val="minMax"/>
          <c:max val="500"/>
          <c:min val="0"/>
        </c:scaling>
        <c:delete val="1"/>
        <c:axPos val="r"/>
        <c:numFmt formatCode="_-* #,##0_-;\-* #,##0_-;_-* &quot;-&quot;??_-;_-@_-" sourceLinked="1"/>
        <c:majorTickMark val="out"/>
        <c:minorTickMark val="none"/>
        <c:tickLblPos val="nextTo"/>
        <c:crossAx val="1165914768"/>
        <c:crosses val="max"/>
        <c:crossBetween val="between"/>
        <c:majorUnit val="100"/>
      </c:valAx>
      <c:catAx>
        <c:axId val="1165914768"/>
        <c:scaling>
          <c:orientation val="minMax"/>
        </c:scaling>
        <c:delete val="1"/>
        <c:axPos val="b"/>
        <c:numFmt formatCode="General" sourceLinked="1"/>
        <c:majorTickMark val="out"/>
        <c:minorTickMark val="none"/>
        <c:tickLblPos val="nextTo"/>
        <c:crossAx val="11659176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'CMH Graphs'!$G$2</c:f>
              <c:strCache>
                <c:ptCount val="1"/>
                <c:pt idx="0">
                  <c:v>2020-21</c:v>
                </c:pt>
              </c:strCache>
            </c:strRef>
          </c:tx>
          <c:spPr>
            <a:solidFill>
              <a:srgbClr val="246164"/>
            </a:solidFill>
            <a:ln>
              <a:noFill/>
            </a:ln>
            <a:effectLst/>
          </c:spPr>
          <c:invertIfNegative val="0"/>
          <c:cat>
            <c:strRef>
              <c:f>'CMH Graphs'!$F$36:$F$43</c:f>
              <c:strCache>
                <c:ptCount val="8"/>
                <c:pt idx="0">
                  <c:v>NSW</c:v>
                </c:pt>
                <c:pt idx="1">
                  <c:v>Vic</c:v>
                </c:pt>
                <c:pt idx="2">
                  <c:v>Qld</c:v>
                </c:pt>
                <c:pt idx="3">
                  <c:v>SA</c:v>
                </c:pt>
                <c:pt idx="4">
                  <c:v>WA</c:v>
                </c:pt>
                <c:pt idx="5">
                  <c:v>Tas</c:v>
                </c:pt>
                <c:pt idx="6">
                  <c:v>NT</c:v>
                </c:pt>
                <c:pt idx="7">
                  <c:v>ACT</c:v>
                </c:pt>
              </c:strCache>
            </c:strRef>
          </c:cat>
          <c:val>
            <c:numRef>
              <c:f>'CMH Graphs'!$G$36:$G$43</c:f>
              <c:numCache>
                <c:formatCode>_-"$"* #,##0_-;\-"$"* #,##0_-;_-"$"* "-"??_-;_-@_-</c:formatCode>
                <c:ptCount val="8"/>
                <c:pt idx="0">
                  <c:v>610.64213590999998</c:v>
                </c:pt>
                <c:pt idx="1">
                  <c:v>269.56044393000002</c:v>
                </c:pt>
                <c:pt idx="2">
                  <c:v>283.46005210000004</c:v>
                </c:pt>
                <c:pt idx="3">
                  <c:v>0</c:v>
                </c:pt>
                <c:pt idx="4">
                  <c:v>0</c:v>
                </c:pt>
                <c:pt idx="5">
                  <c:v>5.7206166242999998</c:v>
                </c:pt>
                <c:pt idx="6">
                  <c:v>0</c:v>
                </c:pt>
                <c:pt idx="7">
                  <c:v>0</c:v>
                </c:pt>
              </c:numCache>
            </c:numRef>
          </c:val>
          <c:extLst>
            <c:ext xmlns:c16="http://schemas.microsoft.com/office/drawing/2014/chart" uri="{C3380CC4-5D6E-409C-BE32-E72D297353CC}">
              <c16:uniqueId val="{00000000-C981-431B-B2C1-A415214FB2EB}"/>
            </c:ext>
          </c:extLst>
        </c:ser>
        <c:ser>
          <c:idx val="1"/>
          <c:order val="1"/>
          <c:tx>
            <c:strRef>
              <c:f>'CMH Graphs'!$H$2</c:f>
              <c:strCache>
                <c:ptCount val="1"/>
                <c:pt idx="0">
                  <c:v>2021-22</c:v>
                </c:pt>
              </c:strCache>
            </c:strRef>
          </c:tx>
          <c:spPr>
            <a:solidFill>
              <a:srgbClr val="5FB2BE"/>
            </a:solidFill>
            <a:ln>
              <a:noFill/>
            </a:ln>
            <a:effectLst/>
          </c:spPr>
          <c:invertIfNegative val="0"/>
          <c:cat>
            <c:strRef>
              <c:f>'CMH Graphs'!$F$36:$F$43</c:f>
              <c:strCache>
                <c:ptCount val="8"/>
                <c:pt idx="0">
                  <c:v>NSW</c:v>
                </c:pt>
                <c:pt idx="1">
                  <c:v>Vic</c:v>
                </c:pt>
                <c:pt idx="2">
                  <c:v>Qld</c:v>
                </c:pt>
                <c:pt idx="3">
                  <c:v>SA</c:v>
                </c:pt>
                <c:pt idx="4">
                  <c:v>WA</c:v>
                </c:pt>
                <c:pt idx="5">
                  <c:v>Tas</c:v>
                </c:pt>
                <c:pt idx="6">
                  <c:v>NT</c:v>
                </c:pt>
                <c:pt idx="7">
                  <c:v>ACT</c:v>
                </c:pt>
              </c:strCache>
            </c:strRef>
          </c:cat>
          <c:val>
            <c:numRef>
              <c:f>'CMH Graphs'!$H$36:$H$43</c:f>
              <c:numCache>
                <c:formatCode>_-"$"* #,##0_-;\-"$"* #,##0_-;_-"$"* "-"??_-;_-@_-</c:formatCode>
                <c:ptCount val="8"/>
                <c:pt idx="0">
                  <c:v>705.92897947000006</c:v>
                </c:pt>
                <c:pt idx="1">
                  <c:v>532.99508953999998</c:v>
                </c:pt>
                <c:pt idx="2">
                  <c:v>271.77848625999997</c:v>
                </c:pt>
                <c:pt idx="3">
                  <c:v>0</c:v>
                </c:pt>
                <c:pt idx="4">
                  <c:v>0</c:v>
                </c:pt>
                <c:pt idx="5">
                  <c:v>0.15315456835999999</c:v>
                </c:pt>
                <c:pt idx="6">
                  <c:v>0</c:v>
                </c:pt>
                <c:pt idx="7">
                  <c:v>0</c:v>
                </c:pt>
              </c:numCache>
            </c:numRef>
          </c:val>
          <c:extLst>
            <c:ext xmlns:c16="http://schemas.microsoft.com/office/drawing/2014/chart" uri="{C3380CC4-5D6E-409C-BE32-E72D297353CC}">
              <c16:uniqueId val="{00000001-C981-431B-B2C1-A415214FB2EB}"/>
            </c:ext>
          </c:extLst>
        </c:ser>
        <c:ser>
          <c:idx val="2"/>
          <c:order val="2"/>
          <c:tx>
            <c:strRef>
              <c:f>'CMH Graphs'!$I$2</c:f>
              <c:strCache>
                <c:ptCount val="1"/>
                <c:pt idx="0">
                  <c:v>2022-23</c:v>
                </c:pt>
              </c:strCache>
            </c:strRef>
          </c:tx>
          <c:spPr>
            <a:solidFill>
              <a:srgbClr val="C1867C"/>
            </a:solidFill>
            <a:ln>
              <a:noFill/>
            </a:ln>
            <a:effectLst/>
          </c:spPr>
          <c:invertIfNegative val="0"/>
          <c:cat>
            <c:strRef>
              <c:f>'CMH Graphs'!$F$36:$F$43</c:f>
              <c:strCache>
                <c:ptCount val="8"/>
                <c:pt idx="0">
                  <c:v>NSW</c:v>
                </c:pt>
                <c:pt idx="1">
                  <c:v>Vic</c:v>
                </c:pt>
                <c:pt idx="2">
                  <c:v>Qld</c:v>
                </c:pt>
                <c:pt idx="3">
                  <c:v>SA</c:v>
                </c:pt>
                <c:pt idx="4">
                  <c:v>WA</c:v>
                </c:pt>
                <c:pt idx="5">
                  <c:v>Tas</c:v>
                </c:pt>
                <c:pt idx="6">
                  <c:v>NT</c:v>
                </c:pt>
                <c:pt idx="7">
                  <c:v>ACT</c:v>
                </c:pt>
              </c:strCache>
            </c:strRef>
          </c:cat>
          <c:val>
            <c:numRef>
              <c:f>'CMH Graphs'!$I$36:$I$43</c:f>
              <c:numCache>
                <c:formatCode>_-"$"* #,##0_-;\-"$"* #,##0_-;_-"$"* "-"??_-;_-@_-</c:formatCode>
                <c:ptCount val="8"/>
                <c:pt idx="0">
                  <c:v>666.10099400000001</c:v>
                </c:pt>
                <c:pt idx="1">
                  <c:v>667.63914699999998</c:v>
                </c:pt>
                <c:pt idx="2">
                  <c:v>309.85798299999999</c:v>
                </c:pt>
                <c:pt idx="3">
                  <c:v>0</c:v>
                </c:pt>
                <c:pt idx="4">
                  <c:v>0</c:v>
                </c:pt>
                <c:pt idx="5">
                  <c:v>14.371857</c:v>
                </c:pt>
                <c:pt idx="6">
                  <c:v>0</c:v>
                </c:pt>
                <c:pt idx="7">
                  <c:v>0</c:v>
                </c:pt>
              </c:numCache>
            </c:numRef>
          </c:val>
          <c:extLst>
            <c:ext xmlns:c16="http://schemas.microsoft.com/office/drawing/2014/chart" uri="{C3380CC4-5D6E-409C-BE32-E72D297353CC}">
              <c16:uniqueId val="{00000002-C981-431B-B2C1-A415214FB2EB}"/>
            </c:ext>
          </c:extLst>
        </c:ser>
        <c:dLbls>
          <c:showLegendKey val="0"/>
          <c:showVal val="0"/>
          <c:showCatName val="0"/>
          <c:showSerName val="0"/>
          <c:showPercent val="0"/>
          <c:showBubbleSize val="0"/>
        </c:dLbls>
        <c:gapWidth val="219"/>
        <c:axId val="524039312"/>
        <c:axId val="524028512"/>
      </c:barChart>
      <c:scatterChart>
        <c:scatterStyle val="lineMarker"/>
        <c:varyColors val="0"/>
        <c:ser>
          <c:idx val="3"/>
          <c:order val="3"/>
          <c:tx>
            <c:strRef>
              <c:f>'CMH Graphs'!$J$2</c:f>
              <c:strCache>
                <c:ptCount val="1"/>
                <c:pt idx="0">
                  <c:v>% change</c:v>
                </c:pt>
              </c:strCache>
            </c:strRef>
          </c:tx>
          <c:spPr>
            <a:ln w="25400" cap="rnd">
              <a:noFill/>
              <a:round/>
            </a:ln>
            <a:effectLst/>
          </c:spPr>
          <c:marker>
            <c:symbol val="circle"/>
            <c:size val="8"/>
            <c:spPr>
              <a:solidFill>
                <a:srgbClr val="D5D3A5"/>
              </a:solidFill>
              <a:ln w="9525">
                <a:solidFill>
                  <a:srgbClr val="333333"/>
                </a:solidFill>
              </a:ln>
              <a:effectLst/>
            </c:spPr>
          </c:marker>
          <c:xVal>
            <c:strRef>
              <c:f>'CMH Graphs'!$F$36:$F$43</c:f>
              <c:strCache>
                <c:ptCount val="8"/>
                <c:pt idx="0">
                  <c:v>NSW</c:v>
                </c:pt>
                <c:pt idx="1">
                  <c:v>Vic</c:v>
                </c:pt>
                <c:pt idx="2">
                  <c:v>Qld</c:v>
                </c:pt>
                <c:pt idx="3">
                  <c:v>SA</c:v>
                </c:pt>
                <c:pt idx="4">
                  <c:v>WA</c:v>
                </c:pt>
                <c:pt idx="5">
                  <c:v>Tas</c:v>
                </c:pt>
                <c:pt idx="6">
                  <c:v>NT</c:v>
                </c:pt>
                <c:pt idx="7">
                  <c:v>ACT</c:v>
                </c:pt>
              </c:strCache>
            </c:strRef>
          </c:xVal>
          <c:yVal>
            <c:numRef>
              <c:f>'CMH Graphs'!$J$36:$J$43</c:f>
              <c:numCache>
                <c:formatCode>0%</c:formatCode>
                <c:ptCount val="8"/>
                <c:pt idx="0">
                  <c:v>-5.6419252684458791E-2</c:v>
                </c:pt>
                <c:pt idx="1">
                  <c:v>0.2526178197555331</c:v>
                </c:pt>
                <c:pt idx="2">
                  <c:v>0.14011225562412921</c:v>
                </c:pt>
                <c:pt idx="5">
                  <c:v>92.838905061049161</c:v>
                </c:pt>
              </c:numCache>
            </c:numRef>
          </c:yVal>
          <c:smooth val="0"/>
          <c:extLst>
            <c:ext xmlns:c16="http://schemas.microsoft.com/office/drawing/2014/chart" uri="{C3380CC4-5D6E-409C-BE32-E72D297353CC}">
              <c16:uniqueId val="{00000003-C981-431B-B2C1-A415214FB2EB}"/>
            </c:ext>
          </c:extLst>
        </c:ser>
        <c:dLbls>
          <c:showLegendKey val="0"/>
          <c:showVal val="0"/>
          <c:showCatName val="0"/>
          <c:showSerName val="0"/>
          <c:showPercent val="0"/>
          <c:showBubbleSize val="0"/>
        </c:dLbls>
        <c:axId val="1038804072"/>
        <c:axId val="1038797952"/>
      </c:scatterChart>
      <c:catAx>
        <c:axId val="52403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4028512"/>
        <c:crosses val="autoZero"/>
        <c:auto val="1"/>
        <c:lblAlgn val="ctr"/>
        <c:lblOffset val="100"/>
        <c:noMultiLvlLbl val="0"/>
      </c:catAx>
      <c:valAx>
        <c:axId val="524028512"/>
        <c:scaling>
          <c:orientation val="minMax"/>
        </c:scaling>
        <c:delete val="0"/>
        <c:axPos val="l"/>
        <c:majorGridlines>
          <c:spPr>
            <a:ln w="9525" cap="flat" cmpd="sng" algn="ctr">
              <a:solidFill>
                <a:schemeClr val="accent6">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Phase cost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4039312"/>
        <c:crosses val="autoZero"/>
        <c:crossBetween val="between"/>
        <c:majorUnit val="200"/>
      </c:valAx>
      <c:valAx>
        <c:axId val="1038797952"/>
        <c:scaling>
          <c:orientation val="minMax"/>
          <c:max val="0.30000000000000004"/>
          <c:min val="-0.1"/>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1000" b="0" i="0" u="none" strike="noStrike" kern="1200" baseline="0">
                    <a:solidFill>
                      <a:sysClr val="windowText" lastClr="000000"/>
                    </a:solidFill>
                    <a:latin typeface="Arial" panose="020B0604020202020204" pitchFamily="34" charset="0"/>
                    <a:cs typeface="Arial" panose="020B0604020202020204" pitchFamily="34" charset="0"/>
                  </a:rPr>
                  <a:t>Change from 2021-22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38804072"/>
        <c:crosses val="max"/>
        <c:crossBetween val="midCat"/>
        <c:majorUnit val="0.1"/>
      </c:valAx>
      <c:valAx>
        <c:axId val="1038804072"/>
        <c:scaling>
          <c:orientation val="minMax"/>
        </c:scaling>
        <c:delete val="1"/>
        <c:axPos val="b"/>
        <c:numFmt formatCode="General" sourceLinked="1"/>
        <c:majorTickMark val="out"/>
        <c:minorTickMark val="none"/>
        <c:tickLblPos val="nextTo"/>
        <c:crossAx val="10387979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'CMH Graphs'!$G$2</c:f>
              <c:strCache>
                <c:ptCount val="1"/>
                <c:pt idx="0">
                  <c:v>2020-21</c:v>
                </c:pt>
              </c:strCache>
            </c:strRef>
          </c:tx>
          <c:spPr>
            <a:solidFill>
              <a:srgbClr val="246164"/>
            </a:solidFill>
            <a:ln>
              <a:noFill/>
            </a:ln>
            <a:effectLst/>
          </c:spPr>
          <c:invertIfNegative val="0"/>
          <c:cat>
            <c:strRef>
              <c:f>'CMH Graphs'!$F$58:$F$66</c:f>
              <c:strCache>
                <c:ptCount val="9"/>
                <c:pt idx="0">
                  <c:v>NSW</c:v>
                </c:pt>
                <c:pt idx="1">
                  <c:v>Vic</c:v>
                </c:pt>
                <c:pt idx="2">
                  <c:v>Qld</c:v>
                </c:pt>
                <c:pt idx="3">
                  <c:v>SA</c:v>
                </c:pt>
                <c:pt idx="4">
                  <c:v>WA</c:v>
                </c:pt>
                <c:pt idx="5">
                  <c:v>Tas</c:v>
                </c:pt>
                <c:pt idx="6">
                  <c:v>NT</c:v>
                </c:pt>
                <c:pt idx="7">
                  <c:v>ACT</c:v>
                </c:pt>
                <c:pt idx="8">
                  <c:v> National </c:v>
                </c:pt>
              </c:strCache>
            </c:strRef>
          </c:cat>
          <c:val>
            <c:numRef>
              <c:f>'CMH Graphs'!$G$58:$G$66</c:f>
              <c:numCache>
                <c:formatCode>_-"$"* #,##0_-;\-"$"* #,##0_-;_-"$"* "-"??_-;_-@_-</c:formatCode>
                <c:ptCount val="9"/>
                <c:pt idx="0">
                  <c:v>3050.3738318863457</c:v>
                </c:pt>
                <c:pt idx="1">
                  <c:v>2249.317378276216</c:v>
                </c:pt>
                <c:pt idx="2">
                  <c:v>3419.1360139438389</c:v>
                </c:pt>
                <c:pt idx="3">
                  <c:v>0</c:v>
                </c:pt>
                <c:pt idx="4">
                  <c:v>0</c:v>
                </c:pt>
                <c:pt idx="5">
                  <c:v>1983.5702580790569</c:v>
                </c:pt>
                <c:pt idx="6">
                  <c:v>0</c:v>
                </c:pt>
                <c:pt idx="7">
                  <c:v>0</c:v>
                </c:pt>
                <c:pt idx="8">
                  <c:v>2881.5673362598723</c:v>
                </c:pt>
              </c:numCache>
            </c:numRef>
          </c:val>
          <c:extLst>
            <c:ext xmlns:c16="http://schemas.microsoft.com/office/drawing/2014/chart" uri="{C3380CC4-5D6E-409C-BE32-E72D297353CC}">
              <c16:uniqueId val="{00000000-58FC-4E29-8F8B-064DACF8159B}"/>
            </c:ext>
          </c:extLst>
        </c:ser>
        <c:ser>
          <c:idx val="1"/>
          <c:order val="1"/>
          <c:tx>
            <c:strRef>
              <c:f>'CMH Graphs'!$H$2</c:f>
              <c:strCache>
                <c:ptCount val="1"/>
                <c:pt idx="0">
                  <c:v>2021-22</c:v>
                </c:pt>
              </c:strCache>
            </c:strRef>
          </c:tx>
          <c:spPr>
            <a:solidFill>
              <a:srgbClr val="5FB2BE"/>
            </a:solidFill>
            <a:ln>
              <a:noFill/>
            </a:ln>
            <a:effectLst/>
          </c:spPr>
          <c:invertIfNegative val="0"/>
          <c:cat>
            <c:strRef>
              <c:f>'CMH Graphs'!$F$58:$F$66</c:f>
              <c:strCache>
                <c:ptCount val="9"/>
                <c:pt idx="0">
                  <c:v>NSW</c:v>
                </c:pt>
                <c:pt idx="1">
                  <c:v>Vic</c:v>
                </c:pt>
                <c:pt idx="2">
                  <c:v>Qld</c:v>
                </c:pt>
                <c:pt idx="3">
                  <c:v>SA</c:v>
                </c:pt>
                <c:pt idx="4">
                  <c:v>WA</c:v>
                </c:pt>
                <c:pt idx="5">
                  <c:v>Tas</c:v>
                </c:pt>
                <c:pt idx="6">
                  <c:v>NT</c:v>
                </c:pt>
                <c:pt idx="7">
                  <c:v>ACT</c:v>
                </c:pt>
                <c:pt idx="8">
                  <c:v> National </c:v>
                </c:pt>
              </c:strCache>
            </c:strRef>
          </c:cat>
          <c:val>
            <c:numRef>
              <c:f>'CMH Graphs'!$H$58:$H$66</c:f>
              <c:numCache>
                <c:formatCode>_-"$"* #,##0_-;\-"$"* #,##0_-;_-"$"* "-"??_-;_-@_-</c:formatCode>
                <c:ptCount val="9"/>
                <c:pt idx="0">
                  <c:v>3663.9658867585695</c:v>
                </c:pt>
                <c:pt idx="1">
                  <c:v>2379.4848548188361</c:v>
                </c:pt>
                <c:pt idx="2">
                  <c:v>2010.4784419408052</c:v>
                </c:pt>
                <c:pt idx="3">
                  <c:v>0</c:v>
                </c:pt>
                <c:pt idx="4">
                  <c:v>0</c:v>
                </c:pt>
                <c:pt idx="5">
                  <c:v>38.452063359276927</c:v>
                </c:pt>
                <c:pt idx="6">
                  <c:v>0</c:v>
                </c:pt>
                <c:pt idx="7">
                  <c:v>0</c:v>
                </c:pt>
                <c:pt idx="8">
                  <c:v>2718.2072688643971</c:v>
                </c:pt>
              </c:numCache>
            </c:numRef>
          </c:val>
          <c:extLst>
            <c:ext xmlns:c16="http://schemas.microsoft.com/office/drawing/2014/chart" uri="{C3380CC4-5D6E-409C-BE32-E72D297353CC}">
              <c16:uniqueId val="{00000001-58FC-4E29-8F8B-064DACF8159B}"/>
            </c:ext>
          </c:extLst>
        </c:ser>
        <c:ser>
          <c:idx val="2"/>
          <c:order val="2"/>
          <c:tx>
            <c:strRef>
              <c:f>'CMH Graphs'!$I$2</c:f>
              <c:strCache>
                <c:ptCount val="1"/>
                <c:pt idx="0">
                  <c:v>2022-23</c:v>
                </c:pt>
              </c:strCache>
            </c:strRef>
          </c:tx>
          <c:spPr>
            <a:solidFill>
              <a:srgbClr val="C1867C"/>
            </a:solidFill>
            <a:ln>
              <a:noFill/>
            </a:ln>
            <a:effectLst/>
          </c:spPr>
          <c:invertIfNegative val="0"/>
          <c:cat>
            <c:strRef>
              <c:f>'CMH Graphs'!$F$58:$F$66</c:f>
              <c:strCache>
                <c:ptCount val="9"/>
                <c:pt idx="0">
                  <c:v>NSW</c:v>
                </c:pt>
                <c:pt idx="1">
                  <c:v>Vic</c:v>
                </c:pt>
                <c:pt idx="2">
                  <c:v>Qld</c:v>
                </c:pt>
                <c:pt idx="3">
                  <c:v>SA</c:v>
                </c:pt>
                <c:pt idx="4">
                  <c:v>WA</c:v>
                </c:pt>
                <c:pt idx="5">
                  <c:v>Tas</c:v>
                </c:pt>
                <c:pt idx="6">
                  <c:v>NT</c:v>
                </c:pt>
                <c:pt idx="7">
                  <c:v>ACT</c:v>
                </c:pt>
                <c:pt idx="8">
                  <c:v> National </c:v>
                </c:pt>
              </c:strCache>
            </c:strRef>
          </c:cat>
          <c:val>
            <c:numRef>
              <c:f>'CMH Graphs'!$I$58:$I$66</c:f>
              <c:numCache>
                <c:formatCode>_-"$"* #,##0_-;\-"$"* #,##0_-;_-"$"* "-"??_-;_-@_-</c:formatCode>
                <c:ptCount val="9"/>
                <c:pt idx="0">
                  <c:v>3606.413645986172</c:v>
                </c:pt>
                <c:pt idx="1">
                  <c:v>1393.8943387323739</c:v>
                </c:pt>
                <c:pt idx="2">
                  <c:v>4982.8412478893624</c:v>
                </c:pt>
                <c:pt idx="3">
                  <c:v>0</c:v>
                </c:pt>
                <c:pt idx="4">
                  <c:v>0</c:v>
                </c:pt>
                <c:pt idx="5">
                  <c:v>4010.0047433035716</c:v>
                </c:pt>
                <c:pt idx="6">
                  <c:v>0</c:v>
                </c:pt>
                <c:pt idx="7">
                  <c:v>0</c:v>
                </c:pt>
                <c:pt idx="8">
                  <c:v>2272.929144469334</c:v>
                </c:pt>
              </c:numCache>
            </c:numRef>
          </c:val>
          <c:extLst>
            <c:ext xmlns:c16="http://schemas.microsoft.com/office/drawing/2014/chart" uri="{C3380CC4-5D6E-409C-BE32-E72D297353CC}">
              <c16:uniqueId val="{00000002-58FC-4E29-8F8B-064DACF8159B}"/>
            </c:ext>
          </c:extLst>
        </c:ser>
        <c:dLbls>
          <c:showLegendKey val="0"/>
          <c:showVal val="0"/>
          <c:showCatName val="0"/>
          <c:showSerName val="0"/>
          <c:showPercent val="0"/>
          <c:showBubbleSize val="0"/>
        </c:dLbls>
        <c:gapWidth val="219"/>
        <c:axId val="524039312"/>
        <c:axId val="524028512"/>
      </c:barChart>
      <c:scatterChart>
        <c:scatterStyle val="lineMarker"/>
        <c:varyColors val="0"/>
        <c:ser>
          <c:idx val="3"/>
          <c:order val="3"/>
          <c:tx>
            <c:strRef>
              <c:f>'CMH Graphs'!$J$2</c:f>
              <c:strCache>
                <c:ptCount val="1"/>
                <c:pt idx="0">
                  <c:v>% change</c:v>
                </c:pt>
              </c:strCache>
            </c:strRef>
          </c:tx>
          <c:spPr>
            <a:ln w="25400" cap="rnd">
              <a:noFill/>
              <a:round/>
            </a:ln>
            <a:effectLst/>
          </c:spPr>
          <c:marker>
            <c:symbol val="circle"/>
            <c:size val="8"/>
            <c:spPr>
              <a:solidFill>
                <a:srgbClr val="D5D3A5"/>
              </a:solidFill>
              <a:ln w="9525">
                <a:solidFill>
                  <a:srgbClr val="333333"/>
                </a:solidFill>
              </a:ln>
              <a:effectLst/>
            </c:spPr>
          </c:marker>
          <c:xVal>
            <c:strRef>
              <c:f>'CMH Graphs'!$F$58:$F$66</c:f>
              <c:strCache>
                <c:ptCount val="9"/>
                <c:pt idx="0">
                  <c:v>NSW</c:v>
                </c:pt>
                <c:pt idx="1">
                  <c:v>Vic</c:v>
                </c:pt>
                <c:pt idx="2">
                  <c:v>Qld</c:v>
                </c:pt>
                <c:pt idx="3">
                  <c:v>SA</c:v>
                </c:pt>
                <c:pt idx="4">
                  <c:v>WA</c:v>
                </c:pt>
                <c:pt idx="5">
                  <c:v>Tas</c:v>
                </c:pt>
                <c:pt idx="6">
                  <c:v>NT</c:v>
                </c:pt>
                <c:pt idx="7">
                  <c:v>ACT</c:v>
                </c:pt>
                <c:pt idx="8">
                  <c:v> National </c:v>
                </c:pt>
              </c:strCache>
            </c:strRef>
          </c:xVal>
          <c:yVal>
            <c:numRef>
              <c:f>'CMH Graphs'!$J$58:$J$66</c:f>
              <c:numCache>
                <c:formatCode>0%</c:formatCode>
                <c:ptCount val="9"/>
                <c:pt idx="0">
                  <c:v>-1.5707635537871467E-2</c:v>
                </c:pt>
                <c:pt idx="1">
                  <c:v>-0.41420331551616502</c:v>
                </c:pt>
                <c:pt idx="2">
                  <c:v>1.4784355524246267</c:v>
                </c:pt>
                <c:pt idx="8">
                  <c:v>-0.16381316079001207</c:v>
                </c:pt>
              </c:numCache>
            </c:numRef>
          </c:yVal>
          <c:smooth val="0"/>
          <c:extLst>
            <c:ext xmlns:c16="http://schemas.microsoft.com/office/drawing/2014/chart" uri="{C3380CC4-5D6E-409C-BE32-E72D297353CC}">
              <c16:uniqueId val="{00000003-58FC-4E29-8F8B-064DACF8159B}"/>
            </c:ext>
          </c:extLst>
        </c:ser>
        <c:dLbls>
          <c:showLegendKey val="0"/>
          <c:showVal val="0"/>
          <c:showCatName val="0"/>
          <c:showSerName val="0"/>
          <c:showPercent val="0"/>
          <c:showBubbleSize val="0"/>
        </c:dLbls>
        <c:axId val="1038804072"/>
        <c:axId val="1038797952"/>
      </c:scatterChart>
      <c:catAx>
        <c:axId val="52403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4028512"/>
        <c:crosses val="autoZero"/>
        <c:auto val="1"/>
        <c:lblAlgn val="ctr"/>
        <c:lblOffset val="100"/>
        <c:noMultiLvlLbl val="0"/>
      </c:catAx>
      <c:valAx>
        <c:axId val="524028512"/>
        <c:scaling>
          <c:orientation val="minMax"/>
          <c:max val="5000"/>
        </c:scaling>
        <c:delete val="0"/>
        <c:axPos val="l"/>
        <c:majorGridlines>
          <c:spPr>
            <a:ln w="9525" cap="flat" cmpd="sng" algn="ctr">
              <a:solidFill>
                <a:schemeClr val="accent6">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Average cost per phase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4039312"/>
        <c:crosses val="autoZero"/>
        <c:crossBetween val="between"/>
        <c:majorUnit val="1000"/>
      </c:valAx>
      <c:valAx>
        <c:axId val="1038797952"/>
        <c:scaling>
          <c:orientation val="minMax"/>
          <c:max val="1.5"/>
          <c:min val="-0.5"/>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1000" b="0" i="0" u="none" strike="noStrike" kern="1200" baseline="0">
                    <a:solidFill>
                      <a:sysClr val="windowText" lastClr="000000"/>
                    </a:solidFill>
                    <a:latin typeface="Arial" panose="020B0604020202020204" pitchFamily="34" charset="0"/>
                    <a:cs typeface="Arial" panose="020B0604020202020204" pitchFamily="34" charset="0"/>
                  </a:rPr>
                  <a:t>Change from 2021-22</a:t>
                </a:r>
              </a:p>
            </c:rich>
          </c:tx>
          <c:layout>
            <c:manualLayout>
              <c:xMode val="edge"/>
              <c:yMode val="edge"/>
              <c:x val="0.94972296326698136"/>
              <c:y val="0.168217070663050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38804072"/>
        <c:crosses val="max"/>
        <c:crossBetween val="midCat"/>
        <c:majorUnit val="0.4"/>
      </c:valAx>
      <c:valAx>
        <c:axId val="1038804072"/>
        <c:scaling>
          <c:orientation val="minMax"/>
        </c:scaling>
        <c:delete val="1"/>
        <c:axPos val="b"/>
        <c:numFmt formatCode="General" sourceLinked="1"/>
        <c:majorTickMark val="out"/>
        <c:minorTickMark val="none"/>
        <c:tickLblPos val="nextTo"/>
        <c:crossAx val="10387979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'CMH PH'!$H$22</c:f>
              <c:strCache>
                <c:ptCount val="1"/>
                <c:pt idx="0">
                  <c:v> 2020-21 </c:v>
                </c:pt>
              </c:strCache>
            </c:strRef>
          </c:tx>
          <c:spPr>
            <a:solidFill>
              <a:srgbClr val="246164"/>
            </a:solidFill>
            <a:ln>
              <a:noFill/>
            </a:ln>
            <a:effectLst/>
          </c:spPr>
          <c:invertIfNegative val="0"/>
          <c:cat>
            <c:strRef>
              <c:f>'CMH PH'!$G$23:$G$32</c:f>
              <c:strCache>
                <c:ptCount val="10"/>
                <c:pt idx="0">
                  <c:v> Nursing </c:v>
                </c:pt>
                <c:pt idx="1">
                  <c:v> Allied Health </c:v>
                </c:pt>
                <c:pt idx="2">
                  <c:v> Medical </c:v>
                </c:pt>
                <c:pt idx="3">
                  <c:v> Non Clinical </c:v>
                </c:pt>
                <c:pt idx="4">
                  <c:v> On-costs </c:v>
                </c:pt>
                <c:pt idx="5">
                  <c:v> Clinical Supplies </c:v>
                </c:pt>
                <c:pt idx="6">
                  <c:v> Depreciation </c:v>
                </c:pt>
                <c:pt idx="7">
                  <c:v> Hotel </c:v>
                </c:pt>
                <c:pt idx="8">
                  <c:v> Pathology </c:v>
                </c:pt>
                <c:pt idx="9">
                  <c:v> Pharmacy </c:v>
                </c:pt>
              </c:strCache>
            </c:strRef>
          </c:cat>
          <c:val>
            <c:numRef>
              <c:f>'CMH PH'!$H$23:$H$32</c:f>
              <c:numCache>
                <c:formatCode>_-"$"* #,##0_-;\-"$"* #,##0_-;_-"$"* "-"??_-;_-@_-</c:formatCode>
                <c:ptCount val="10"/>
                <c:pt idx="0">
                  <c:v>695.84308043999999</c:v>
                </c:pt>
                <c:pt idx="1">
                  <c:v>659.09591816</c:v>
                </c:pt>
                <c:pt idx="2">
                  <c:v>399.11786524000001</c:v>
                </c:pt>
                <c:pt idx="3">
                  <c:v>371.76283503000002</c:v>
                </c:pt>
                <c:pt idx="4">
                  <c:v>281.19614933000003</c:v>
                </c:pt>
                <c:pt idx="5">
                  <c:v>310.10487754000002</c:v>
                </c:pt>
                <c:pt idx="6">
                  <c:v>89.800935417000005</c:v>
                </c:pt>
                <c:pt idx="7">
                  <c:v>29.839280249000002</c:v>
                </c:pt>
                <c:pt idx="8">
                  <c:v>27.109185389</c:v>
                </c:pt>
                <c:pt idx="9">
                  <c:v>11.023265167</c:v>
                </c:pt>
              </c:numCache>
            </c:numRef>
          </c:val>
          <c:extLst>
            <c:ext xmlns:c16="http://schemas.microsoft.com/office/drawing/2014/chart" uri="{C3380CC4-5D6E-409C-BE32-E72D297353CC}">
              <c16:uniqueId val="{00000000-961B-432E-936A-A2A1579279A7}"/>
            </c:ext>
          </c:extLst>
        </c:ser>
        <c:ser>
          <c:idx val="1"/>
          <c:order val="1"/>
          <c:tx>
            <c:strRef>
              <c:f>'CMH PH'!$I$22</c:f>
              <c:strCache>
                <c:ptCount val="1"/>
                <c:pt idx="0">
                  <c:v> 2021-22 </c:v>
                </c:pt>
              </c:strCache>
            </c:strRef>
          </c:tx>
          <c:spPr>
            <a:solidFill>
              <a:srgbClr val="5FB2BE"/>
            </a:solidFill>
            <a:ln>
              <a:noFill/>
            </a:ln>
            <a:effectLst/>
          </c:spPr>
          <c:invertIfNegative val="0"/>
          <c:cat>
            <c:strRef>
              <c:f>'CMH PH'!$G$23:$G$32</c:f>
              <c:strCache>
                <c:ptCount val="10"/>
                <c:pt idx="0">
                  <c:v> Nursing </c:v>
                </c:pt>
                <c:pt idx="1">
                  <c:v> Allied Health </c:v>
                </c:pt>
                <c:pt idx="2">
                  <c:v> Medical </c:v>
                </c:pt>
                <c:pt idx="3">
                  <c:v> Non Clinical </c:v>
                </c:pt>
                <c:pt idx="4">
                  <c:v> On-costs </c:v>
                </c:pt>
                <c:pt idx="5">
                  <c:v> Clinical Supplies </c:v>
                </c:pt>
                <c:pt idx="6">
                  <c:v> Depreciation </c:v>
                </c:pt>
                <c:pt idx="7">
                  <c:v> Hotel </c:v>
                </c:pt>
                <c:pt idx="8">
                  <c:v> Pathology </c:v>
                </c:pt>
                <c:pt idx="9">
                  <c:v> Pharmacy </c:v>
                </c:pt>
              </c:strCache>
            </c:strRef>
          </c:cat>
          <c:val>
            <c:numRef>
              <c:f>'CMH PH'!$I$23:$I$32</c:f>
              <c:numCache>
                <c:formatCode>_-"$"* #,##0_-;\-"$"* #,##0_-;_-"$"* "-"??_-;_-@_-</c:formatCode>
                <c:ptCount val="10"/>
                <c:pt idx="0">
                  <c:v>676.63931491999995</c:v>
                </c:pt>
                <c:pt idx="1">
                  <c:v>565.09048887999995</c:v>
                </c:pt>
                <c:pt idx="2">
                  <c:v>403.83318744000002</c:v>
                </c:pt>
                <c:pt idx="3">
                  <c:v>361.40995665999998</c:v>
                </c:pt>
                <c:pt idx="4">
                  <c:v>304.11205393</c:v>
                </c:pt>
                <c:pt idx="5">
                  <c:v>288.61004750000001</c:v>
                </c:pt>
                <c:pt idx="6">
                  <c:v>69.765873712000001</c:v>
                </c:pt>
                <c:pt idx="7">
                  <c:v>27.914180446</c:v>
                </c:pt>
                <c:pt idx="8">
                  <c:v>10.156894733</c:v>
                </c:pt>
                <c:pt idx="9">
                  <c:v>7.7398614016999998</c:v>
                </c:pt>
              </c:numCache>
            </c:numRef>
          </c:val>
          <c:extLst>
            <c:ext xmlns:c16="http://schemas.microsoft.com/office/drawing/2014/chart" uri="{C3380CC4-5D6E-409C-BE32-E72D297353CC}">
              <c16:uniqueId val="{00000001-961B-432E-936A-A2A1579279A7}"/>
            </c:ext>
          </c:extLst>
        </c:ser>
        <c:ser>
          <c:idx val="2"/>
          <c:order val="2"/>
          <c:tx>
            <c:strRef>
              <c:f>'CMH PH'!$J$22</c:f>
              <c:strCache>
                <c:ptCount val="1"/>
                <c:pt idx="0">
                  <c:v> 2022-23 </c:v>
                </c:pt>
              </c:strCache>
            </c:strRef>
          </c:tx>
          <c:spPr>
            <a:solidFill>
              <a:srgbClr val="C1867C"/>
            </a:solidFill>
            <a:ln>
              <a:noFill/>
            </a:ln>
            <a:effectLst/>
          </c:spPr>
          <c:invertIfNegative val="0"/>
          <c:cat>
            <c:strRef>
              <c:f>'CMH PH'!$G$23:$G$32</c:f>
              <c:strCache>
                <c:ptCount val="10"/>
                <c:pt idx="0">
                  <c:v> Nursing </c:v>
                </c:pt>
                <c:pt idx="1">
                  <c:v> Allied Health </c:v>
                </c:pt>
                <c:pt idx="2">
                  <c:v> Medical </c:v>
                </c:pt>
                <c:pt idx="3">
                  <c:v> Non Clinical </c:v>
                </c:pt>
                <c:pt idx="4">
                  <c:v> On-costs </c:v>
                </c:pt>
                <c:pt idx="5">
                  <c:v> Clinical Supplies </c:v>
                </c:pt>
                <c:pt idx="6">
                  <c:v> Depreciation </c:v>
                </c:pt>
                <c:pt idx="7">
                  <c:v> Hotel </c:v>
                </c:pt>
                <c:pt idx="8">
                  <c:v> Pathology </c:v>
                </c:pt>
                <c:pt idx="9">
                  <c:v> Pharmacy </c:v>
                </c:pt>
              </c:strCache>
            </c:strRef>
          </c:cat>
          <c:val>
            <c:numRef>
              <c:f>'CMH PH'!$J$23:$J$32</c:f>
              <c:numCache>
                <c:formatCode>_-"$"* #,##0_-;\-"$"* #,##0_-;_-"$"* "-"??_-;_-@_-</c:formatCode>
                <c:ptCount val="10"/>
                <c:pt idx="0">
                  <c:v>555.16839482</c:v>
                </c:pt>
                <c:pt idx="1">
                  <c:v>483.28442353999998</c:v>
                </c:pt>
                <c:pt idx="2">
                  <c:v>328.13332186000002</c:v>
                </c:pt>
                <c:pt idx="3">
                  <c:v>302.81180393</c:v>
                </c:pt>
                <c:pt idx="4">
                  <c:v>286.83766371000002</c:v>
                </c:pt>
                <c:pt idx="5">
                  <c:v>208.00861827</c:v>
                </c:pt>
                <c:pt idx="6">
                  <c:v>65.170137187999998</c:v>
                </c:pt>
                <c:pt idx="7">
                  <c:v>23.062480692000001</c:v>
                </c:pt>
                <c:pt idx="8">
                  <c:v>8.2386653775000003</c:v>
                </c:pt>
                <c:pt idx="9">
                  <c:v>6.5205246197999998</c:v>
                </c:pt>
              </c:numCache>
            </c:numRef>
          </c:val>
          <c:extLst>
            <c:ext xmlns:c16="http://schemas.microsoft.com/office/drawing/2014/chart" uri="{C3380CC4-5D6E-409C-BE32-E72D297353CC}">
              <c16:uniqueId val="{00000002-961B-432E-936A-A2A1579279A7}"/>
            </c:ext>
          </c:extLst>
        </c:ser>
        <c:dLbls>
          <c:showLegendKey val="0"/>
          <c:showVal val="0"/>
          <c:showCatName val="0"/>
          <c:showSerName val="0"/>
          <c:showPercent val="0"/>
          <c:showBubbleSize val="0"/>
        </c:dLbls>
        <c:gapWidth val="219"/>
        <c:axId val="974135448"/>
        <c:axId val="974127888"/>
      </c:barChart>
      <c:catAx>
        <c:axId val="97413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27888"/>
        <c:crosses val="autoZero"/>
        <c:auto val="1"/>
        <c:lblAlgn val="ctr"/>
        <c:lblOffset val="100"/>
        <c:noMultiLvlLbl val="0"/>
      </c:catAx>
      <c:valAx>
        <c:axId val="974127888"/>
        <c:scaling>
          <c:orientation val="minMax"/>
          <c:max val="70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Average cost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35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'[D24-25476  NHCDC Public Sector Report 2022-23 - Tables and Figures(2).XLSX]Acute graphs'!$AR$13</c:f>
              <c:strCache>
                <c:ptCount val="1"/>
                <c:pt idx="0">
                  <c:v> 2020-21 </c:v>
                </c:pt>
              </c:strCache>
            </c:strRef>
          </c:tx>
          <c:spPr>
            <a:solidFill>
              <a:srgbClr val="246164"/>
            </a:solidFill>
            <a:ln>
              <a:noFill/>
            </a:ln>
            <a:effectLst/>
          </c:spPr>
          <c:invertIfNegative val="0"/>
          <c:cat>
            <c:strRef>
              <c:f>'[4]Acute graphs'!$AQ$14:$AQ$21</c:f>
              <c:strCache>
                <c:ptCount val="8"/>
                <c:pt idx="0">
                  <c:v> NSW </c:v>
                </c:pt>
                <c:pt idx="1">
                  <c:v> Vic </c:v>
                </c:pt>
                <c:pt idx="2">
                  <c:v> Qld </c:v>
                </c:pt>
                <c:pt idx="3">
                  <c:v> SA </c:v>
                </c:pt>
                <c:pt idx="4">
                  <c:v> WA </c:v>
                </c:pt>
                <c:pt idx="5">
                  <c:v> Tas </c:v>
                </c:pt>
                <c:pt idx="6">
                  <c:v> NT </c:v>
                </c:pt>
                <c:pt idx="7">
                  <c:v> ACT </c:v>
                </c:pt>
              </c:strCache>
            </c:strRef>
          </c:cat>
          <c:val>
            <c:numRef>
              <c:f>'[4]Acute graphs'!$AR$14:$AR$21</c:f>
              <c:numCache>
                <c:formatCode>_-"$"* #,##0_-;\-"$"* #,##0_-;_-"$"* "-"??_-;_-@_-</c:formatCode>
                <c:ptCount val="8"/>
                <c:pt idx="0">
                  <c:v>9370.5881397000012</c:v>
                </c:pt>
                <c:pt idx="1">
                  <c:v>8650.8314187999986</c:v>
                </c:pt>
                <c:pt idx="2">
                  <c:v>7540.2252054999999</c:v>
                </c:pt>
                <c:pt idx="3">
                  <c:v>2424.5897078000003</c:v>
                </c:pt>
                <c:pt idx="4">
                  <c:v>3482.1945559999999</c:v>
                </c:pt>
                <c:pt idx="5">
                  <c:v>889.71773246999999</c:v>
                </c:pt>
                <c:pt idx="6">
                  <c:v>739.06201625000006</c:v>
                </c:pt>
                <c:pt idx="7">
                  <c:v>707.19036060999997</c:v>
                </c:pt>
              </c:numCache>
            </c:numRef>
          </c:val>
          <c:extLst>
            <c:ext xmlns:c16="http://schemas.microsoft.com/office/drawing/2014/chart" uri="{C3380CC4-5D6E-409C-BE32-E72D297353CC}">
              <c16:uniqueId val="{00000000-5094-4FC2-96A8-A4B50380FCD5}"/>
            </c:ext>
          </c:extLst>
        </c:ser>
        <c:ser>
          <c:idx val="1"/>
          <c:order val="1"/>
          <c:tx>
            <c:strRef>
              <c:f>'[D24-25476  NHCDC Public Sector Report 2022-23 - Tables and Figures(2).XLSX]Acute graphs'!$AS$13</c:f>
              <c:strCache>
                <c:ptCount val="1"/>
                <c:pt idx="0">
                  <c:v> 2021-22 </c:v>
                </c:pt>
              </c:strCache>
            </c:strRef>
          </c:tx>
          <c:spPr>
            <a:solidFill>
              <a:srgbClr val="5FB2BE"/>
            </a:solidFill>
            <a:ln>
              <a:noFill/>
            </a:ln>
            <a:effectLst/>
          </c:spPr>
          <c:invertIfNegative val="0"/>
          <c:cat>
            <c:strRef>
              <c:f>'[4]Acute graphs'!$AQ$14:$AQ$21</c:f>
              <c:strCache>
                <c:ptCount val="8"/>
                <c:pt idx="0">
                  <c:v> NSW </c:v>
                </c:pt>
                <c:pt idx="1">
                  <c:v> Vic </c:v>
                </c:pt>
                <c:pt idx="2">
                  <c:v> Qld </c:v>
                </c:pt>
                <c:pt idx="3">
                  <c:v> SA </c:v>
                </c:pt>
                <c:pt idx="4">
                  <c:v> WA </c:v>
                </c:pt>
                <c:pt idx="5">
                  <c:v> Tas </c:v>
                </c:pt>
                <c:pt idx="6">
                  <c:v> NT </c:v>
                </c:pt>
                <c:pt idx="7">
                  <c:v> ACT </c:v>
                </c:pt>
              </c:strCache>
            </c:strRef>
          </c:cat>
          <c:val>
            <c:numRef>
              <c:f>'[4]Acute graphs'!$AS$14:$AS$21</c:f>
              <c:numCache>
                <c:formatCode>_-"$"* #,##0_-;\-"$"* #,##0_-;_-"$"* "-"??_-;_-@_-</c:formatCode>
                <c:ptCount val="8"/>
                <c:pt idx="0">
                  <c:v>9888.1044697999987</c:v>
                </c:pt>
                <c:pt idx="1">
                  <c:v>9376.1415053000001</c:v>
                </c:pt>
                <c:pt idx="2">
                  <c:v>7856.2467198000004</c:v>
                </c:pt>
                <c:pt idx="3">
                  <c:v>2685.7926351999999</c:v>
                </c:pt>
                <c:pt idx="4">
                  <c:v>3737.7977504999999</c:v>
                </c:pt>
                <c:pt idx="5">
                  <c:v>1055.6573722999999</c:v>
                </c:pt>
                <c:pt idx="6">
                  <c:v>754.28743239999994</c:v>
                </c:pt>
                <c:pt idx="7">
                  <c:v>801.84801811</c:v>
                </c:pt>
              </c:numCache>
            </c:numRef>
          </c:val>
          <c:extLst>
            <c:ext xmlns:c16="http://schemas.microsoft.com/office/drawing/2014/chart" uri="{C3380CC4-5D6E-409C-BE32-E72D297353CC}">
              <c16:uniqueId val="{00000001-5094-4FC2-96A8-A4B50380FCD5}"/>
            </c:ext>
          </c:extLst>
        </c:ser>
        <c:ser>
          <c:idx val="2"/>
          <c:order val="2"/>
          <c:tx>
            <c:strRef>
              <c:f>'[D24-25476  NHCDC Public Sector Report 2022-23 - Tables and Figures(2).XLSX]Acute graphs'!$AT$13</c:f>
              <c:strCache>
                <c:ptCount val="1"/>
                <c:pt idx="0">
                  <c:v> 2022-23 </c:v>
                </c:pt>
              </c:strCache>
            </c:strRef>
          </c:tx>
          <c:spPr>
            <a:solidFill>
              <a:srgbClr val="C1867C"/>
            </a:solidFill>
            <a:ln>
              <a:noFill/>
            </a:ln>
            <a:effectLst/>
          </c:spPr>
          <c:invertIfNegative val="0"/>
          <c:cat>
            <c:strRef>
              <c:f>'[4]Acute graphs'!$AQ$14:$AQ$21</c:f>
              <c:strCache>
                <c:ptCount val="8"/>
                <c:pt idx="0">
                  <c:v> NSW </c:v>
                </c:pt>
                <c:pt idx="1">
                  <c:v> Vic </c:v>
                </c:pt>
                <c:pt idx="2">
                  <c:v> Qld </c:v>
                </c:pt>
                <c:pt idx="3">
                  <c:v> SA </c:v>
                </c:pt>
                <c:pt idx="4">
                  <c:v> WA </c:v>
                </c:pt>
                <c:pt idx="5">
                  <c:v> Tas </c:v>
                </c:pt>
                <c:pt idx="6">
                  <c:v> NT </c:v>
                </c:pt>
                <c:pt idx="7">
                  <c:v> ACT </c:v>
                </c:pt>
              </c:strCache>
            </c:strRef>
          </c:cat>
          <c:val>
            <c:numRef>
              <c:f>'[4]Acute graphs'!$AT$14:$AT$21</c:f>
              <c:numCache>
                <c:formatCode>_-"$"* #,##0_-;\-"$"* #,##0_-;_-"$"* "-"??_-;_-@_-</c:formatCode>
                <c:ptCount val="8"/>
                <c:pt idx="0">
                  <c:v>11348.611790000001</c:v>
                </c:pt>
                <c:pt idx="1">
                  <c:v>10814.472943000001</c:v>
                </c:pt>
                <c:pt idx="2">
                  <c:v>8982.6240209999996</c:v>
                </c:pt>
                <c:pt idx="3">
                  <c:v>3123.2862749999999</c:v>
                </c:pt>
                <c:pt idx="4">
                  <c:v>4262.9679770000002</c:v>
                </c:pt>
                <c:pt idx="5">
                  <c:v>1255.3338289999999</c:v>
                </c:pt>
                <c:pt idx="6">
                  <c:v>807.568489</c:v>
                </c:pt>
                <c:pt idx="7">
                  <c:v>0</c:v>
                </c:pt>
              </c:numCache>
            </c:numRef>
          </c:val>
          <c:extLst>
            <c:ext xmlns:c16="http://schemas.microsoft.com/office/drawing/2014/chart" uri="{C3380CC4-5D6E-409C-BE32-E72D297353CC}">
              <c16:uniqueId val="{00000002-5094-4FC2-96A8-A4B50380FCD5}"/>
            </c:ext>
          </c:extLst>
        </c:ser>
        <c:dLbls>
          <c:showLegendKey val="0"/>
          <c:showVal val="0"/>
          <c:showCatName val="0"/>
          <c:showSerName val="0"/>
          <c:showPercent val="0"/>
          <c:showBubbleSize val="0"/>
        </c:dLbls>
        <c:gapWidth val="219"/>
        <c:axId val="558575416"/>
        <c:axId val="558571816"/>
      </c:barChart>
      <c:scatterChart>
        <c:scatterStyle val="lineMarker"/>
        <c:varyColors val="0"/>
        <c:ser>
          <c:idx val="4"/>
          <c:order val="3"/>
          <c:tx>
            <c:strRef>
              <c:f>'[D24-25476  NHCDC Public Sector Report 2022-23 - Tables and Figures(2).XLSX]Acute graphs'!$AV$13</c:f>
              <c:strCache>
                <c:ptCount val="1"/>
                <c:pt idx="0">
                  <c:v>2021-22 to 2022-23</c:v>
                </c:pt>
              </c:strCache>
            </c:strRef>
          </c:tx>
          <c:spPr>
            <a:ln w="25400" cap="rnd">
              <a:noFill/>
              <a:round/>
            </a:ln>
            <a:effectLst/>
          </c:spPr>
          <c:marker>
            <c:symbol val="circle"/>
            <c:size val="8"/>
            <c:spPr>
              <a:solidFill>
                <a:srgbClr val="D5D3A5"/>
              </a:solidFill>
              <a:ln w="6350">
                <a:solidFill>
                  <a:srgbClr val="333333"/>
                </a:solidFill>
              </a:ln>
              <a:effectLst/>
            </c:spPr>
          </c:marker>
          <c:xVal>
            <c:strRef>
              <c:f>'[4]Acute graphs'!$AQ$14:$AQ$21</c:f>
              <c:strCache>
                <c:ptCount val="8"/>
                <c:pt idx="0">
                  <c:v> NSW </c:v>
                </c:pt>
                <c:pt idx="1">
                  <c:v> Vic </c:v>
                </c:pt>
                <c:pt idx="2">
                  <c:v> Qld </c:v>
                </c:pt>
                <c:pt idx="3">
                  <c:v> SA </c:v>
                </c:pt>
                <c:pt idx="4">
                  <c:v> WA </c:v>
                </c:pt>
                <c:pt idx="5">
                  <c:v> Tas </c:v>
                </c:pt>
                <c:pt idx="6">
                  <c:v> NT </c:v>
                </c:pt>
                <c:pt idx="7">
                  <c:v> ACT </c:v>
                </c:pt>
              </c:strCache>
            </c:strRef>
          </c:xVal>
          <c:yVal>
            <c:numRef>
              <c:f>'[4]Acute graphs'!$AV$14:$AV$21</c:f>
              <c:numCache>
                <c:formatCode>0%</c:formatCode>
                <c:ptCount val="8"/>
                <c:pt idx="0">
                  <c:v>0.14770346780423357</c:v>
                </c:pt>
                <c:pt idx="1">
                  <c:v>0.15340334154374302</c:v>
                </c:pt>
                <c:pt idx="2">
                  <c:v>0.14337346335638934</c:v>
                </c:pt>
                <c:pt idx="3">
                  <c:v>0.16289181601967631</c:v>
                </c:pt>
                <c:pt idx="4">
                  <c:v>0.14050257974224237</c:v>
                </c:pt>
                <c:pt idx="5">
                  <c:v>0.18914892458426877</c:v>
                </c:pt>
                <c:pt idx="6">
                  <c:v>7.0637603533270879E-2</c:v>
                </c:pt>
              </c:numCache>
            </c:numRef>
          </c:yVal>
          <c:smooth val="0"/>
          <c:extLst>
            <c:ext xmlns:c16="http://schemas.microsoft.com/office/drawing/2014/chart" uri="{C3380CC4-5D6E-409C-BE32-E72D297353CC}">
              <c16:uniqueId val="{00000004-5094-4FC2-96A8-A4B50380FCD5}"/>
            </c:ext>
          </c:extLst>
        </c:ser>
        <c:dLbls>
          <c:showLegendKey val="0"/>
          <c:showVal val="0"/>
          <c:showCatName val="0"/>
          <c:showSerName val="0"/>
          <c:showPercent val="0"/>
          <c:showBubbleSize val="0"/>
        </c:dLbls>
        <c:axId val="945296096"/>
        <c:axId val="945295736"/>
      </c:scatterChart>
      <c:catAx>
        <c:axId val="55857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8571816"/>
        <c:crosses val="autoZero"/>
        <c:auto val="1"/>
        <c:lblAlgn val="ctr"/>
        <c:lblOffset val="100"/>
        <c:noMultiLvlLbl val="0"/>
      </c:catAx>
      <c:valAx>
        <c:axId val="558571816"/>
        <c:scaling>
          <c:orientation val="minMax"/>
          <c:max val="12000"/>
        </c:scaling>
        <c:delete val="0"/>
        <c:axPos val="l"/>
        <c:majorGridlines>
          <c:spPr>
            <a:ln w="9525" cap="flat" cmpd="sng" algn="ctr">
              <a:solidFill>
                <a:schemeClr val="accent6">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b="0" i="0" u="none" strike="noStrike" kern="1200" baseline="0">
                    <a:solidFill>
                      <a:sysClr val="windowText" lastClr="000000"/>
                    </a:solidFill>
                    <a:latin typeface="Arial" panose="020B0604020202020204" pitchFamily="34" charset="0"/>
                    <a:cs typeface="Arial" panose="020B0604020202020204" pitchFamily="34" charset="0"/>
                  </a:rPr>
                  <a:t>Cost ($ millions)</a:t>
                </a:r>
                <a:endParaRPr lang="en-AU" sz="1000"/>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AU"/>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8575416"/>
        <c:crosses val="autoZero"/>
        <c:crossBetween val="between"/>
        <c:majorUnit val="2000"/>
      </c:valAx>
      <c:valAx>
        <c:axId val="945295736"/>
        <c:scaling>
          <c:orientation val="minMax"/>
          <c:max val="0.24000000000000002"/>
          <c:min val="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Change</a:t>
                </a:r>
                <a:r>
                  <a:rPr lang="en-US" baseline="0"/>
                  <a:t> from 2021-22</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5296096"/>
        <c:crosses val="max"/>
        <c:crossBetween val="midCat"/>
        <c:majorUnit val="4.0000000000000008E-2"/>
        <c:minorUnit val="4.0000000000000008E-2"/>
      </c:valAx>
      <c:valAx>
        <c:axId val="945296096"/>
        <c:scaling>
          <c:orientation val="minMax"/>
        </c:scaling>
        <c:delete val="1"/>
        <c:axPos val="b"/>
        <c:numFmt formatCode="General" sourceLinked="1"/>
        <c:majorTickMark val="out"/>
        <c:minorTickMark val="none"/>
        <c:tickLblPos val="nextTo"/>
        <c:crossAx val="9452957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'Acute graphs'!$G$25</c:f>
              <c:strCache>
                <c:ptCount val="1"/>
                <c:pt idx="0">
                  <c:v>2020-21</c:v>
                </c:pt>
              </c:strCache>
            </c:strRef>
          </c:tx>
          <c:spPr>
            <a:solidFill>
              <a:srgbClr val="246164"/>
            </a:solidFill>
            <a:ln>
              <a:noFill/>
            </a:ln>
            <a:effectLst/>
          </c:spPr>
          <c:invertIfNegative val="0"/>
          <c:cat>
            <c:strRef>
              <c:f>'Acute graphs'!$F$26:$F$34</c:f>
              <c:strCache>
                <c:ptCount val="9"/>
                <c:pt idx="0">
                  <c:v>NSW</c:v>
                </c:pt>
                <c:pt idx="1">
                  <c:v>Vic</c:v>
                </c:pt>
                <c:pt idx="2">
                  <c:v>Qld</c:v>
                </c:pt>
                <c:pt idx="3">
                  <c:v>SA</c:v>
                </c:pt>
                <c:pt idx="4">
                  <c:v>WA</c:v>
                </c:pt>
                <c:pt idx="5">
                  <c:v>Tas</c:v>
                </c:pt>
                <c:pt idx="6">
                  <c:v>NT</c:v>
                </c:pt>
                <c:pt idx="7">
                  <c:v>ACT</c:v>
                </c:pt>
                <c:pt idx="8">
                  <c:v>National</c:v>
                </c:pt>
              </c:strCache>
            </c:strRef>
          </c:cat>
          <c:val>
            <c:numRef>
              <c:f>'Acute graphs'!$G$26:$G$34</c:f>
              <c:numCache>
                <c:formatCode>_-"$"* #,##0_-;\-"$"* #,##0_-;_-"$"* "-"??_-;_-@_-</c:formatCode>
                <c:ptCount val="9"/>
                <c:pt idx="0">
                  <c:v>5757.6047776518189</c:v>
                </c:pt>
                <c:pt idx="1">
                  <c:v>5213.5207160579685</c:v>
                </c:pt>
                <c:pt idx="2">
                  <c:v>4636.1956818877734</c:v>
                </c:pt>
                <c:pt idx="3">
                  <c:v>5989.0664560463993</c:v>
                </c:pt>
                <c:pt idx="4">
                  <c:v>5710.0227371486571</c:v>
                </c:pt>
                <c:pt idx="5">
                  <c:v>6700.085340005422</c:v>
                </c:pt>
                <c:pt idx="6">
                  <c:v>4111.0846247768022</c:v>
                </c:pt>
                <c:pt idx="7">
                  <c:v>5902.3524651337484</c:v>
                </c:pt>
                <c:pt idx="8">
                  <c:v>5314.9406552673408</c:v>
                </c:pt>
              </c:numCache>
            </c:numRef>
          </c:val>
          <c:extLst>
            <c:ext xmlns:c16="http://schemas.microsoft.com/office/drawing/2014/chart" uri="{C3380CC4-5D6E-409C-BE32-E72D297353CC}">
              <c16:uniqueId val="{00000000-A053-48E3-B8D3-7E2270F2D521}"/>
            </c:ext>
          </c:extLst>
        </c:ser>
        <c:ser>
          <c:idx val="1"/>
          <c:order val="1"/>
          <c:tx>
            <c:strRef>
              <c:f>'Acute graphs'!$H$25</c:f>
              <c:strCache>
                <c:ptCount val="1"/>
                <c:pt idx="0">
                  <c:v>2021-22</c:v>
                </c:pt>
              </c:strCache>
            </c:strRef>
          </c:tx>
          <c:spPr>
            <a:solidFill>
              <a:srgbClr val="5FB2BE"/>
            </a:solidFill>
            <a:ln>
              <a:noFill/>
            </a:ln>
            <a:effectLst/>
          </c:spPr>
          <c:invertIfNegative val="0"/>
          <c:cat>
            <c:strRef>
              <c:f>'Acute graphs'!$F$26:$F$34</c:f>
              <c:strCache>
                <c:ptCount val="9"/>
                <c:pt idx="0">
                  <c:v>NSW</c:v>
                </c:pt>
                <c:pt idx="1">
                  <c:v>Vic</c:v>
                </c:pt>
                <c:pt idx="2">
                  <c:v>Qld</c:v>
                </c:pt>
                <c:pt idx="3">
                  <c:v>SA</c:v>
                </c:pt>
                <c:pt idx="4">
                  <c:v>WA</c:v>
                </c:pt>
                <c:pt idx="5">
                  <c:v>Tas</c:v>
                </c:pt>
                <c:pt idx="6">
                  <c:v>NT</c:v>
                </c:pt>
                <c:pt idx="7">
                  <c:v>ACT</c:v>
                </c:pt>
                <c:pt idx="8">
                  <c:v>National</c:v>
                </c:pt>
              </c:strCache>
            </c:strRef>
          </c:cat>
          <c:val>
            <c:numRef>
              <c:f>'Acute graphs'!$H$26:$H$34</c:f>
              <c:numCache>
                <c:formatCode>_-"$"* #,##0_-;\-"$"* #,##0_-;_-"$"* "-"??_-;_-@_-</c:formatCode>
                <c:ptCount val="9"/>
                <c:pt idx="0">
                  <c:v>6638.102675889736</c:v>
                </c:pt>
                <c:pt idx="1">
                  <c:v>5572.9061383065537</c:v>
                </c:pt>
                <c:pt idx="2">
                  <c:v>4841.8955769785453</c:v>
                </c:pt>
                <c:pt idx="3">
                  <c:v>6552.8713971673596</c:v>
                </c:pt>
                <c:pt idx="4">
                  <c:v>6353.4600873010613</c:v>
                </c:pt>
                <c:pt idx="5">
                  <c:v>7035.1831493995496</c:v>
                </c:pt>
                <c:pt idx="6">
                  <c:v>4454.9619783361095</c:v>
                </c:pt>
                <c:pt idx="7">
                  <c:v>7127.8547322992135</c:v>
                </c:pt>
                <c:pt idx="8">
                  <c:v>5808.5068833532923</c:v>
                </c:pt>
              </c:numCache>
            </c:numRef>
          </c:val>
          <c:extLst>
            <c:ext xmlns:c16="http://schemas.microsoft.com/office/drawing/2014/chart" uri="{C3380CC4-5D6E-409C-BE32-E72D297353CC}">
              <c16:uniqueId val="{00000001-A053-48E3-B8D3-7E2270F2D521}"/>
            </c:ext>
          </c:extLst>
        </c:ser>
        <c:ser>
          <c:idx val="2"/>
          <c:order val="2"/>
          <c:tx>
            <c:strRef>
              <c:f>'Acute graphs'!$I$25</c:f>
              <c:strCache>
                <c:ptCount val="1"/>
                <c:pt idx="0">
                  <c:v>2022-23</c:v>
                </c:pt>
              </c:strCache>
            </c:strRef>
          </c:tx>
          <c:spPr>
            <a:solidFill>
              <a:srgbClr val="C1867C"/>
            </a:solidFill>
            <a:ln>
              <a:noFill/>
            </a:ln>
            <a:effectLst/>
          </c:spPr>
          <c:invertIfNegative val="0"/>
          <c:cat>
            <c:strRef>
              <c:f>'Acute graphs'!$F$26:$F$34</c:f>
              <c:strCache>
                <c:ptCount val="9"/>
                <c:pt idx="0">
                  <c:v>NSW</c:v>
                </c:pt>
                <c:pt idx="1">
                  <c:v>Vic</c:v>
                </c:pt>
                <c:pt idx="2">
                  <c:v>Qld</c:v>
                </c:pt>
                <c:pt idx="3">
                  <c:v>SA</c:v>
                </c:pt>
                <c:pt idx="4">
                  <c:v>WA</c:v>
                </c:pt>
                <c:pt idx="5">
                  <c:v>Tas</c:v>
                </c:pt>
                <c:pt idx="6">
                  <c:v>NT</c:v>
                </c:pt>
                <c:pt idx="7">
                  <c:v>ACT</c:v>
                </c:pt>
                <c:pt idx="8">
                  <c:v>National</c:v>
                </c:pt>
              </c:strCache>
            </c:strRef>
          </c:cat>
          <c:val>
            <c:numRef>
              <c:f>'Acute graphs'!$I$26:$I$34</c:f>
              <c:numCache>
                <c:formatCode>_-"$"* #,##0_-;\-"$"* #,##0_-;_-"$"* "-"??_-;_-@_-</c:formatCode>
                <c:ptCount val="9"/>
                <c:pt idx="0">
                  <c:v>6815</c:v>
                </c:pt>
                <c:pt idx="1">
                  <c:v>6041.5003667534247</c:v>
                </c:pt>
                <c:pt idx="2">
                  <c:v>5371.6502899126199</c:v>
                </c:pt>
                <c:pt idx="3">
                  <c:v>7417.8864998764984</c:v>
                </c:pt>
                <c:pt idx="4">
                  <c:v>6876.7752263239063</c:v>
                </c:pt>
                <c:pt idx="5">
                  <c:v>7955.2711297283249</c:v>
                </c:pt>
                <c:pt idx="6">
                  <c:v>4488.3617562873424</c:v>
                </c:pt>
                <c:pt idx="8">
                  <c:v>6239</c:v>
                </c:pt>
              </c:numCache>
            </c:numRef>
          </c:val>
          <c:extLst>
            <c:ext xmlns:c16="http://schemas.microsoft.com/office/drawing/2014/chart" uri="{C3380CC4-5D6E-409C-BE32-E72D297353CC}">
              <c16:uniqueId val="{00000002-A053-48E3-B8D3-7E2270F2D521}"/>
            </c:ext>
          </c:extLst>
        </c:ser>
        <c:dLbls>
          <c:showLegendKey val="0"/>
          <c:showVal val="0"/>
          <c:showCatName val="0"/>
          <c:showSerName val="0"/>
          <c:showPercent val="0"/>
          <c:showBubbleSize val="0"/>
        </c:dLbls>
        <c:gapWidth val="219"/>
        <c:axId val="558575416"/>
        <c:axId val="558571816"/>
      </c:barChart>
      <c:scatterChart>
        <c:scatterStyle val="lineMarker"/>
        <c:varyColors val="0"/>
        <c:ser>
          <c:idx val="4"/>
          <c:order val="3"/>
          <c:tx>
            <c:strRef>
              <c:f>'Acute graphs'!$K$25</c:f>
              <c:strCache>
                <c:ptCount val="1"/>
                <c:pt idx="0">
                  <c:v>2021-22 to 2022-23</c:v>
                </c:pt>
              </c:strCache>
            </c:strRef>
          </c:tx>
          <c:spPr>
            <a:ln w="25400" cap="rnd">
              <a:noFill/>
              <a:round/>
            </a:ln>
            <a:effectLst/>
          </c:spPr>
          <c:marker>
            <c:symbol val="circle"/>
            <c:size val="8"/>
            <c:spPr>
              <a:solidFill>
                <a:srgbClr val="D5D3A5"/>
              </a:solidFill>
              <a:ln w="9525">
                <a:solidFill>
                  <a:srgbClr val="333333"/>
                </a:solidFill>
              </a:ln>
              <a:effectLst/>
            </c:spPr>
          </c:marker>
          <c:xVal>
            <c:strRef>
              <c:f>'Acute graphs'!$F$26:$F$34</c:f>
              <c:strCache>
                <c:ptCount val="9"/>
                <c:pt idx="0">
                  <c:v>NSW</c:v>
                </c:pt>
                <c:pt idx="1">
                  <c:v>Vic</c:v>
                </c:pt>
                <c:pt idx="2">
                  <c:v>Qld</c:v>
                </c:pt>
                <c:pt idx="3">
                  <c:v>SA</c:v>
                </c:pt>
                <c:pt idx="4">
                  <c:v>WA</c:v>
                </c:pt>
                <c:pt idx="5">
                  <c:v>Tas</c:v>
                </c:pt>
                <c:pt idx="6">
                  <c:v>NT</c:v>
                </c:pt>
                <c:pt idx="7">
                  <c:v>ACT</c:v>
                </c:pt>
                <c:pt idx="8">
                  <c:v>National</c:v>
                </c:pt>
              </c:strCache>
            </c:strRef>
          </c:xVal>
          <c:yVal>
            <c:numRef>
              <c:f>'Acute graphs'!$K$26:$K$34</c:f>
              <c:numCache>
                <c:formatCode>0%</c:formatCode>
                <c:ptCount val="9"/>
                <c:pt idx="0">
                  <c:v>2.6648777933606427E-2</c:v>
                </c:pt>
                <c:pt idx="1">
                  <c:v>8.4084356853938225E-2</c:v>
                </c:pt>
                <c:pt idx="2">
                  <c:v>0.10941060262696811</c:v>
                </c:pt>
                <c:pt idx="3">
                  <c:v>0.1320055057212115</c:v>
                </c:pt>
                <c:pt idx="4">
                  <c:v>8.2366951524385668E-2</c:v>
                </c:pt>
                <c:pt idx="5">
                  <c:v>0.13078379919750982</c:v>
                </c:pt>
                <c:pt idx="6">
                  <c:v>7.4972083069735351E-3</c:v>
                </c:pt>
                <c:pt idx="8">
                  <c:v>7.4114247480788098E-2</c:v>
                </c:pt>
              </c:numCache>
            </c:numRef>
          </c:yVal>
          <c:smooth val="0"/>
          <c:extLst>
            <c:ext xmlns:c16="http://schemas.microsoft.com/office/drawing/2014/chart" uri="{C3380CC4-5D6E-409C-BE32-E72D297353CC}">
              <c16:uniqueId val="{00000004-A053-48E3-B8D3-7E2270F2D521}"/>
            </c:ext>
          </c:extLst>
        </c:ser>
        <c:dLbls>
          <c:showLegendKey val="0"/>
          <c:showVal val="0"/>
          <c:showCatName val="0"/>
          <c:showSerName val="0"/>
          <c:showPercent val="0"/>
          <c:showBubbleSize val="0"/>
        </c:dLbls>
        <c:axId val="945296096"/>
        <c:axId val="945295736"/>
      </c:scatterChart>
      <c:catAx>
        <c:axId val="55857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8571816"/>
        <c:crosses val="autoZero"/>
        <c:auto val="1"/>
        <c:lblAlgn val="ctr"/>
        <c:lblOffset val="100"/>
        <c:noMultiLvlLbl val="0"/>
      </c:catAx>
      <c:valAx>
        <c:axId val="558571816"/>
        <c:scaling>
          <c:orientation val="minMax"/>
          <c:max val="8000"/>
        </c:scaling>
        <c:delete val="0"/>
        <c:axPos val="l"/>
        <c:majorGridlines>
          <c:spPr>
            <a:ln w="9525" cap="flat" cmpd="sng" algn="ctr">
              <a:solidFill>
                <a:schemeClr val="accent6">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b="0" i="0" u="none" strike="noStrike" kern="1200" baseline="0">
                    <a:solidFill>
                      <a:sysClr val="windowText" lastClr="000000"/>
                    </a:solidFill>
                    <a:latin typeface="Arial" panose="020B0604020202020204" pitchFamily="34" charset="0"/>
                    <a:cs typeface="Arial" panose="020B0604020202020204" pitchFamily="34" charset="0"/>
                  </a:rPr>
                  <a:t>Average cost per separation</a:t>
                </a:r>
                <a:endParaRPr lang="en-AU" sz="1000"/>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AU"/>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8575416"/>
        <c:crosses val="autoZero"/>
        <c:crossBetween val="between"/>
        <c:majorUnit val="1000"/>
      </c:valAx>
      <c:valAx>
        <c:axId val="945295736"/>
        <c:scaling>
          <c:orientation val="minMax"/>
          <c:max val="0.16000000000000003"/>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Percentage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5296096"/>
        <c:crosses val="max"/>
        <c:crossBetween val="midCat"/>
        <c:majorUnit val="2.0000000000000004E-2"/>
      </c:valAx>
      <c:valAx>
        <c:axId val="945296096"/>
        <c:scaling>
          <c:orientation val="minMax"/>
        </c:scaling>
        <c:delete val="1"/>
        <c:axPos val="b"/>
        <c:numFmt formatCode="General" sourceLinked="1"/>
        <c:majorTickMark val="out"/>
        <c:minorTickMark val="none"/>
        <c:tickLblPos val="nextTo"/>
        <c:crossAx val="9452957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'Acute graphs'!$G$56</c:f>
              <c:strCache>
                <c:ptCount val="1"/>
                <c:pt idx="0">
                  <c:v>2020-21</c:v>
                </c:pt>
              </c:strCache>
            </c:strRef>
          </c:tx>
          <c:spPr>
            <a:solidFill>
              <a:srgbClr val="246164"/>
            </a:solidFill>
            <a:ln>
              <a:noFill/>
            </a:ln>
            <a:effectLst/>
          </c:spPr>
          <c:invertIfNegative val="0"/>
          <c:cat>
            <c:strRef>
              <c:f>'Acute graphs'!$F$57:$F$65</c:f>
              <c:strCache>
                <c:ptCount val="9"/>
                <c:pt idx="0">
                  <c:v>NSW</c:v>
                </c:pt>
                <c:pt idx="1">
                  <c:v>Vic</c:v>
                </c:pt>
                <c:pt idx="2">
                  <c:v>Qld</c:v>
                </c:pt>
                <c:pt idx="3">
                  <c:v>SA</c:v>
                </c:pt>
                <c:pt idx="4">
                  <c:v>WA</c:v>
                </c:pt>
                <c:pt idx="5">
                  <c:v>Tas</c:v>
                </c:pt>
                <c:pt idx="6">
                  <c:v>NT</c:v>
                </c:pt>
                <c:pt idx="7">
                  <c:v>ACT</c:v>
                </c:pt>
                <c:pt idx="8">
                  <c:v>National</c:v>
                </c:pt>
              </c:strCache>
            </c:strRef>
          </c:cat>
          <c:val>
            <c:numRef>
              <c:f>'Acute graphs'!$G$57:$G$65</c:f>
              <c:numCache>
                <c:formatCode>_-"$"* #,##0_-;\-"$"* #,##0_-;_-"$"* "-"??_-;_-@_-</c:formatCode>
                <c:ptCount val="9"/>
                <c:pt idx="0">
                  <c:v>5163.6806254000003</c:v>
                </c:pt>
                <c:pt idx="1">
                  <c:v>5388.7496216999998</c:v>
                </c:pt>
                <c:pt idx="2">
                  <c:v>4883.5074634000002</c:v>
                </c:pt>
                <c:pt idx="3">
                  <c:v>5551.3445746999996</c:v>
                </c:pt>
                <c:pt idx="4">
                  <c:v>5922.7201402999999</c:v>
                </c:pt>
                <c:pt idx="5">
                  <c:v>6270.7739824</c:v>
                </c:pt>
                <c:pt idx="6">
                  <c:v>7052.2780604</c:v>
                </c:pt>
                <c:pt idx="7">
                  <c:v>5666.4648453999998</c:v>
                </c:pt>
                <c:pt idx="8">
                  <c:v>5314.9406552999999</c:v>
                </c:pt>
              </c:numCache>
            </c:numRef>
          </c:val>
          <c:extLst>
            <c:ext xmlns:c16="http://schemas.microsoft.com/office/drawing/2014/chart" uri="{C3380CC4-5D6E-409C-BE32-E72D297353CC}">
              <c16:uniqueId val="{00000000-925C-4330-B61A-2D209B3780CA}"/>
            </c:ext>
          </c:extLst>
        </c:ser>
        <c:ser>
          <c:idx val="1"/>
          <c:order val="1"/>
          <c:tx>
            <c:strRef>
              <c:f>'Acute graphs'!$H$56</c:f>
              <c:strCache>
                <c:ptCount val="1"/>
                <c:pt idx="0">
                  <c:v>2021-22</c:v>
                </c:pt>
              </c:strCache>
            </c:strRef>
          </c:tx>
          <c:spPr>
            <a:solidFill>
              <a:srgbClr val="5FB2BE"/>
            </a:solidFill>
            <a:ln>
              <a:noFill/>
            </a:ln>
            <a:effectLst/>
          </c:spPr>
          <c:invertIfNegative val="0"/>
          <c:cat>
            <c:strRef>
              <c:f>'Acute graphs'!$F$57:$F$65</c:f>
              <c:strCache>
                <c:ptCount val="9"/>
                <c:pt idx="0">
                  <c:v>NSW</c:v>
                </c:pt>
                <c:pt idx="1">
                  <c:v>Vic</c:v>
                </c:pt>
                <c:pt idx="2">
                  <c:v>Qld</c:v>
                </c:pt>
                <c:pt idx="3">
                  <c:v>SA</c:v>
                </c:pt>
                <c:pt idx="4">
                  <c:v>WA</c:v>
                </c:pt>
                <c:pt idx="5">
                  <c:v>Tas</c:v>
                </c:pt>
                <c:pt idx="6">
                  <c:v>NT</c:v>
                </c:pt>
                <c:pt idx="7">
                  <c:v>ACT</c:v>
                </c:pt>
                <c:pt idx="8">
                  <c:v>National</c:v>
                </c:pt>
              </c:strCache>
            </c:strRef>
          </c:cat>
          <c:val>
            <c:numRef>
              <c:f>'Acute graphs'!$H$57:$H$65</c:f>
              <c:numCache>
                <c:formatCode>_-"$"* #,##0_-;\-"$"* #,##0_-;_-"$"* "-"??_-;_-@_-</c:formatCode>
                <c:ptCount val="9"/>
                <c:pt idx="0">
                  <c:v>5811.6424364000004</c:v>
                </c:pt>
                <c:pt idx="1">
                  <c:v>5838.2663984999999</c:v>
                </c:pt>
                <c:pt idx="2">
                  <c:v>5134.4607975999998</c:v>
                </c:pt>
                <c:pt idx="3">
                  <c:v>6044.1152685999996</c:v>
                </c:pt>
                <c:pt idx="4">
                  <c:v>6562.7083905</c:v>
                </c:pt>
                <c:pt idx="5">
                  <c:v>6888.4808319000003</c:v>
                </c:pt>
                <c:pt idx="6">
                  <c:v>7692.0325720999999</c:v>
                </c:pt>
                <c:pt idx="7">
                  <c:v>6577.7458993999999</c:v>
                </c:pt>
                <c:pt idx="8">
                  <c:v>5808.5068832999996</c:v>
                </c:pt>
              </c:numCache>
            </c:numRef>
          </c:val>
          <c:extLst>
            <c:ext xmlns:c16="http://schemas.microsoft.com/office/drawing/2014/chart" uri="{C3380CC4-5D6E-409C-BE32-E72D297353CC}">
              <c16:uniqueId val="{00000001-925C-4330-B61A-2D209B3780CA}"/>
            </c:ext>
          </c:extLst>
        </c:ser>
        <c:ser>
          <c:idx val="2"/>
          <c:order val="2"/>
          <c:tx>
            <c:strRef>
              <c:f>'Acute graphs'!$I$56</c:f>
              <c:strCache>
                <c:ptCount val="1"/>
                <c:pt idx="0">
                  <c:v>2022-23</c:v>
                </c:pt>
              </c:strCache>
            </c:strRef>
          </c:tx>
          <c:spPr>
            <a:solidFill>
              <a:srgbClr val="C1867C"/>
            </a:solidFill>
            <a:ln>
              <a:noFill/>
            </a:ln>
            <a:effectLst/>
          </c:spPr>
          <c:invertIfNegative val="0"/>
          <c:cat>
            <c:strRef>
              <c:f>'Acute graphs'!$F$57:$F$65</c:f>
              <c:strCache>
                <c:ptCount val="9"/>
                <c:pt idx="0">
                  <c:v>NSW</c:v>
                </c:pt>
                <c:pt idx="1">
                  <c:v>Vic</c:v>
                </c:pt>
                <c:pt idx="2">
                  <c:v>Qld</c:v>
                </c:pt>
                <c:pt idx="3">
                  <c:v>SA</c:v>
                </c:pt>
                <c:pt idx="4">
                  <c:v>WA</c:v>
                </c:pt>
                <c:pt idx="5">
                  <c:v>Tas</c:v>
                </c:pt>
                <c:pt idx="6">
                  <c:v>NT</c:v>
                </c:pt>
                <c:pt idx="7">
                  <c:v>ACT</c:v>
                </c:pt>
                <c:pt idx="8">
                  <c:v>National</c:v>
                </c:pt>
              </c:strCache>
            </c:strRef>
          </c:cat>
          <c:val>
            <c:numRef>
              <c:f>'Acute graphs'!$I$57:$I$65</c:f>
              <c:numCache>
                <c:formatCode>_-"$"* #,##0_-;\-"$"* #,##0_-;_-"$"* "-"??_-;_-@_-</c:formatCode>
                <c:ptCount val="9"/>
                <c:pt idx="0">
                  <c:v>6038</c:v>
                </c:pt>
                <c:pt idx="1">
                  <c:v>6299</c:v>
                </c:pt>
                <c:pt idx="2">
                  <c:v>5631</c:v>
                </c:pt>
                <c:pt idx="3">
                  <c:v>6745</c:v>
                </c:pt>
                <c:pt idx="4">
                  <c:v>7243</c:v>
                </c:pt>
                <c:pt idx="5">
                  <c:v>7906</c:v>
                </c:pt>
                <c:pt idx="6">
                  <c:v>7760</c:v>
                </c:pt>
                <c:pt idx="7">
                  <c:v>0</c:v>
                </c:pt>
                <c:pt idx="8">
                  <c:v>6239</c:v>
                </c:pt>
              </c:numCache>
            </c:numRef>
          </c:val>
          <c:extLst>
            <c:ext xmlns:c16="http://schemas.microsoft.com/office/drawing/2014/chart" uri="{C3380CC4-5D6E-409C-BE32-E72D297353CC}">
              <c16:uniqueId val="{00000002-925C-4330-B61A-2D209B3780CA}"/>
            </c:ext>
          </c:extLst>
        </c:ser>
        <c:dLbls>
          <c:showLegendKey val="0"/>
          <c:showVal val="0"/>
          <c:showCatName val="0"/>
          <c:showSerName val="0"/>
          <c:showPercent val="0"/>
          <c:showBubbleSize val="0"/>
        </c:dLbls>
        <c:gapWidth val="219"/>
        <c:axId val="558575416"/>
        <c:axId val="558571816"/>
      </c:barChart>
      <c:scatterChart>
        <c:scatterStyle val="lineMarker"/>
        <c:varyColors val="0"/>
        <c:ser>
          <c:idx val="4"/>
          <c:order val="3"/>
          <c:tx>
            <c:strRef>
              <c:f>'Acute graphs'!$K$56</c:f>
              <c:strCache>
                <c:ptCount val="1"/>
                <c:pt idx="0">
                  <c:v>2021-22 to 2022-23</c:v>
                </c:pt>
              </c:strCache>
            </c:strRef>
          </c:tx>
          <c:spPr>
            <a:ln w="25400" cap="rnd">
              <a:noFill/>
              <a:round/>
            </a:ln>
            <a:effectLst/>
          </c:spPr>
          <c:marker>
            <c:symbol val="circle"/>
            <c:size val="8"/>
            <c:spPr>
              <a:solidFill>
                <a:srgbClr val="D5D3A5"/>
              </a:solidFill>
              <a:ln w="9525">
                <a:solidFill>
                  <a:srgbClr val="333333"/>
                </a:solidFill>
              </a:ln>
              <a:effectLst/>
            </c:spPr>
          </c:marker>
          <c:xVal>
            <c:strRef>
              <c:f>'Acute graphs'!$F$57:$F$65</c:f>
              <c:strCache>
                <c:ptCount val="9"/>
                <c:pt idx="0">
                  <c:v>NSW</c:v>
                </c:pt>
                <c:pt idx="1">
                  <c:v>Vic</c:v>
                </c:pt>
                <c:pt idx="2">
                  <c:v>Qld</c:v>
                </c:pt>
                <c:pt idx="3">
                  <c:v>SA</c:v>
                </c:pt>
                <c:pt idx="4">
                  <c:v>WA</c:v>
                </c:pt>
                <c:pt idx="5">
                  <c:v>Tas</c:v>
                </c:pt>
                <c:pt idx="6">
                  <c:v>NT</c:v>
                </c:pt>
                <c:pt idx="7">
                  <c:v>ACT</c:v>
                </c:pt>
                <c:pt idx="8">
                  <c:v>National</c:v>
                </c:pt>
              </c:strCache>
            </c:strRef>
          </c:xVal>
          <c:yVal>
            <c:numRef>
              <c:f>'Acute graphs'!$K$57:$K$65</c:f>
              <c:numCache>
                <c:formatCode>0%</c:formatCode>
                <c:ptCount val="9"/>
                <c:pt idx="0">
                  <c:v>3.8948983196601464E-2</c:v>
                </c:pt>
                <c:pt idx="1">
                  <c:v>7.8916166213034461E-2</c:v>
                </c:pt>
                <c:pt idx="2">
                  <c:v>9.670717568475691E-2</c:v>
                </c:pt>
                <c:pt idx="3">
                  <c:v>0.11596150970865693</c:v>
                </c:pt>
                <c:pt idx="4">
                  <c:v>0.10366019164965061</c:v>
                </c:pt>
                <c:pt idx="5">
                  <c:v>0.14771314502146107</c:v>
                </c:pt>
                <c:pt idx="6">
                  <c:v>8.836081655000624E-3</c:v>
                </c:pt>
                <c:pt idx="8">
                  <c:v>7.4114247490643145E-2</c:v>
                </c:pt>
              </c:numCache>
            </c:numRef>
          </c:yVal>
          <c:smooth val="0"/>
          <c:extLst>
            <c:ext xmlns:c16="http://schemas.microsoft.com/office/drawing/2014/chart" uri="{C3380CC4-5D6E-409C-BE32-E72D297353CC}">
              <c16:uniqueId val="{00000004-925C-4330-B61A-2D209B3780CA}"/>
            </c:ext>
          </c:extLst>
        </c:ser>
        <c:dLbls>
          <c:showLegendKey val="0"/>
          <c:showVal val="0"/>
          <c:showCatName val="0"/>
          <c:showSerName val="0"/>
          <c:showPercent val="0"/>
          <c:showBubbleSize val="0"/>
        </c:dLbls>
        <c:axId val="945296096"/>
        <c:axId val="945295736"/>
      </c:scatterChart>
      <c:catAx>
        <c:axId val="55857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8571816"/>
        <c:crosses val="autoZero"/>
        <c:auto val="1"/>
        <c:lblAlgn val="ctr"/>
        <c:lblOffset val="100"/>
        <c:noMultiLvlLbl val="0"/>
      </c:catAx>
      <c:valAx>
        <c:axId val="558571816"/>
        <c:scaling>
          <c:orientation val="minMax"/>
          <c:max val="8000"/>
        </c:scaling>
        <c:delete val="0"/>
        <c:axPos val="l"/>
        <c:majorGridlines>
          <c:spPr>
            <a:ln w="9525" cap="flat" cmpd="sng" algn="ctr">
              <a:solidFill>
                <a:schemeClr val="accent6">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b="0" i="0" u="none" strike="noStrike" kern="1200" baseline="0">
                    <a:solidFill>
                      <a:sysClr val="windowText" lastClr="000000"/>
                    </a:solidFill>
                    <a:latin typeface="Arial" panose="020B0604020202020204" pitchFamily="34" charset="0"/>
                    <a:cs typeface="Arial" panose="020B0604020202020204" pitchFamily="34" charset="0"/>
                  </a:rPr>
                  <a:t>Average cost per weighted separation</a:t>
                </a:r>
                <a:endParaRPr lang="en-AU" sz="1000"/>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AU"/>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8575416"/>
        <c:crosses val="autoZero"/>
        <c:crossBetween val="between"/>
        <c:majorUnit val="2000"/>
      </c:valAx>
      <c:valAx>
        <c:axId val="94529573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Percentage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5296096"/>
        <c:crosses val="max"/>
        <c:crossBetween val="midCat"/>
        <c:majorUnit val="5.000000000000001E-2"/>
      </c:valAx>
      <c:valAx>
        <c:axId val="945296096"/>
        <c:scaling>
          <c:orientation val="minMax"/>
        </c:scaling>
        <c:delete val="1"/>
        <c:axPos val="b"/>
        <c:numFmt formatCode="General" sourceLinked="1"/>
        <c:majorTickMark val="out"/>
        <c:minorTickMark val="none"/>
        <c:tickLblPos val="nextTo"/>
        <c:crossAx val="9452957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Acute!$H$22</c:f>
              <c:strCache>
                <c:ptCount val="1"/>
                <c:pt idx="0">
                  <c:v> 2020-21 </c:v>
                </c:pt>
              </c:strCache>
            </c:strRef>
          </c:tx>
          <c:spPr>
            <a:solidFill>
              <a:srgbClr val="246164"/>
            </a:solidFill>
            <a:ln>
              <a:noFill/>
            </a:ln>
            <a:effectLst/>
          </c:spPr>
          <c:invertIfNegative val="0"/>
          <c:cat>
            <c:strRef>
              <c:f>Acute!$G$23:$G$32</c:f>
              <c:strCache>
                <c:ptCount val="10"/>
                <c:pt idx="0">
                  <c:v> Nursing </c:v>
                </c:pt>
                <c:pt idx="1">
                  <c:v> Operating Room </c:v>
                </c:pt>
                <c:pt idx="2">
                  <c:v> Medical </c:v>
                </c:pt>
                <c:pt idx="3">
                  <c:v> On-costs </c:v>
                </c:pt>
                <c:pt idx="4">
                  <c:v> Clinical Supplies </c:v>
                </c:pt>
                <c:pt idx="5">
                  <c:v> Critical Care </c:v>
                </c:pt>
                <c:pt idx="6">
                  <c:v> Non Clinical </c:v>
                </c:pt>
                <c:pt idx="7">
                  <c:v> Pharmacy </c:v>
                </c:pt>
                <c:pt idx="8">
                  <c:v> Depreciation </c:v>
                </c:pt>
                <c:pt idx="9">
                  <c:v> Hotel </c:v>
                </c:pt>
              </c:strCache>
            </c:strRef>
          </c:cat>
          <c:val>
            <c:numRef>
              <c:f>Acute!$H$23:$H$32</c:f>
              <c:numCache>
                <c:formatCode>_-"$"* #,##0_-;\-"$"* #,##0_-;_-"$"* "-"??_-;_-@_-</c:formatCode>
                <c:ptCount val="10"/>
                <c:pt idx="0">
                  <c:v>995.72963354000001</c:v>
                </c:pt>
                <c:pt idx="1">
                  <c:v>773.78610532000005</c:v>
                </c:pt>
                <c:pt idx="2">
                  <c:v>651.73146328999997</c:v>
                </c:pt>
                <c:pt idx="3">
                  <c:v>394.41670022</c:v>
                </c:pt>
                <c:pt idx="4">
                  <c:v>423.35608221000001</c:v>
                </c:pt>
                <c:pt idx="5">
                  <c:v>421.07281671999999</c:v>
                </c:pt>
                <c:pt idx="6">
                  <c:v>340.39247103999998</c:v>
                </c:pt>
                <c:pt idx="7">
                  <c:v>242.01618880000001</c:v>
                </c:pt>
                <c:pt idx="8">
                  <c:v>161.53088761999999</c:v>
                </c:pt>
                <c:pt idx="9">
                  <c:v>187.26740434000001</c:v>
                </c:pt>
              </c:numCache>
            </c:numRef>
          </c:val>
          <c:extLst>
            <c:ext xmlns:c16="http://schemas.microsoft.com/office/drawing/2014/chart" uri="{C3380CC4-5D6E-409C-BE32-E72D297353CC}">
              <c16:uniqueId val="{00000000-9C35-4CCD-BFEC-8842F5E711C0}"/>
            </c:ext>
          </c:extLst>
        </c:ser>
        <c:ser>
          <c:idx val="1"/>
          <c:order val="1"/>
          <c:tx>
            <c:strRef>
              <c:f>Acute!$I$22</c:f>
              <c:strCache>
                <c:ptCount val="1"/>
                <c:pt idx="0">
                  <c:v> 2021-22 </c:v>
                </c:pt>
              </c:strCache>
            </c:strRef>
          </c:tx>
          <c:spPr>
            <a:solidFill>
              <a:srgbClr val="5FB2BE"/>
            </a:solidFill>
            <a:ln>
              <a:noFill/>
            </a:ln>
            <a:effectLst/>
          </c:spPr>
          <c:invertIfNegative val="0"/>
          <c:cat>
            <c:strRef>
              <c:f>Acute!$G$23:$G$32</c:f>
              <c:strCache>
                <c:ptCount val="10"/>
                <c:pt idx="0">
                  <c:v> Nursing </c:v>
                </c:pt>
                <c:pt idx="1">
                  <c:v> Operating Room </c:v>
                </c:pt>
                <c:pt idx="2">
                  <c:v> Medical </c:v>
                </c:pt>
                <c:pt idx="3">
                  <c:v> On-costs </c:v>
                </c:pt>
                <c:pt idx="4">
                  <c:v> Clinical Supplies </c:v>
                </c:pt>
                <c:pt idx="5">
                  <c:v> Critical Care </c:v>
                </c:pt>
                <c:pt idx="6">
                  <c:v> Non Clinical </c:v>
                </c:pt>
                <c:pt idx="7">
                  <c:v> Pharmacy </c:v>
                </c:pt>
                <c:pt idx="8">
                  <c:v> Depreciation </c:v>
                </c:pt>
                <c:pt idx="9">
                  <c:v> Hotel </c:v>
                </c:pt>
              </c:strCache>
            </c:strRef>
          </c:cat>
          <c:val>
            <c:numRef>
              <c:f>Acute!$I$23:$I$32</c:f>
              <c:numCache>
                <c:formatCode>_-"$"* #,##0_-;\-"$"* #,##0_-;_-"$"* "-"??_-;_-@_-</c:formatCode>
                <c:ptCount val="10"/>
                <c:pt idx="0">
                  <c:v>1070.5079023000001</c:v>
                </c:pt>
                <c:pt idx="1">
                  <c:v>809.09906145000002</c:v>
                </c:pt>
                <c:pt idx="2">
                  <c:v>706.16865353000003</c:v>
                </c:pt>
                <c:pt idx="3">
                  <c:v>460.04962238000002</c:v>
                </c:pt>
                <c:pt idx="4">
                  <c:v>484.34505250000001</c:v>
                </c:pt>
                <c:pt idx="5">
                  <c:v>470.59857980999999</c:v>
                </c:pt>
                <c:pt idx="6">
                  <c:v>368.77332443</c:v>
                </c:pt>
                <c:pt idx="7">
                  <c:v>264.22949720999998</c:v>
                </c:pt>
                <c:pt idx="8">
                  <c:v>194.77118422999999</c:v>
                </c:pt>
                <c:pt idx="9">
                  <c:v>202.54371803000001</c:v>
                </c:pt>
              </c:numCache>
            </c:numRef>
          </c:val>
          <c:extLst>
            <c:ext xmlns:c16="http://schemas.microsoft.com/office/drawing/2014/chart" uri="{C3380CC4-5D6E-409C-BE32-E72D297353CC}">
              <c16:uniqueId val="{00000001-9C35-4CCD-BFEC-8842F5E711C0}"/>
            </c:ext>
          </c:extLst>
        </c:ser>
        <c:ser>
          <c:idx val="2"/>
          <c:order val="2"/>
          <c:tx>
            <c:strRef>
              <c:f>Acute!$J$22</c:f>
              <c:strCache>
                <c:ptCount val="1"/>
                <c:pt idx="0">
                  <c:v> 2022-23 </c:v>
                </c:pt>
              </c:strCache>
            </c:strRef>
          </c:tx>
          <c:spPr>
            <a:solidFill>
              <a:srgbClr val="C1867C"/>
            </a:solidFill>
            <a:ln>
              <a:noFill/>
            </a:ln>
            <a:effectLst/>
          </c:spPr>
          <c:invertIfNegative val="0"/>
          <c:cat>
            <c:strRef>
              <c:f>Acute!$G$23:$G$32</c:f>
              <c:strCache>
                <c:ptCount val="10"/>
                <c:pt idx="0">
                  <c:v> Nursing </c:v>
                </c:pt>
                <c:pt idx="1">
                  <c:v> Operating Room </c:v>
                </c:pt>
                <c:pt idx="2">
                  <c:v> Medical </c:v>
                </c:pt>
                <c:pt idx="3">
                  <c:v> On-costs </c:v>
                </c:pt>
                <c:pt idx="4">
                  <c:v> Clinical Supplies </c:v>
                </c:pt>
                <c:pt idx="5">
                  <c:v> Critical Care </c:v>
                </c:pt>
                <c:pt idx="6">
                  <c:v> Non Clinical </c:v>
                </c:pt>
                <c:pt idx="7">
                  <c:v> Pharmacy </c:v>
                </c:pt>
                <c:pt idx="8">
                  <c:v> Depreciation </c:v>
                </c:pt>
                <c:pt idx="9">
                  <c:v> Hotel </c:v>
                </c:pt>
              </c:strCache>
            </c:strRef>
          </c:cat>
          <c:val>
            <c:numRef>
              <c:f>Acute!$J$23:$J$32</c:f>
              <c:numCache>
                <c:formatCode>_-"$"* #,##0_-;\-"$"* #,##0_-;_-"$"* "-"??_-;_-@_-</c:formatCode>
                <c:ptCount val="10"/>
                <c:pt idx="0">
                  <c:v>1161.5518233</c:v>
                </c:pt>
                <c:pt idx="1">
                  <c:v>843.25055574999999</c:v>
                </c:pt>
                <c:pt idx="2">
                  <c:v>757.75624603000006</c:v>
                </c:pt>
                <c:pt idx="3">
                  <c:v>524.15027959999998</c:v>
                </c:pt>
                <c:pt idx="4">
                  <c:v>502.36177156999997</c:v>
                </c:pt>
                <c:pt idx="5">
                  <c:v>475.88362913999998</c:v>
                </c:pt>
                <c:pt idx="6">
                  <c:v>395.27569008</c:v>
                </c:pt>
                <c:pt idx="7">
                  <c:v>290.7431042</c:v>
                </c:pt>
                <c:pt idx="8">
                  <c:v>233.68926010000001</c:v>
                </c:pt>
                <c:pt idx="9">
                  <c:v>226.63085802000001</c:v>
                </c:pt>
              </c:numCache>
            </c:numRef>
          </c:val>
          <c:extLst>
            <c:ext xmlns:c16="http://schemas.microsoft.com/office/drawing/2014/chart" uri="{C3380CC4-5D6E-409C-BE32-E72D297353CC}">
              <c16:uniqueId val="{00000002-9C35-4CCD-BFEC-8842F5E711C0}"/>
            </c:ext>
          </c:extLst>
        </c:ser>
        <c:dLbls>
          <c:showLegendKey val="0"/>
          <c:showVal val="0"/>
          <c:showCatName val="0"/>
          <c:showSerName val="0"/>
          <c:showPercent val="0"/>
          <c:showBubbleSize val="0"/>
        </c:dLbls>
        <c:gapWidth val="219"/>
        <c:axId val="974135448"/>
        <c:axId val="974127888"/>
      </c:barChart>
      <c:catAx>
        <c:axId val="97413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27888"/>
        <c:crosses val="autoZero"/>
        <c:auto val="1"/>
        <c:lblAlgn val="ctr"/>
        <c:lblOffset val="100"/>
        <c:noMultiLvlLbl val="0"/>
      </c:catAx>
      <c:valAx>
        <c:axId val="974127888"/>
        <c:scaling>
          <c:orientation val="minMax"/>
          <c:max val="120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Average cost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35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Acute!$H$28</c:f>
              <c:strCache>
                <c:ptCount val="1"/>
                <c:pt idx="0">
                  <c:v> 2020-21 </c:v>
                </c:pt>
              </c:strCache>
            </c:strRef>
          </c:tx>
          <c:spPr>
            <a:solidFill>
              <a:srgbClr val="246164"/>
            </a:solidFill>
            <a:ln>
              <a:noFill/>
            </a:ln>
            <a:effectLst/>
          </c:spPr>
          <c:invertIfNegative val="0"/>
          <c:cat>
            <c:strRef>
              <c:f>Acute!$G$29:$G$38</c:f>
              <c:strCache>
                <c:ptCount val="10"/>
                <c:pt idx="0">
                  <c:v> SW Nursing </c:v>
                </c:pt>
                <c:pt idx="1">
                  <c:v> SW Medical NVMO </c:v>
                </c:pt>
                <c:pt idx="2">
                  <c:v> SW Other </c:v>
                </c:pt>
                <c:pt idx="3">
                  <c:v> G&amp;S </c:v>
                </c:pt>
                <c:pt idx="4">
                  <c:v> Oncosts </c:v>
                </c:pt>
                <c:pt idx="5">
                  <c:v> Medical supplies </c:v>
                </c:pt>
                <c:pt idx="6">
                  <c:v> SW Medical VMO </c:v>
                </c:pt>
                <c:pt idx="7">
                  <c:v> SW Allied Health </c:v>
                </c:pt>
                <c:pt idx="8">
                  <c:v> Hotel </c:v>
                </c:pt>
                <c:pt idx="9">
                  <c:v> Prostheses </c:v>
                </c:pt>
              </c:strCache>
            </c:strRef>
          </c:cat>
          <c:val>
            <c:numRef>
              <c:f>Acute!$H$29:$H$38</c:f>
              <c:numCache>
                <c:formatCode>_-"$"* #,##0_-;\-"$"* #,##0_-;_-"$"* "-"??_-;_-@_-</c:formatCode>
                <c:ptCount val="10"/>
                <c:pt idx="0">
                  <c:v>1444.4205890999999</c:v>
                </c:pt>
                <c:pt idx="1">
                  <c:v>811.30294736999997</c:v>
                </c:pt>
                <c:pt idx="2">
                  <c:v>543.81861393999998</c:v>
                </c:pt>
                <c:pt idx="3">
                  <c:v>485.16070696999998</c:v>
                </c:pt>
                <c:pt idx="4">
                  <c:v>394.42068124000002</c:v>
                </c:pt>
                <c:pt idx="5">
                  <c:v>265.93962464999998</c:v>
                </c:pt>
                <c:pt idx="6">
                  <c:v>218.32243141000001</c:v>
                </c:pt>
                <c:pt idx="7">
                  <c:v>204.53165661</c:v>
                </c:pt>
                <c:pt idx="8">
                  <c:v>187.26832759999999</c:v>
                </c:pt>
                <c:pt idx="9">
                  <c:v>155.09836256</c:v>
                </c:pt>
              </c:numCache>
            </c:numRef>
          </c:val>
          <c:extLst>
            <c:ext xmlns:c16="http://schemas.microsoft.com/office/drawing/2014/chart" uri="{C3380CC4-5D6E-409C-BE32-E72D297353CC}">
              <c16:uniqueId val="{00000000-0891-4A3F-9E87-8A7F43725E34}"/>
            </c:ext>
          </c:extLst>
        </c:ser>
        <c:ser>
          <c:idx val="1"/>
          <c:order val="1"/>
          <c:tx>
            <c:strRef>
              <c:f>Acute!$I$28</c:f>
              <c:strCache>
                <c:ptCount val="1"/>
                <c:pt idx="0">
                  <c:v> 2021-22 </c:v>
                </c:pt>
              </c:strCache>
            </c:strRef>
          </c:tx>
          <c:spPr>
            <a:solidFill>
              <a:srgbClr val="5FB2BE"/>
            </a:solidFill>
            <a:ln>
              <a:noFill/>
            </a:ln>
            <a:effectLst/>
          </c:spPr>
          <c:invertIfNegative val="0"/>
          <c:cat>
            <c:strRef>
              <c:f>Acute!$G$29:$G$38</c:f>
              <c:strCache>
                <c:ptCount val="10"/>
                <c:pt idx="0">
                  <c:v> SW Nursing </c:v>
                </c:pt>
                <c:pt idx="1">
                  <c:v> SW Medical NVMO </c:v>
                </c:pt>
                <c:pt idx="2">
                  <c:v> SW Other </c:v>
                </c:pt>
                <c:pt idx="3">
                  <c:v> G&amp;S </c:v>
                </c:pt>
                <c:pt idx="4">
                  <c:v> Oncosts </c:v>
                </c:pt>
                <c:pt idx="5">
                  <c:v> Medical supplies </c:v>
                </c:pt>
                <c:pt idx="6">
                  <c:v> SW Medical VMO </c:v>
                </c:pt>
                <c:pt idx="7">
                  <c:v> SW Allied Health </c:v>
                </c:pt>
                <c:pt idx="8">
                  <c:v> Hotel </c:v>
                </c:pt>
                <c:pt idx="9">
                  <c:v> Prostheses </c:v>
                </c:pt>
              </c:strCache>
            </c:strRef>
          </c:cat>
          <c:val>
            <c:numRef>
              <c:f>Acute!$I$29:$I$38</c:f>
              <c:numCache>
                <c:formatCode>_-"$"* #,##0_-;\-"$"* #,##0_-;_-"$"* "-"??_-;_-@_-</c:formatCode>
                <c:ptCount val="10"/>
                <c:pt idx="0">
                  <c:v>1556.5044068</c:v>
                </c:pt>
                <c:pt idx="1">
                  <c:v>875.89409893000004</c:v>
                </c:pt>
                <c:pt idx="2">
                  <c:v>584.94987304000006</c:v>
                </c:pt>
                <c:pt idx="3">
                  <c:v>559.82896146999997</c:v>
                </c:pt>
                <c:pt idx="4">
                  <c:v>460.05064127000003</c:v>
                </c:pt>
                <c:pt idx="5">
                  <c:v>272.73021301</c:v>
                </c:pt>
                <c:pt idx="6">
                  <c:v>237.53335304999999</c:v>
                </c:pt>
                <c:pt idx="7">
                  <c:v>223.51058639999999</c:v>
                </c:pt>
                <c:pt idx="8">
                  <c:v>202.54430156000001</c:v>
                </c:pt>
                <c:pt idx="9">
                  <c:v>139.91725688</c:v>
                </c:pt>
              </c:numCache>
            </c:numRef>
          </c:val>
          <c:extLst>
            <c:ext xmlns:c16="http://schemas.microsoft.com/office/drawing/2014/chart" uri="{C3380CC4-5D6E-409C-BE32-E72D297353CC}">
              <c16:uniqueId val="{00000001-0891-4A3F-9E87-8A7F43725E34}"/>
            </c:ext>
          </c:extLst>
        </c:ser>
        <c:ser>
          <c:idx val="2"/>
          <c:order val="2"/>
          <c:tx>
            <c:strRef>
              <c:f>Acute!$J$28</c:f>
              <c:strCache>
                <c:ptCount val="1"/>
                <c:pt idx="0">
                  <c:v> 2022-23 </c:v>
                </c:pt>
              </c:strCache>
            </c:strRef>
          </c:tx>
          <c:spPr>
            <a:solidFill>
              <a:srgbClr val="C1867C"/>
            </a:solidFill>
            <a:ln>
              <a:noFill/>
            </a:ln>
            <a:effectLst/>
          </c:spPr>
          <c:invertIfNegative val="0"/>
          <c:cat>
            <c:strRef>
              <c:f>Acute!$G$29:$G$38</c:f>
              <c:strCache>
                <c:ptCount val="10"/>
                <c:pt idx="0">
                  <c:v> SW Nursing </c:v>
                </c:pt>
                <c:pt idx="1">
                  <c:v> SW Medical NVMO </c:v>
                </c:pt>
                <c:pt idx="2">
                  <c:v> SW Other </c:v>
                </c:pt>
                <c:pt idx="3">
                  <c:v> G&amp;S </c:v>
                </c:pt>
                <c:pt idx="4">
                  <c:v> Oncosts </c:v>
                </c:pt>
                <c:pt idx="5">
                  <c:v> Medical supplies </c:v>
                </c:pt>
                <c:pt idx="6">
                  <c:v> SW Medical VMO </c:v>
                </c:pt>
                <c:pt idx="7">
                  <c:v> SW Allied Health </c:v>
                </c:pt>
                <c:pt idx="8">
                  <c:v> Hotel </c:v>
                </c:pt>
                <c:pt idx="9">
                  <c:v> Prostheses </c:v>
                </c:pt>
              </c:strCache>
            </c:strRef>
          </c:cat>
          <c:val>
            <c:numRef>
              <c:f>Acute!$J$29:$J$38</c:f>
              <c:numCache>
                <c:formatCode>_-"$"* #,##0_-;\-"$"* #,##0_-;_-"$"* "-"??_-;_-@_-</c:formatCode>
                <c:ptCount val="10"/>
                <c:pt idx="0">
                  <c:v>1671.9168228000001</c:v>
                </c:pt>
                <c:pt idx="1">
                  <c:v>917.56871032000004</c:v>
                </c:pt>
                <c:pt idx="2">
                  <c:v>623.74652809999998</c:v>
                </c:pt>
                <c:pt idx="3">
                  <c:v>569.79784339000003</c:v>
                </c:pt>
                <c:pt idx="4">
                  <c:v>524.15126207000003</c:v>
                </c:pt>
                <c:pt idx="5">
                  <c:v>286.11325357999999</c:v>
                </c:pt>
                <c:pt idx="6">
                  <c:v>247.87707356999999</c:v>
                </c:pt>
                <c:pt idx="7">
                  <c:v>232.61835474</c:v>
                </c:pt>
                <c:pt idx="8">
                  <c:v>226.63156108999999</c:v>
                </c:pt>
                <c:pt idx="9">
                  <c:v>158.20511676000001</c:v>
                </c:pt>
              </c:numCache>
            </c:numRef>
          </c:val>
          <c:extLst>
            <c:ext xmlns:c16="http://schemas.microsoft.com/office/drawing/2014/chart" uri="{C3380CC4-5D6E-409C-BE32-E72D297353CC}">
              <c16:uniqueId val="{00000002-0891-4A3F-9E87-8A7F43725E34}"/>
            </c:ext>
          </c:extLst>
        </c:ser>
        <c:dLbls>
          <c:showLegendKey val="0"/>
          <c:showVal val="0"/>
          <c:showCatName val="0"/>
          <c:showSerName val="0"/>
          <c:showPercent val="0"/>
          <c:showBubbleSize val="0"/>
        </c:dLbls>
        <c:gapWidth val="219"/>
        <c:axId val="974135448"/>
        <c:axId val="974127888"/>
      </c:barChart>
      <c:catAx>
        <c:axId val="97413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27888"/>
        <c:crosses val="autoZero"/>
        <c:auto val="1"/>
        <c:lblAlgn val="ctr"/>
        <c:lblOffset val="100"/>
        <c:noMultiLvlLbl val="0"/>
      </c:catAx>
      <c:valAx>
        <c:axId val="974127888"/>
        <c:scaling>
          <c:orientation val="minMax"/>
          <c:max val="175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Average cost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4135448"/>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'Subacute Graphs'!$P$1:$P$2</c:f>
              <c:strCache>
                <c:ptCount val="2"/>
                <c:pt idx="0">
                  <c:v>NHCDC</c:v>
                </c:pt>
                <c:pt idx="1">
                  <c:v>2020-21</c:v>
                </c:pt>
              </c:strCache>
            </c:strRef>
          </c:tx>
          <c:spPr>
            <a:solidFill>
              <a:srgbClr val="246164"/>
            </a:solidFill>
            <a:ln>
              <a:noFill/>
            </a:ln>
            <a:effectLst/>
          </c:spPr>
          <c:invertIfNegative val="0"/>
          <c:cat>
            <c:strRef>
              <c:f>'Subacute Graphs'!$O$3:$O$10</c:f>
              <c:strCache>
                <c:ptCount val="8"/>
                <c:pt idx="0">
                  <c:v>NSW</c:v>
                </c:pt>
                <c:pt idx="1">
                  <c:v>Vic</c:v>
                </c:pt>
                <c:pt idx="2">
                  <c:v>Qld</c:v>
                </c:pt>
                <c:pt idx="3">
                  <c:v>SA</c:v>
                </c:pt>
                <c:pt idx="4">
                  <c:v>WA</c:v>
                </c:pt>
                <c:pt idx="5">
                  <c:v>Tas</c:v>
                </c:pt>
                <c:pt idx="6">
                  <c:v>NT</c:v>
                </c:pt>
                <c:pt idx="7">
                  <c:v>ACT</c:v>
                </c:pt>
              </c:strCache>
            </c:strRef>
          </c:cat>
          <c:val>
            <c:numRef>
              <c:f>'Subacute Graphs'!$P$3:$P$10</c:f>
              <c:numCache>
                <c:formatCode>0</c:formatCode>
                <c:ptCount val="8"/>
                <c:pt idx="0">
                  <c:v>75.706999999999994</c:v>
                </c:pt>
                <c:pt idx="1">
                  <c:v>45.755000000000003</c:v>
                </c:pt>
                <c:pt idx="2">
                  <c:v>49.752000000000002</c:v>
                </c:pt>
                <c:pt idx="3">
                  <c:v>11.84</c:v>
                </c:pt>
                <c:pt idx="4">
                  <c:v>12.396000000000001</c:v>
                </c:pt>
                <c:pt idx="5">
                  <c:v>3.2130000000000001</c:v>
                </c:pt>
                <c:pt idx="6">
                  <c:v>2.0219999999999998</c:v>
                </c:pt>
                <c:pt idx="7">
                  <c:v>5.2469999999999999</c:v>
                </c:pt>
              </c:numCache>
            </c:numRef>
          </c:val>
          <c:extLst>
            <c:ext xmlns:c16="http://schemas.microsoft.com/office/drawing/2014/chart" uri="{C3380CC4-5D6E-409C-BE32-E72D297353CC}">
              <c16:uniqueId val="{00000000-8445-4BBC-8983-EEF10D6AAA82}"/>
            </c:ext>
          </c:extLst>
        </c:ser>
        <c:ser>
          <c:idx val="1"/>
          <c:order val="1"/>
          <c:tx>
            <c:strRef>
              <c:f>'Subacute Graphs'!$Q$1:$Q$2</c:f>
              <c:strCache>
                <c:ptCount val="2"/>
                <c:pt idx="0">
                  <c:v>NHCDC</c:v>
                </c:pt>
                <c:pt idx="1">
                  <c:v>2021-22</c:v>
                </c:pt>
              </c:strCache>
            </c:strRef>
          </c:tx>
          <c:spPr>
            <a:solidFill>
              <a:srgbClr val="5FB2BE"/>
            </a:solidFill>
            <a:ln>
              <a:noFill/>
            </a:ln>
            <a:effectLst/>
          </c:spPr>
          <c:invertIfNegative val="0"/>
          <c:cat>
            <c:strRef>
              <c:f>'Subacute Graphs'!$O$3:$O$10</c:f>
              <c:strCache>
                <c:ptCount val="8"/>
                <c:pt idx="0">
                  <c:v>NSW</c:v>
                </c:pt>
                <c:pt idx="1">
                  <c:v>Vic</c:v>
                </c:pt>
                <c:pt idx="2">
                  <c:v>Qld</c:v>
                </c:pt>
                <c:pt idx="3">
                  <c:v>SA</c:v>
                </c:pt>
                <c:pt idx="4">
                  <c:v>WA</c:v>
                </c:pt>
                <c:pt idx="5">
                  <c:v>Tas</c:v>
                </c:pt>
                <c:pt idx="6">
                  <c:v>NT</c:v>
                </c:pt>
                <c:pt idx="7">
                  <c:v>ACT</c:v>
                </c:pt>
              </c:strCache>
            </c:strRef>
          </c:cat>
          <c:val>
            <c:numRef>
              <c:f>'Subacute Graphs'!$Q$3:$Q$10</c:f>
              <c:numCache>
                <c:formatCode>0</c:formatCode>
                <c:ptCount val="8"/>
                <c:pt idx="0">
                  <c:v>63.704999999999998</c:v>
                </c:pt>
                <c:pt idx="1">
                  <c:v>46.082999999999998</c:v>
                </c:pt>
                <c:pt idx="2">
                  <c:v>68.111000000000004</c:v>
                </c:pt>
                <c:pt idx="3">
                  <c:v>16.280999999999999</c:v>
                </c:pt>
                <c:pt idx="4">
                  <c:v>11.914</c:v>
                </c:pt>
                <c:pt idx="5">
                  <c:v>3.306</c:v>
                </c:pt>
                <c:pt idx="6">
                  <c:v>2.052</c:v>
                </c:pt>
                <c:pt idx="7">
                  <c:v>4.7309999999999999</c:v>
                </c:pt>
              </c:numCache>
            </c:numRef>
          </c:val>
          <c:extLst>
            <c:ext xmlns:c16="http://schemas.microsoft.com/office/drawing/2014/chart" uri="{C3380CC4-5D6E-409C-BE32-E72D297353CC}">
              <c16:uniqueId val="{00000001-8445-4BBC-8983-EEF10D6AAA82}"/>
            </c:ext>
          </c:extLst>
        </c:ser>
        <c:ser>
          <c:idx val="2"/>
          <c:order val="2"/>
          <c:tx>
            <c:strRef>
              <c:f>'Subacute Graphs'!$R$1:$R$2</c:f>
              <c:strCache>
                <c:ptCount val="2"/>
                <c:pt idx="0">
                  <c:v>NHCDC</c:v>
                </c:pt>
                <c:pt idx="1">
                  <c:v>2022-23</c:v>
                </c:pt>
              </c:strCache>
            </c:strRef>
          </c:tx>
          <c:spPr>
            <a:solidFill>
              <a:srgbClr val="C1867C"/>
            </a:solidFill>
            <a:ln>
              <a:noFill/>
            </a:ln>
            <a:effectLst/>
          </c:spPr>
          <c:invertIfNegative val="0"/>
          <c:cat>
            <c:strRef>
              <c:f>'Subacute Graphs'!$O$3:$O$10</c:f>
              <c:strCache>
                <c:ptCount val="8"/>
                <c:pt idx="0">
                  <c:v>NSW</c:v>
                </c:pt>
                <c:pt idx="1">
                  <c:v>Vic</c:v>
                </c:pt>
                <c:pt idx="2">
                  <c:v>Qld</c:v>
                </c:pt>
                <c:pt idx="3">
                  <c:v>SA</c:v>
                </c:pt>
                <c:pt idx="4">
                  <c:v>WA</c:v>
                </c:pt>
                <c:pt idx="5">
                  <c:v>Tas</c:v>
                </c:pt>
                <c:pt idx="6">
                  <c:v>NT</c:v>
                </c:pt>
                <c:pt idx="7">
                  <c:v>ACT</c:v>
                </c:pt>
              </c:strCache>
            </c:strRef>
          </c:cat>
          <c:val>
            <c:numRef>
              <c:f>'Subacute Graphs'!$R$3:$R$10</c:f>
              <c:numCache>
                <c:formatCode>0</c:formatCode>
                <c:ptCount val="8"/>
                <c:pt idx="0">
                  <c:v>80.885999999999996</c:v>
                </c:pt>
                <c:pt idx="1">
                  <c:v>48.296999999999997</c:v>
                </c:pt>
                <c:pt idx="2">
                  <c:v>70.036000000000001</c:v>
                </c:pt>
                <c:pt idx="3">
                  <c:v>19.658000000000001</c:v>
                </c:pt>
                <c:pt idx="4">
                  <c:v>12.382999999999999</c:v>
                </c:pt>
                <c:pt idx="5">
                  <c:v>4.1100000000000003</c:v>
                </c:pt>
                <c:pt idx="6">
                  <c:v>1.9339999999999999</c:v>
                </c:pt>
                <c:pt idx="7">
                  <c:v>0</c:v>
                </c:pt>
              </c:numCache>
            </c:numRef>
          </c:val>
          <c:extLst>
            <c:ext xmlns:c16="http://schemas.microsoft.com/office/drawing/2014/chart" uri="{C3380CC4-5D6E-409C-BE32-E72D297353CC}">
              <c16:uniqueId val="{00000002-8445-4BBC-8983-EEF10D6AAA82}"/>
            </c:ext>
          </c:extLst>
        </c:ser>
        <c:dLbls>
          <c:showLegendKey val="0"/>
          <c:showVal val="0"/>
          <c:showCatName val="0"/>
          <c:showSerName val="0"/>
          <c:showPercent val="0"/>
          <c:showBubbleSize val="0"/>
        </c:dLbls>
        <c:gapWidth val="219"/>
        <c:axId val="290463664"/>
        <c:axId val="290458984"/>
      </c:barChart>
      <c:barChart>
        <c:barDir val="col"/>
        <c:grouping val="clustered"/>
        <c:varyColors val="0"/>
        <c:ser>
          <c:idx val="3"/>
          <c:order val="3"/>
          <c:tx>
            <c:strRef>
              <c:f>'Subacute Graphs'!$S$1:$S$2</c:f>
              <c:strCache>
                <c:ptCount val="2"/>
                <c:pt idx="0">
                  <c:v>ABF</c:v>
                </c:pt>
                <c:pt idx="1">
                  <c:v>2020-21</c:v>
                </c:pt>
              </c:strCache>
            </c:strRef>
          </c:tx>
          <c:spPr>
            <a:solidFill>
              <a:srgbClr val="246164">
                <a:alpha val="34000"/>
              </a:srgbClr>
            </a:solidFill>
            <a:ln>
              <a:noFill/>
            </a:ln>
            <a:effectLst/>
          </c:spPr>
          <c:invertIfNegative val="0"/>
          <c:cat>
            <c:strRef>
              <c:f>'Subacute Graphs'!$O$3:$O$10</c:f>
              <c:strCache>
                <c:ptCount val="8"/>
                <c:pt idx="0">
                  <c:v>NSW</c:v>
                </c:pt>
                <c:pt idx="1">
                  <c:v>Vic</c:v>
                </c:pt>
                <c:pt idx="2">
                  <c:v>Qld</c:v>
                </c:pt>
                <c:pt idx="3">
                  <c:v>SA</c:v>
                </c:pt>
                <c:pt idx="4">
                  <c:v>WA</c:v>
                </c:pt>
                <c:pt idx="5">
                  <c:v>Tas</c:v>
                </c:pt>
                <c:pt idx="6">
                  <c:v>NT</c:v>
                </c:pt>
                <c:pt idx="7">
                  <c:v>ACT</c:v>
                </c:pt>
              </c:strCache>
            </c:strRef>
          </c:cat>
          <c:val>
            <c:numRef>
              <c:f>'Subacute Graphs'!$S$3:$S$10</c:f>
              <c:numCache>
                <c:formatCode>_-* #,##0_-;\-* #,##0_-;_-* "-"??_-;_-@_-</c:formatCode>
                <c:ptCount val="8"/>
                <c:pt idx="0">
                  <c:v>103.227</c:v>
                </c:pt>
                <c:pt idx="1">
                  <c:v>56.048999999999999</c:v>
                </c:pt>
                <c:pt idx="2">
                  <c:v>67.637</c:v>
                </c:pt>
                <c:pt idx="3">
                  <c:v>18.029</c:v>
                </c:pt>
                <c:pt idx="4">
                  <c:v>18.837</c:v>
                </c:pt>
                <c:pt idx="5">
                  <c:v>4.1769999999999996</c:v>
                </c:pt>
                <c:pt idx="6">
                  <c:v>2.4660000000000002</c:v>
                </c:pt>
                <c:pt idx="7">
                  <c:v>6.5490000000000004</c:v>
                </c:pt>
              </c:numCache>
            </c:numRef>
          </c:val>
          <c:extLst>
            <c:ext xmlns:c16="http://schemas.microsoft.com/office/drawing/2014/chart" uri="{C3380CC4-5D6E-409C-BE32-E72D297353CC}">
              <c16:uniqueId val="{00000003-8445-4BBC-8983-EEF10D6AAA82}"/>
            </c:ext>
          </c:extLst>
        </c:ser>
        <c:ser>
          <c:idx val="4"/>
          <c:order val="4"/>
          <c:tx>
            <c:strRef>
              <c:f>'Subacute Graphs'!$T$1:$T$2</c:f>
              <c:strCache>
                <c:ptCount val="2"/>
                <c:pt idx="0">
                  <c:v>ABF</c:v>
                </c:pt>
                <c:pt idx="1">
                  <c:v>2021-22</c:v>
                </c:pt>
              </c:strCache>
            </c:strRef>
          </c:tx>
          <c:spPr>
            <a:solidFill>
              <a:srgbClr val="5FB2BE">
                <a:alpha val="34000"/>
              </a:srgbClr>
            </a:solidFill>
            <a:ln>
              <a:noFill/>
            </a:ln>
            <a:effectLst/>
          </c:spPr>
          <c:invertIfNegative val="0"/>
          <c:cat>
            <c:strRef>
              <c:f>'Subacute Graphs'!$O$3:$O$10</c:f>
              <c:strCache>
                <c:ptCount val="8"/>
                <c:pt idx="0">
                  <c:v>NSW</c:v>
                </c:pt>
                <c:pt idx="1">
                  <c:v>Vic</c:v>
                </c:pt>
                <c:pt idx="2">
                  <c:v>Qld</c:v>
                </c:pt>
                <c:pt idx="3">
                  <c:v>SA</c:v>
                </c:pt>
                <c:pt idx="4">
                  <c:v>WA</c:v>
                </c:pt>
                <c:pt idx="5">
                  <c:v>Tas</c:v>
                </c:pt>
                <c:pt idx="6">
                  <c:v>NT</c:v>
                </c:pt>
                <c:pt idx="7">
                  <c:v>ACT</c:v>
                </c:pt>
              </c:strCache>
            </c:strRef>
          </c:cat>
          <c:val>
            <c:numRef>
              <c:f>'Subacute Graphs'!$T$3:$T$10</c:f>
              <c:numCache>
                <c:formatCode>_-* #,##0_-;\-* #,##0_-;_-* "-"??_-;_-@_-</c:formatCode>
                <c:ptCount val="8"/>
                <c:pt idx="0">
                  <c:v>92.302999999999997</c:v>
                </c:pt>
                <c:pt idx="1">
                  <c:v>55.619</c:v>
                </c:pt>
                <c:pt idx="2">
                  <c:v>80.903999999999996</c:v>
                </c:pt>
                <c:pt idx="3">
                  <c:v>18.619</c:v>
                </c:pt>
                <c:pt idx="4">
                  <c:v>17.544</c:v>
                </c:pt>
                <c:pt idx="5">
                  <c:v>4.3410000000000002</c:v>
                </c:pt>
                <c:pt idx="6">
                  <c:v>2.4929999999999999</c:v>
                </c:pt>
                <c:pt idx="7">
                  <c:v>6.1820000000000004</c:v>
                </c:pt>
              </c:numCache>
            </c:numRef>
          </c:val>
          <c:extLst>
            <c:ext xmlns:c16="http://schemas.microsoft.com/office/drawing/2014/chart" uri="{C3380CC4-5D6E-409C-BE32-E72D297353CC}">
              <c16:uniqueId val="{00000004-8445-4BBC-8983-EEF10D6AAA82}"/>
            </c:ext>
          </c:extLst>
        </c:ser>
        <c:ser>
          <c:idx val="5"/>
          <c:order val="5"/>
          <c:tx>
            <c:strRef>
              <c:f>'Subacute Graphs'!$U$1:$U$2</c:f>
              <c:strCache>
                <c:ptCount val="2"/>
                <c:pt idx="0">
                  <c:v>ABF</c:v>
                </c:pt>
                <c:pt idx="1">
                  <c:v>2022-23</c:v>
                </c:pt>
              </c:strCache>
            </c:strRef>
          </c:tx>
          <c:spPr>
            <a:solidFill>
              <a:srgbClr val="C1867C">
                <a:alpha val="34000"/>
              </a:srgbClr>
            </a:solidFill>
            <a:ln>
              <a:noFill/>
            </a:ln>
            <a:effectLst/>
          </c:spPr>
          <c:invertIfNegative val="0"/>
          <c:cat>
            <c:strRef>
              <c:f>'Subacute Graphs'!$O$3:$O$10</c:f>
              <c:strCache>
                <c:ptCount val="8"/>
                <c:pt idx="0">
                  <c:v>NSW</c:v>
                </c:pt>
                <c:pt idx="1">
                  <c:v>Vic</c:v>
                </c:pt>
                <c:pt idx="2">
                  <c:v>Qld</c:v>
                </c:pt>
                <c:pt idx="3">
                  <c:v>SA</c:v>
                </c:pt>
                <c:pt idx="4">
                  <c:v>WA</c:v>
                </c:pt>
                <c:pt idx="5">
                  <c:v>Tas</c:v>
                </c:pt>
                <c:pt idx="6">
                  <c:v>NT</c:v>
                </c:pt>
                <c:pt idx="7">
                  <c:v>ACT</c:v>
                </c:pt>
              </c:strCache>
            </c:strRef>
          </c:cat>
          <c:val>
            <c:numRef>
              <c:f>'Subacute Graphs'!$U$3:$U$10</c:f>
              <c:numCache>
                <c:formatCode>_-* #,##0_-;\-* #,##0_-;_-* "-"??_-;_-@_-</c:formatCode>
                <c:ptCount val="8"/>
                <c:pt idx="0">
                  <c:v>106.991</c:v>
                </c:pt>
                <c:pt idx="1">
                  <c:v>58.115000000000002</c:v>
                </c:pt>
                <c:pt idx="2">
                  <c:v>83.245000000000005</c:v>
                </c:pt>
                <c:pt idx="3">
                  <c:v>22.096</c:v>
                </c:pt>
                <c:pt idx="4">
                  <c:v>19.916</c:v>
                </c:pt>
                <c:pt idx="5">
                  <c:v>4.4950000000000001</c:v>
                </c:pt>
                <c:pt idx="6">
                  <c:v>2.4260000000000002</c:v>
                </c:pt>
                <c:pt idx="7">
                  <c:v>2.17</c:v>
                </c:pt>
              </c:numCache>
            </c:numRef>
          </c:val>
          <c:extLst>
            <c:ext xmlns:c16="http://schemas.microsoft.com/office/drawing/2014/chart" uri="{C3380CC4-5D6E-409C-BE32-E72D297353CC}">
              <c16:uniqueId val="{00000005-8445-4BBC-8983-EEF10D6AAA82}"/>
            </c:ext>
          </c:extLst>
        </c:ser>
        <c:dLbls>
          <c:showLegendKey val="0"/>
          <c:showVal val="0"/>
          <c:showCatName val="0"/>
          <c:showSerName val="0"/>
          <c:showPercent val="0"/>
          <c:showBubbleSize val="0"/>
        </c:dLbls>
        <c:gapWidth val="230"/>
        <c:axId val="934064136"/>
        <c:axId val="934063416"/>
      </c:barChart>
      <c:catAx>
        <c:axId val="29046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0458984"/>
        <c:crosses val="autoZero"/>
        <c:auto val="1"/>
        <c:lblAlgn val="ctr"/>
        <c:lblOffset val="100"/>
        <c:noMultiLvlLbl val="0"/>
      </c:catAx>
      <c:valAx>
        <c:axId val="290458984"/>
        <c:scaling>
          <c:orientation val="minMax"/>
          <c:max val="120"/>
          <c:min val="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Records (thousands)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0463664"/>
        <c:crosses val="autoZero"/>
        <c:crossBetween val="between"/>
        <c:minorUnit val="10"/>
      </c:valAx>
      <c:valAx>
        <c:axId val="934063416"/>
        <c:scaling>
          <c:orientation val="minMax"/>
        </c:scaling>
        <c:delete val="1"/>
        <c:axPos val="r"/>
        <c:numFmt formatCode="_-* #,##0_-;\-* #,##0_-;_-* &quot;-&quot;??_-;_-@_-" sourceLinked="1"/>
        <c:majorTickMark val="out"/>
        <c:minorTickMark val="none"/>
        <c:tickLblPos val="nextTo"/>
        <c:crossAx val="934064136"/>
        <c:crosses val="max"/>
        <c:crossBetween val="between"/>
      </c:valAx>
      <c:catAx>
        <c:axId val="934064136"/>
        <c:scaling>
          <c:orientation val="minMax"/>
        </c:scaling>
        <c:delete val="1"/>
        <c:axPos val="b"/>
        <c:numFmt formatCode="General" sourceLinked="1"/>
        <c:majorTickMark val="out"/>
        <c:minorTickMark val="none"/>
        <c:tickLblPos val="nextTo"/>
        <c:crossAx val="9340634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'Subacute Graphs'!$AF$32</c:f>
              <c:strCache>
                <c:ptCount val="1"/>
                <c:pt idx="0">
                  <c:v>2020-21</c:v>
                </c:pt>
              </c:strCache>
            </c:strRef>
          </c:tx>
          <c:spPr>
            <a:solidFill>
              <a:srgbClr val="246164"/>
            </a:solidFill>
            <a:ln>
              <a:noFill/>
            </a:ln>
            <a:effectLst/>
          </c:spPr>
          <c:invertIfNegative val="0"/>
          <c:cat>
            <c:strRef>
              <c:f>'Subacute Graphs'!$AE$33:$AE$40</c:f>
              <c:strCache>
                <c:ptCount val="8"/>
                <c:pt idx="0">
                  <c:v>NSW</c:v>
                </c:pt>
                <c:pt idx="1">
                  <c:v>Vic</c:v>
                </c:pt>
                <c:pt idx="2">
                  <c:v>Qld</c:v>
                </c:pt>
                <c:pt idx="3">
                  <c:v>SA</c:v>
                </c:pt>
                <c:pt idx="4">
                  <c:v>WA</c:v>
                </c:pt>
                <c:pt idx="5">
                  <c:v>Tas</c:v>
                </c:pt>
                <c:pt idx="6">
                  <c:v>NT</c:v>
                </c:pt>
                <c:pt idx="7">
                  <c:v>ACT</c:v>
                </c:pt>
              </c:strCache>
            </c:strRef>
          </c:cat>
          <c:val>
            <c:numRef>
              <c:f>'Subacute Graphs'!$AF$33:$AF$40</c:f>
              <c:numCache>
                <c:formatCode>_-"$"* #,##0_-;\-"$"* #,##0_-;_-"$"* "-"??_-;_-@_-</c:formatCode>
                <c:ptCount val="8"/>
                <c:pt idx="0">
                  <c:v>919.66102283999999</c:v>
                </c:pt>
                <c:pt idx="1">
                  <c:v>827.80820340000014</c:v>
                </c:pt>
                <c:pt idx="2">
                  <c:v>803.30735233999997</c:v>
                </c:pt>
                <c:pt idx="3">
                  <c:v>240.99417500000001</c:v>
                </c:pt>
                <c:pt idx="4">
                  <c:v>314.56769394999998</c:v>
                </c:pt>
                <c:pt idx="5">
                  <c:v>62.204456708599999</c:v>
                </c:pt>
                <c:pt idx="6">
                  <c:v>55.369530310599998</c:v>
                </c:pt>
                <c:pt idx="7">
                  <c:v>95.343576768999995</c:v>
                </c:pt>
              </c:numCache>
            </c:numRef>
          </c:val>
          <c:extLst>
            <c:ext xmlns:c16="http://schemas.microsoft.com/office/drawing/2014/chart" uri="{C3380CC4-5D6E-409C-BE32-E72D297353CC}">
              <c16:uniqueId val="{00000000-9A06-425F-8111-AC1AB50FEE3F}"/>
            </c:ext>
          </c:extLst>
        </c:ser>
        <c:ser>
          <c:idx val="1"/>
          <c:order val="1"/>
          <c:tx>
            <c:strRef>
              <c:f>'Subacute Graphs'!$AG$32</c:f>
              <c:strCache>
                <c:ptCount val="1"/>
                <c:pt idx="0">
                  <c:v>2021-22</c:v>
                </c:pt>
              </c:strCache>
            </c:strRef>
          </c:tx>
          <c:spPr>
            <a:solidFill>
              <a:srgbClr val="5FB2BE"/>
            </a:solidFill>
            <a:ln>
              <a:noFill/>
            </a:ln>
            <a:effectLst/>
          </c:spPr>
          <c:invertIfNegative val="0"/>
          <c:cat>
            <c:strRef>
              <c:f>'Subacute Graphs'!$AE$33:$AE$40</c:f>
              <c:strCache>
                <c:ptCount val="8"/>
                <c:pt idx="0">
                  <c:v>NSW</c:v>
                </c:pt>
                <c:pt idx="1">
                  <c:v>Vic</c:v>
                </c:pt>
                <c:pt idx="2">
                  <c:v>Qld</c:v>
                </c:pt>
                <c:pt idx="3">
                  <c:v>SA</c:v>
                </c:pt>
                <c:pt idx="4">
                  <c:v>WA</c:v>
                </c:pt>
                <c:pt idx="5">
                  <c:v>Tas</c:v>
                </c:pt>
                <c:pt idx="6">
                  <c:v>NT</c:v>
                </c:pt>
                <c:pt idx="7">
                  <c:v>ACT</c:v>
                </c:pt>
              </c:strCache>
            </c:strRef>
          </c:cat>
          <c:val>
            <c:numRef>
              <c:f>'Subacute Graphs'!$AG$33:$AG$40</c:f>
              <c:numCache>
                <c:formatCode>_-"$"* #,##0_-;\-"$"* #,##0_-;_-"$"* "-"??_-;_-@_-</c:formatCode>
                <c:ptCount val="8"/>
                <c:pt idx="0">
                  <c:v>923.62251328999992</c:v>
                </c:pt>
                <c:pt idx="1">
                  <c:v>916.54121386999998</c:v>
                </c:pt>
                <c:pt idx="2">
                  <c:v>943.02470553000012</c:v>
                </c:pt>
                <c:pt idx="3">
                  <c:v>315.54985590899997</c:v>
                </c:pt>
                <c:pt idx="4">
                  <c:v>366.38915327000001</c:v>
                </c:pt>
                <c:pt idx="5">
                  <c:v>67.785837546799996</c:v>
                </c:pt>
                <c:pt idx="6">
                  <c:v>68.293967467000002</c:v>
                </c:pt>
                <c:pt idx="7">
                  <c:v>113.57311645</c:v>
                </c:pt>
              </c:numCache>
            </c:numRef>
          </c:val>
          <c:extLst>
            <c:ext xmlns:c16="http://schemas.microsoft.com/office/drawing/2014/chart" uri="{C3380CC4-5D6E-409C-BE32-E72D297353CC}">
              <c16:uniqueId val="{00000001-9A06-425F-8111-AC1AB50FEE3F}"/>
            </c:ext>
          </c:extLst>
        </c:ser>
        <c:ser>
          <c:idx val="2"/>
          <c:order val="2"/>
          <c:tx>
            <c:strRef>
              <c:f>'Subacute Graphs'!$AH$32</c:f>
              <c:strCache>
                <c:ptCount val="1"/>
                <c:pt idx="0">
                  <c:v>2022-23</c:v>
                </c:pt>
              </c:strCache>
            </c:strRef>
          </c:tx>
          <c:spPr>
            <a:solidFill>
              <a:srgbClr val="C1867C"/>
            </a:solidFill>
            <a:ln>
              <a:noFill/>
            </a:ln>
            <a:effectLst/>
          </c:spPr>
          <c:invertIfNegative val="0"/>
          <c:cat>
            <c:strRef>
              <c:f>'Subacute Graphs'!$AE$33:$AE$40</c:f>
              <c:strCache>
                <c:ptCount val="8"/>
                <c:pt idx="0">
                  <c:v>NSW</c:v>
                </c:pt>
                <c:pt idx="1">
                  <c:v>Vic</c:v>
                </c:pt>
                <c:pt idx="2">
                  <c:v>Qld</c:v>
                </c:pt>
                <c:pt idx="3">
                  <c:v>SA</c:v>
                </c:pt>
                <c:pt idx="4">
                  <c:v>WA</c:v>
                </c:pt>
                <c:pt idx="5">
                  <c:v>Tas</c:v>
                </c:pt>
                <c:pt idx="6">
                  <c:v>NT</c:v>
                </c:pt>
                <c:pt idx="7">
                  <c:v>ACT</c:v>
                </c:pt>
              </c:strCache>
            </c:strRef>
          </c:cat>
          <c:val>
            <c:numRef>
              <c:f>'Subacute Graphs'!$AH$33:$AH$40</c:f>
              <c:numCache>
                <c:formatCode>_-"$"* #,##0_-;\-"$"* #,##0_-;_-"$"* "-"??_-;_-@_-</c:formatCode>
                <c:ptCount val="8"/>
                <c:pt idx="0">
                  <c:v>1150.085693</c:v>
                </c:pt>
                <c:pt idx="1">
                  <c:v>1103.7876240000001</c:v>
                </c:pt>
                <c:pt idx="2">
                  <c:v>1209.6532219999999</c:v>
                </c:pt>
                <c:pt idx="3">
                  <c:v>374.90199899999999</c:v>
                </c:pt>
                <c:pt idx="4">
                  <c:v>390.24728299999998</c:v>
                </c:pt>
                <c:pt idx="5">
                  <c:v>94.711301000000006</c:v>
                </c:pt>
                <c:pt idx="6">
                  <c:v>60.071111000000002</c:v>
                </c:pt>
              </c:numCache>
            </c:numRef>
          </c:val>
          <c:extLst>
            <c:ext xmlns:c16="http://schemas.microsoft.com/office/drawing/2014/chart" uri="{C3380CC4-5D6E-409C-BE32-E72D297353CC}">
              <c16:uniqueId val="{00000002-9A06-425F-8111-AC1AB50FEE3F}"/>
            </c:ext>
          </c:extLst>
        </c:ser>
        <c:dLbls>
          <c:showLegendKey val="0"/>
          <c:showVal val="0"/>
          <c:showCatName val="0"/>
          <c:showSerName val="0"/>
          <c:showPercent val="0"/>
          <c:showBubbleSize val="0"/>
        </c:dLbls>
        <c:gapWidth val="219"/>
        <c:axId val="1161744096"/>
        <c:axId val="1161739056"/>
      </c:barChart>
      <c:scatterChart>
        <c:scatterStyle val="lineMarker"/>
        <c:varyColors val="0"/>
        <c:ser>
          <c:idx val="3"/>
          <c:order val="3"/>
          <c:tx>
            <c:strRef>
              <c:f>'Subacute Graphs'!$AI$32</c:f>
              <c:strCache>
                <c:ptCount val="1"/>
                <c:pt idx="0">
                  <c:v>%change</c:v>
                </c:pt>
              </c:strCache>
            </c:strRef>
          </c:tx>
          <c:spPr>
            <a:ln w="25400" cap="rnd">
              <a:noFill/>
              <a:round/>
            </a:ln>
            <a:effectLst/>
          </c:spPr>
          <c:marker>
            <c:symbol val="circle"/>
            <c:size val="8"/>
            <c:spPr>
              <a:solidFill>
                <a:srgbClr val="D5D3A5"/>
              </a:solidFill>
              <a:ln w="9525">
                <a:solidFill>
                  <a:srgbClr val="333333"/>
                </a:solidFill>
              </a:ln>
              <a:effectLst/>
            </c:spPr>
          </c:marker>
          <c:yVal>
            <c:numRef>
              <c:f>'Subacute Graphs'!$AI$33:$AI$40</c:f>
              <c:numCache>
                <c:formatCode>0%</c:formatCode>
                <c:ptCount val="8"/>
                <c:pt idx="0">
                  <c:v>0.24519019020370614</c:v>
                </c:pt>
                <c:pt idx="1">
                  <c:v>0.20429677061588047</c:v>
                </c:pt>
                <c:pt idx="2">
                  <c:v>0.28273757294635127</c:v>
                </c:pt>
                <c:pt idx="3">
                  <c:v>0.18809117475279824</c:v>
                </c:pt>
                <c:pt idx="4">
                  <c:v>6.5116910577367459E-2</c:v>
                </c:pt>
                <c:pt idx="5">
                  <c:v>0.39721370167640702</c:v>
                </c:pt>
                <c:pt idx="6">
                  <c:v>-0.12040384783580371</c:v>
                </c:pt>
              </c:numCache>
            </c:numRef>
          </c:yVal>
          <c:smooth val="0"/>
          <c:extLst>
            <c:ext xmlns:c16="http://schemas.microsoft.com/office/drawing/2014/chart" uri="{C3380CC4-5D6E-409C-BE32-E72D297353CC}">
              <c16:uniqueId val="{00000003-9A06-425F-8111-AC1AB50FEE3F}"/>
            </c:ext>
          </c:extLst>
        </c:ser>
        <c:dLbls>
          <c:showLegendKey val="0"/>
          <c:showVal val="0"/>
          <c:showCatName val="0"/>
          <c:showSerName val="0"/>
          <c:showPercent val="0"/>
          <c:showBubbleSize val="0"/>
        </c:dLbls>
        <c:axId val="766408456"/>
        <c:axId val="766405576"/>
      </c:scatterChart>
      <c:catAx>
        <c:axId val="116174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61739056"/>
        <c:crosses val="autoZero"/>
        <c:auto val="1"/>
        <c:lblAlgn val="ctr"/>
        <c:lblOffset val="100"/>
        <c:noMultiLvlLbl val="0"/>
      </c:catAx>
      <c:valAx>
        <c:axId val="1161739056"/>
        <c:scaling>
          <c:orientation val="minMax"/>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Cost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61744096"/>
        <c:crosses val="autoZero"/>
        <c:crossBetween val="between"/>
      </c:valAx>
      <c:valAx>
        <c:axId val="76640557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Change from 2021-22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66408456"/>
        <c:crosses val="max"/>
        <c:crossBetween val="midCat"/>
      </c:valAx>
      <c:valAx>
        <c:axId val="766408456"/>
        <c:scaling>
          <c:orientation val="minMax"/>
        </c:scaling>
        <c:delete val="1"/>
        <c:axPos val="b"/>
        <c:majorTickMark val="out"/>
        <c:minorTickMark val="none"/>
        <c:tickLblPos val="nextTo"/>
        <c:crossAx val="7664055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1">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8" ma:contentTypeDescription="Create a new document." ma:contentTypeScope="" ma:versionID="b4f4fc2b2e2359c30af3ef9af39a345e">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db2537b1361222b1dd14bc74041edd4e"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B485F-F97A-4E4C-B5C6-B4270D648A98}">
  <ds:schemaRefs>
    <ds:schemaRef ds:uri="http://schemas.microsoft.com/sharepoint/v3/contenttype/forms"/>
  </ds:schemaRefs>
</ds:datastoreItem>
</file>

<file path=customXml/itemProps2.xml><?xml version="1.0" encoding="utf-8"?>
<ds:datastoreItem xmlns:ds="http://schemas.openxmlformats.org/officeDocument/2006/customXml" ds:itemID="{76D9AA2C-963C-4BB4-9312-A72CEBBCB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FECAE-4F35-4C00-A7BB-B1EDD538FA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96822A-1CD2-483E-8A1D-E38221B7C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46</Pages>
  <Words>13877</Words>
  <Characters>75908</Characters>
  <Application>Microsoft Office Word</Application>
  <DocSecurity>0</DocSecurity>
  <Lines>2919</Lines>
  <Paragraphs>2565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87220</CharactersWithSpaces>
  <SharedDoc>false</SharedDoc>
  <HLinks>
    <vt:vector size="840" baseType="variant">
      <vt:variant>
        <vt:i4>4784202</vt:i4>
      </vt:variant>
      <vt:variant>
        <vt:i4>1104</vt:i4>
      </vt:variant>
      <vt:variant>
        <vt:i4>0</vt:i4>
      </vt:variant>
      <vt:variant>
        <vt:i4>5</vt:i4>
      </vt:variant>
      <vt:variant>
        <vt:lpwstr>http://www.ihacpa.gov.au/</vt:lpwstr>
      </vt:variant>
      <vt:variant>
        <vt:lpwstr/>
      </vt:variant>
      <vt:variant>
        <vt:i4>7536685</vt:i4>
      </vt:variant>
      <vt:variant>
        <vt:i4>1101</vt:i4>
      </vt:variant>
      <vt:variant>
        <vt:i4>0</vt:i4>
      </vt:variant>
      <vt:variant>
        <vt:i4>5</vt:i4>
      </vt:variant>
      <vt:variant>
        <vt:lpwstr>https://twitter.com/IHACPA</vt:lpwstr>
      </vt:variant>
      <vt:variant>
        <vt:lpwstr/>
      </vt:variant>
      <vt:variant>
        <vt:i4>2555925</vt:i4>
      </vt:variant>
      <vt:variant>
        <vt:i4>1098</vt:i4>
      </vt:variant>
      <vt:variant>
        <vt:i4>0</vt:i4>
      </vt:variant>
      <vt:variant>
        <vt:i4>5</vt:i4>
      </vt:variant>
      <vt:variant>
        <vt:lpwstr>mailto:enquiries.ihacpa@ihacpa.gov.au</vt:lpwstr>
      </vt:variant>
      <vt:variant>
        <vt:lpwstr/>
      </vt:variant>
      <vt:variant>
        <vt:i4>8323104</vt:i4>
      </vt:variant>
      <vt:variant>
        <vt:i4>1086</vt:i4>
      </vt:variant>
      <vt:variant>
        <vt:i4>0</vt:i4>
      </vt:variant>
      <vt:variant>
        <vt:i4>5</vt:i4>
      </vt:variant>
      <vt:variant>
        <vt:lpwstr>https://www.ihacpa.gov.au/resources/national-hospital-cost-data-collection-nhcdc-public-sector-2022-23</vt:lpwstr>
      </vt:variant>
      <vt:variant>
        <vt:lpwstr/>
      </vt:variant>
      <vt:variant>
        <vt:i4>8323104</vt:i4>
      </vt:variant>
      <vt:variant>
        <vt:i4>1065</vt:i4>
      </vt:variant>
      <vt:variant>
        <vt:i4>0</vt:i4>
      </vt:variant>
      <vt:variant>
        <vt:i4>5</vt:i4>
      </vt:variant>
      <vt:variant>
        <vt:lpwstr>https://www.ihacpa.gov.au/resources/national-hospital-cost-data-collection-nhcdc-public-sector-2022-23</vt:lpwstr>
      </vt:variant>
      <vt:variant>
        <vt:lpwstr/>
      </vt:variant>
      <vt:variant>
        <vt:i4>8323104</vt:i4>
      </vt:variant>
      <vt:variant>
        <vt:i4>1053</vt:i4>
      </vt:variant>
      <vt:variant>
        <vt:i4>0</vt:i4>
      </vt:variant>
      <vt:variant>
        <vt:i4>5</vt:i4>
      </vt:variant>
      <vt:variant>
        <vt:lpwstr>https://www.ihacpa.gov.au/resources/national-hospital-cost-data-collection-nhcdc-public-sector-2022-23</vt:lpwstr>
      </vt:variant>
      <vt:variant>
        <vt:lpwstr/>
      </vt:variant>
      <vt:variant>
        <vt:i4>8323104</vt:i4>
      </vt:variant>
      <vt:variant>
        <vt:i4>1014</vt:i4>
      </vt:variant>
      <vt:variant>
        <vt:i4>0</vt:i4>
      </vt:variant>
      <vt:variant>
        <vt:i4>5</vt:i4>
      </vt:variant>
      <vt:variant>
        <vt:lpwstr>https://www.ihacpa.gov.au/resources/national-hospital-cost-data-collection-nhcdc-public-sector-2022-23</vt:lpwstr>
      </vt:variant>
      <vt:variant>
        <vt:lpwstr/>
      </vt:variant>
      <vt:variant>
        <vt:i4>8323104</vt:i4>
      </vt:variant>
      <vt:variant>
        <vt:i4>1002</vt:i4>
      </vt:variant>
      <vt:variant>
        <vt:i4>0</vt:i4>
      </vt:variant>
      <vt:variant>
        <vt:i4>5</vt:i4>
      </vt:variant>
      <vt:variant>
        <vt:lpwstr>https://www.ihacpa.gov.au/resources/national-hospital-cost-data-collection-nhcdc-public-sector-2022-23</vt:lpwstr>
      </vt:variant>
      <vt:variant>
        <vt:lpwstr/>
      </vt:variant>
      <vt:variant>
        <vt:i4>8323104</vt:i4>
      </vt:variant>
      <vt:variant>
        <vt:i4>990</vt:i4>
      </vt:variant>
      <vt:variant>
        <vt:i4>0</vt:i4>
      </vt:variant>
      <vt:variant>
        <vt:i4>5</vt:i4>
      </vt:variant>
      <vt:variant>
        <vt:lpwstr>https://www.ihacpa.gov.au/resources/national-hospital-cost-data-collection-nhcdc-public-sector-2022-23</vt:lpwstr>
      </vt:variant>
      <vt:variant>
        <vt:lpwstr/>
      </vt:variant>
      <vt:variant>
        <vt:i4>8323104</vt:i4>
      </vt:variant>
      <vt:variant>
        <vt:i4>942</vt:i4>
      </vt:variant>
      <vt:variant>
        <vt:i4>0</vt:i4>
      </vt:variant>
      <vt:variant>
        <vt:i4>5</vt:i4>
      </vt:variant>
      <vt:variant>
        <vt:lpwstr>https://www.ihacpa.gov.au/resources/national-hospital-cost-data-collection-nhcdc-public-sector-2022-23</vt:lpwstr>
      </vt:variant>
      <vt:variant>
        <vt:lpwstr/>
      </vt:variant>
      <vt:variant>
        <vt:i4>8323104</vt:i4>
      </vt:variant>
      <vt:variant>
        <vt:i4>906</vt:i4>
      </vt:variant>
      <vt:variant>
        <vt:i4>0</vt:i4>
      </vt:variant>
      <vt:variant>
        <vt:i4>5</vt:i4>
      </vt:variant>
      <vt:variant>
        <vt:lpwstr>https://www.ihacpa.gov.au/resources/national-hospital-cost-data-collection-nhcdc-public-sector-2022-23</vt:lpwstr>
      </vt:variant>
      <vt:variant>
        <vt:lpwstr/>
      </vt:variant>
      <vt:variant>
        <vt:i4>4456459</vt:i4>
      </vt:variant>
      <vt:variant>
        <vt:i4>879</vt:i4>
      </vt:variant>
      <vt:variant>
        <vt:i4>0</vt:i4>
      </vt:variant>
      <vt:variant>
        <vt:i4>5</vt:i4>
      </vt:variant>
      <vt:variant>
        <vt:lpwstr>https://www.ihacpa.gov.au/health-care/classifications/emergency-care</vt:lpwstr>
      </vt:variant>
      <vt:variant>
        <vt:lpwstr/>
      </vt:variant>
      <vt:variant>
        <vt:i4>8323104</vt:i4>
      </vt:variant>
      <vt:variant>
        <vt:i4>861</vt:i4>
      </vt:variant>
      <vt:variant>
        <vt:i4>0</vt:i4>
      </vt:variant>
      <vt:variant>
        <vt:i4>5</vt:i4>
      </vt:variant>
      <vt:variant>
        <vt:lpwstr>https://www.ihacpa.gov.au/resources/national-hospital-cost-data-collection-nhcdc-public-sector-2022-23</vt:lpwstr>
      </vt:variant>
      <vt:variant>
        <vt:lpwstr/>
      </vt:variant>
      <vt:variant>
        <vt:i4>8323104</vt:i4>
      </vt:variant>
      <vt:variant>
        <vt:i4>840</vt:i4>
      </vt:variant>
      <vt:variant>
        <vt:i4>0</vt:i4>
      </vt:variant>
      <vt:variant>
        <vt:i4>5</vt:i4>
      </vt:variant>
      <vt:variant>
        <vt:lpwstr>https://www.ihacpa.gov.au/resources/national-hospital-cost-data-collection-nhcdc-public-sector-2022-23</vt:lpwstr>
      </vt:variant>
      <vt:variant>
        <vt:lpwstr/>
      </vt:variant>
      <vt:variant>
        <vt:i4>8323104</vt:i4>
      </vt:variant>
      <vt:variant>
        <vt:i4>804</vt:i4>
      </vt:variant>
      <vt:variant>
        <vt:i4>0</vt:i4>
      </vt:variant>
      <vt:variant>
        <vt:i4>5</vt:i4>
      </vt:variant>
      <vt:variant>
        <vt:lpwstr>https://www.ihacpa.gov.au/resources/national-hospital-cost-data-collection-nhcdc-public-sector-2022-23</vt:lpwstr>
      </vt:variant>
      <vt:variant>
        <vt:lpwstr/>
      </vt:variant>
      <vt:variant>
        <vt:i4>8323104</vt:i4>
      </vt:variant>
      <vt:variant>
        <vt:i4>789</vt:i4>
      </vt:variant>
      <vt:variant>
        <vt:i4>0</vt:i4>
      </vt:variant>
      <vt:variant>
        <vt:i4>5</vt:i4>
      </vt:variant>
      <vt:variant>
        <vt:lpwstr>https://www.ihacpa.gov.au/resources/national-hospital-cost-data-collection-nhcdc-public-sector-2022-23</vt:lpwstr>
      </vt:variant>
      <vt:variant>
        <vt:lpwstr/>
      </vt:variant>
      <vt:variant>
        <vt:i4>8323104</vt:i4>
      </vt:variant>
      <vt:variant>
        <vt:i4>777</vt:i4>
      </vt:variant>
      <vt:variant>
        <vt:i4>0</vt:i4>
      </vt:variant>
      <vt:variant>
        <vt:i4>5</vt:i4>
      </vt:variant>
      <vt:variant>
        <vt:lpwstr>https://www.ihacpa.gov.au/resources/national-hospital-cost-data-collection-nhcdc-public-sector-2022-23</vt:lpwstr>
      </vt:variant>
      <vt:variant>
        <vt:lpwstr/>
      </vt:variant>
      <vt:variant>
        <vt:i4>5570635</vt:i4>
      </vt:variant>
      <vt:variant>
        <vt:i4>756</vt:i4>
      </vt:variant>
      <vt:variant>
        <vt:i4>0</vt:i4>
      </vt:variant>
      <vt:variant>
        <vt:i4>5</vt:i4>
      </vt:variant>
      <vt:variant>
        <vt:lpwstr>https://www.ihacpa.gov.au/health-care/classification/admitted-acute-care</vt:lpwstr>
      </vt:variant>
      <vt:variant>
        <vt:lpwstr/>
      </vt:variant>
      <vt:variant>
        <vt:i4>7274613</vt:i4>
      </vt:variant>
      <vt:variant>
        <vt:i4>753</vt:i4>
      </vt:variant>
      <vt:variant>
        <vt:i4>0</vt:i4>
      </vt:variant>
      <vt:variant>
        <vt:i4>5</vt:i4>
      </vt:variant>
      <vt:variant>
        <vt:lpwstr>https://www.ihacpa.gov.au/health-care/data/national-benchmarking-portal</vt:lpwstr>
      </vt:variant>
      <vt:variant>
        <vt:lpwstr/>
      </vt:variant>
      <vt:variant>
        <vt:i4>8323104</vt:i4>
      </vt:variant>
      <vt:variant>
        <vt:i4>735</vt:i4>
      </vt:variant>
      <vt:variant>
        <vt:i4>0</vt:i4>
      </vt:variant>
      <vt:variant>
        <vt:i4>5</vt:i4>
      </vt:variant>
      <vt:variant>
        <vt:lpwstr>https://www.ihacpa.gov.au/resources/national-hospital-cost-data-collection-nhcdc-public-sector-2022-23</vt:lpwstr>
      </vt:variant>
      <vt:variant>
        <vt:lpwstr/>
      </vt:variant>
      <vt:variant>
        <vt:i4>1769528</vt:i4>
      </vt:variant>
      <vt:variant>
        <vt:i4>725</vt:i4>
      </vt:variant>
      <vt:variant>
        <vt:i4>0</vt:i4>
      </vt:variant>
      <vt:variant>
        <vt:i4>5</vt:i4>
      </vt:variant>
      <vt:variant>
        <vt:lpwstr/>
      </vt:variant>
      <vt:variant>
        <vt:lpwstr>_Toc177467883</vt:lpwstr>
      </vt:variant>
      <vt:variant>
        <vt:i4>1769528</vt:i4>
      </vt:variant>
      <vt:variant>
        <vt:i4>719</vt:i4>
      </vt:variant>
      <vt:variant>
        <vt:i4>0</vt:i4>
      </vt:variant>
      <vt:variant>
        <vt:i4>5</vt:i4>
      </vt:variant>
      <vt:variant>
        <vt:lpwstr/>
      </vt:variant>
      <vt:variant>
        <vt:lpwstr>_Toc177467882</vt:lpwstr>
      </vt:variant>
      <vt:variant>
        <vt:i4>1769528</vt:i4>
      </vt:variant>
      <vt:variant>
        <vt:i4>713</vt:i4>
      </vt:variant>
      <vt:variant>
        <vt:i4>0</vt:i4>
      </vt:variant>
      <vt:variant>
        <vt:i4>5</vt:i4>
      </vt:variant>
      <vt:variant>
        <vt:lpwstr/>
      </vt:variant>
      <vt:variant>
        <vt:lpwstr>_Toc177467881</vt:lpwstr>
      </vt:variant>
      <vt:variant>
        <vt:i4>1769528</vt:i4>
      </vt:variant>
      <vt:variant>
        <vt:i4>707</vt:i4>
      </vt:variant>
      <vt:variant>
        <vt:i4>0</vt:i4>
      </vt:variant>
      <vt:variant>
        <vt:i4>5</vt:i4>
      </vt:variant>
      <vt:variant>
        <vt:lpwstr/>
      </vt:variant>
      <vt:variant>
        <vt:lpwstr>_Toc177467880</vt:lpwstr>
      </vt:variant>
      <vt:variant>
        <vt:i4>1310776</vt:i4>
      </vt:variant>
      <vt:variant>
        <vt:i4>701</vt:i4>
      </vt:variant>
      <vt:variant>
        <vt:i4>0</vt:i4>
      </vt:variant>
      <vt:variant>
        <vt:i4>5</vt:i4>
      </vt:variant>
      <vt:variant>
        <vt:lpwstr/>
      </vt:variant>
      <vt:variant>
        <vt:lpwstr>_Toc177467879</vt:lpwstr>
      </vt:variant>
      <vt:variant>
        <vt:i4>1310776</vt:i4>
      </vt:variant>
      <vt:variant>
        <vt:i4>695</vt:i4>
      </vt:variant>
      <vt:variant>
        <vt:i4>0</vt:i4>
      </vt:variant>
      <vt:variant>
        <vt:i4>5</vt:i4>
      </vt:variant>
      <vt:variant>
        <vt:lpwstr/>
      </vt:variant>
      <vt:variant>
        <vt:lpwstr>_Toc177467878</vt:lpwstr>
      </vt:variant>
      <vt:variant>
        <vt:i4>1310776</vt:i4>
      </vt:variant>
      <vt:variant>
        <vt:i4>689</vt:i4>
      </vt:variant>
      <vt:variant>
        <vt:i4>0</vt:i4>
      </vt:variant>
      <vt:variant>
        <vt:i4>5</vt:i4>
      </vt:variant>
      <vt:variant>
        <vt:lpwstr/>
      </vt:variant>
      <vt:variant>
        <vt:lpwstr>_Toc177467877</vt:lpwstr>
      </vt:variant>
      <vt:variant>
        <vt:i4>1310776</vt:i4>
      </vt:variant>
      <vt:variant>
        <vt:i4>683</vt:i4>
      </vt:variant>
      <vt:variant>
        <vt:i4>0</vt:i4>
      </vt:variant>
      <vt:variant>
        <vt:i4>5</vt:i4>
      </vt:variant>
      <vt:variant>
        <vt:lpwstr/>
      </vt:variant>
      <vt:variant>
        <vt:lpwstr>_Toc177467876</vt:lpwstr>
      </vt:variant>
      <vt:variant>
        <vt:i4>1310776</vt:i4>
      </vt:variant>
      <vt:variant>
        <vt:i4>677</vt:i4>
      </vt:variant>
      <vt:variant>
        <vt:i4>0</vt:i4>
      </vt:variant>
      <vt:variant>
        <vt:i4>5</vt:i4>
      </vt:variant>
      <vt:variant>
        <vt:lpwstr/>
      </vt:variant>
      <vt:variant>
        <vt:lpwstr>_Toc177467875</vt:lpwstr>
      </vt:variant>
      <vt:variant>
        <vt:i4>1310776</vt:i4>
      </vt:variant>
      <vt:variant>
        <vt:i4>671</vt:i4>
      </vt:variant>
      <vt:variant>
        <vt:i4>0</vt:i4>
      </vt:variant>
      <vt:variant>
        <vt:i4>5</vt:i4>
      </vt:variant>
      <vt:variant>
        <vt:lpwstr/>
      </vt:variant>
      <vt:variant>
        <vt:lpwstr>_Toc177467874</vt:lpwstr>
      </vt:variant>
      <vt:variant>
        <vt:i4>1310776</vt:i4>
      </vt:variant>
      <vt:variant>
        <vt:i4>665</vt:i4>
      </vt:variant>
      <vt:variant>
        <vt:i4>0</vt:i4>
      </vt:variant>
      <vt:variant>
        <vt:i4>5</vt:i4>
      </vt:variant>
      <vt:variant>
        <vt:lpwstr/>
      </vt:variant>
      <vt:variant>
        <vt:lpwstr>_Toc177467873</vt:lpwstr>
      </vt:variant>
      <vt:variant>
        <vt:i4>1310776</vt:i4>
      </vt:variant>
      <vt:variant>
        <vt:i4>659</vt:i4>
      </vt:variant>
      <vt:variant>
        <vt:i4>0</vt:i4>
      </vt:variant>
      <vt:variant>
        <vt:i4>5</vt:i4>
      </vt:variant>
      <vt:variant>
        <vt:lpwstr/>
      </vt:variant>
      <vt:variant>
        <vt:lpwstr>_Toc177467872</vt:lpwstr>
      </vt:variant>
      <vt:variant>
        <vt:i4>1310776</vt:i4>
      </vt:variant>
      <vt:variant>
        <vt:i4>653</vt:i4>
      </vt:variant>
      <vt:variant>
        <vt:i4>0</vt:i4>
      </vt:variant>
      <vt:variant>
        <vt:i4>5</vt:i4>
      </vt:variant>
      <vt:variant>
        <vt:lpwstr/>
      </vt:variant>
      <vt:variant>
        <vt:lpwstr>_Toc177467871</vt:lpwstr>
      </vt:variant>
      <vt:variant>
        <vt:i4>1310776</vt:i4>
      </vt:variant>
      <vt:variant>
        <vt:i4>647</vt:i4>
      </vt:variant>
      <vt:variant>
        <vt:i4>0</vt:i4>
      </vt:variant>
      <vt:variant>
        <vt:i4>5</vt:i4>
      </vt:variant>
      <vt:variant>
        <vt:lpwstr/>
      </vt:variant>
      <vt:variant>
        <vt:lpwstr>_Toc177467870</vt:lpwstr>
      </vt:variant>
      <vt:variant>
        <vt:i4>1376312</vt:i4>
      </vt:variant>
      <vt:variant>
        <vt:i4>641</vt:i4>
      </vt:variant>
      <vt:variant>
        <vt:i4>0</vt:i4>
      </vt:variant>
      <vt:variant>
        <vt:i4>5</vt:i4>
      </vt:variant>
      <vt:variant>
        <vt:lpwstr/>
      </vt:variant>
      <vt:variant>
        <vt:lpwstr>_Toc177467869</vt:lpwstr>
      </vt:variant>
      <vt:variant>
        <vt:i4>1376312</vt:i4>
      </vt:variant>
      <vt:variant>
        <vt:i4>635</vt:i4>
      </vt:variant>
      <vt:variant>
        <vt:i4>0</vt:i4>
      </vt:variant>
      <vt:variant>
        <vt:i4>5</vt:i4>
      </vt:variant>
      <vt:variant>
        <vt:lpwstr/>
      </vt:variant>
      <vt:variant>
        <vt:lpwstr>_Toc177467868</vt:lpwstr>
      </vt:variant>
      <vt:variant>
        <vt:i4>1376312</vt:i4>
      </vt:variant>
      <vt:variant>
        <vt:i4>629</vt:i4>
      </vt:variant>
      <vt:variant>
        <vt:i4>0</vt:i4>
      </vt:variant>
      <vt:variant>
        <vt:i4>5</vt:i4>
      </vt:variant>
      <vt:variant>
        <vt:lpwstr/>
      </vt:variant>
      <vt:variant>
        <vt:lpwstr>_Toc177467867</vt:lpwstr>
      </vt:variant>
      <vt:variant>
        <vt:i4>1376312</vt:i4>
      </vt:variant>
      <vt:variant>
        <vt:i4>623</vt:i4>
      </vt:variant>
      <vt:variant>
        <vt:i4>0</vt:i4>
      </vt:variant>
      <vt:variant>
        <vt:i4>5</vt:i4>
      </vt:variant>
      <vt:variant>
        <vt:lpwstr/>
      </vt:variant>
      <vt:variant>
        <vt:lpwstr>_Toc177467866</vt:lpwstr>
      </vt:variant>
      <vt:variant>
        <vt:i4>1376312</vt:i4>
      </vt:variant>
      <vt:variant>
        <vt:i4>617</vt:i4>
      </vt:variant>
      <vt:variant>
        <vt:i4>0</vt:i4>
      </vt:variant>
      <vt:variant>
        <vt:i4>5</vt:i4>
      </vt:variant>
      <vt:variant>
        <vt:lpwstr/>
      </vt:variant>
      <vt:variant>
        <vt:lpwstr>_Toc177467865</vt:lpwstr>
      </vt:variant>
      <vt:variant>
        <vt:i4>1376312</vt:i4>
      </vt:variant>
      <vt:variant>
        <vt:i4>611</vt:i4>
      </vt:variant>
      <vt:variant>
        <vt:i4>0</vt:i4>
      </vt:variant>
      <vt:variant>
        <vt:i4>5</vt:i4>
      </vt:variant>
      <vt:variant>
        <vt:lpwstr/>
      </vt:variant>
      <vt:variant>
        <vt:lpwstr>_Toc177467864</vt:lpwstr>
      </vt:variant>
      <vt:variant>
        <vt:i4>1376312</vt:i4>
      </vt:variant>
      <vt:variant>
        <vt:i4>605</vt:i4>
      </vt:variant>
      <vt:variant>
        <vt:i4>0</vt:i4>
      </vt:variant>
      <vt:variant>
        <vt:i4>5</vt:i4>
      </vt:variant>
      <vt:variant>
        <vt:lpwstr/>
      </vt:variant>
      <vt:variant>
        <vt:lpwstr>_Toc177467863</vt:lpwstr>
      </vt:variant>
      <vt:variant>
        <vt:i4>1376312</vt:i4>
      </vt:variant>
      <vt:variant>
        <vt:i4>599</vt:i4>
      </vt:variant>
      <vt:variant>
        <vt:i4>0</vt:i4>
      </vt:variant>
      <vt:variant>
        <vt:i4>5</vt:i4>
      </vt:variant>
      <vt:variant>
        <vt:lpwstr/>
      </vt:variant>
      <vt:variant>
        <vt:lpwstr>_Toc177467862</vt:lpwstr>
      </vt:variant>
      <vt:variant>
        <vt:i4>1376312</vt:i4>
      </vt:variant>
      <vt:variant>
        <vt:i4>593</vt:i4>
      </vt:variant>
      <vt:variant>
        <vt:i4>0</vt:i4>
      </vt:variant>
      <vt:variant>
        <vt:i4>5</vt:i4>
      </vt:variant>
      <vt:variant>
        <vt:lpwstr/>
      </vt:variant>
      <vt:variant>
        <vt:lpwstr>_Toc177467861</vt:lpwstr>
      </vt:variant>
      <vt:variant>
        <vt:i4>1376312</vt:i4>
      </vt:variant>
      <vt:variant>
        <vt:i4>587</vt:i4>
      </vt:variant>
      <vt:variant>
        <vt:i4>0</vt:i4>
      </vt:variant>
      <vt:variant>
        <vt:i4>5</vt:i4>
      </vt:variant>
      <vt:variant>
        <vt:lpwstr/>
      </vt:variant>
      <vt:variant>
        <vt:lpwstr>_Toc177467860</vt:lpwstr>
      </vt:variant>
      <vt:variant>
        <vt:i4>1441848</vt:i4>
      </vt:variant>
      <vt:variant>
        <vt:i4>581</vt:i4>
      </vt:variant>
      <vt:variant>
        <vt:i4>0</vt:i4>
      </vt:variant>
      <vt:variant>
        <vt:i4>5</vt:i4>
      </vt:variant>
      <vt:variant>
        <vt:lpwstr/>
      </vt:variant>
      <vt:variant>
        <vt:lpwstr>_Toc177467859</vt:lpwstr>
      </vt:variant>
      <vt:variant>
        <vt:i4>1441848</vt:i4>
      </vt:variant>
      <vt:variant>
        <vt:i4>575</vt:i4>
      </vt:variant>
      <vt:variant>
        <vt:i4>0</vt:i4>
      </vt:variant>
      <vt:variant>
        <vt:i4>5</vt:i4>
      </vt:variant>
      <vt:variant>
        <vt:lpwstr/>
      </vt:variant>
      <vt:variant>
        <vt:lpwstr>_Toc177467858</vt:lpwstr>
      </vt:variant>
      <vt:variant>
        <vt:i4>1441848</vt:i4>
      </vt:variant>
      <vt:variant>
        <vt:i4>569</vt:i4>
      </vt:variant>
      <vt:variant>
        <vt:i4>0</vt:i4>
      </vt:variant>
      <vt:variant>
        <vt:i4>5</vt:i4>
      </vt:variant>
      <vt:variant>
        <vt:lpwstr/>
      </vt:variant>
      <vt:variant>
        <vt:lpwstr>_Toc177467857</vt:lpwstr>
      </vt:variant>
      <vt:variant>
        <vt:i4>1441848</vt:i4>
      </vt:variant>
      <vt:variant>
        <vt:i4>563</vt:i4>
      </vt:variant>
      <vt:variant>
        <vt:i4>0</vt:i4>
      </vt:variant>
      <vt:variant>
        <vt:i4>5</vt:i4>
      </vt:variant>
      <vt:variant>
        <vt:lpwstr/>
      </vt:variant>
      <vt:variant>
        <vt:lpwstr>_Toc177467856</vt:lpwstr>
      </vt:variant>
      <vt:variant>
        <vt:i4>1441848</vt:i4>
      </vt:variant>
      <vt:variant>
        <vt:i4>557</vt:i4>
      </vt:variant>
      <vt:variant>
        <vt:i4>0</vt:i4>
      </vt:variant>
      <vt:variant>
        <vt:i4>5</vt:i4>
      </vt:variant>
      <vt:variant>
        <vt:lpwstr/>
      </vt:variant>
      <vt:variant>
        <vt:lpwstr>_Toc177467855</vt:lpwstr>
      </vt:variant>
      <vt:variant>
        <vt:i4>1441848</vt:i4>
      </vt:variant>
      <vt:variant>
        <vt:i4>551</vt:i4>
      </vt:variant>
      <vt:variant>
        <vt:i4>0</vt:i4>
      </vt:variant>
      <vt:variant>
        <vt:i4>5</vt:i4>
      </vt:variant>
      <vt:variant>
        <vt:lpwstr/>
      </vt:variant>
      <vt:variant>
        <vt:lpwstr>_Toc177467854</vt:lpwstr>
      </vt:variant>
      <vt:variant>
        <vt:i4>1441848</vt:i4>
      </vt:variant>
      <vt:variant>
        <vt:i4>545</vt:i4>
      </vt:variant>
      <vt:variant>
        <vt:i4>0</vt:i4>
      </vt:variant>
      <vt:variant>
        <vt:i4>5</vt:i4>
      </vt:variant>
      <vt:variant>
        <vt:lpwstr/>
      </vt:variant>
      <vt:variant>
        <vt:lpwstr>_Toc177467853</vt:lpwstr>
      </vt:variant>
      <vt:variant>
        <vt:i4>1441848</vt:i4>
      </vt:variant>
      <vt:variant>
        <vt:i4>539</vt:i4>
      </vt:variant>
      <vt:variant>
        <vt:i4>0</vt:i4>
      </vt:variant>
      <vt:variant>
        <vt:i4>5</vt:i4>
      </vt:variant>
      <vt:variant>
        <vt:lpwstr/>
      </vt:variant>
      <vt:variant>
        <vt:lpwstr>_Toc177467852</vt:lpwstr>
      </vt:variant>
      <vt:variant>
        <vt:i4>1441848</vt:i4>
      </vt:variant>
      <vt:variant>
        <vt:i4>533</vt:i4>
      </vt:variant>
      <vt:variant>
        <vt:i4>0</vt:i4>
      </vt:variant>
      <vt:variant>
        <vt:i4>5</vt:i4>
      </vt:variant>
      <vt:variant>
        <vt:lpwstr/>
      </vt:variant>
      <vt:variant>
        <vt:lpwstr>_Toc177467851</vt:lpwstr>
      </vt:variant>
      <vt:variant>
        <vt:i4>1441848</vt:i4>
      </vt:variant>
      <vt:variant>
        <vt:i4>527</vt:i4>
      </vt:variant>
      <vt:variant>
        <vt:i4>0</vt:i4>
      </vt:variant>
      <vt:variant>
        <vt:i4>5</vt:i4>
      </vt:variant>
      <vt:variant>
        <vt:lpwstr/>
      </vt:variant>
      <vt:variant>
        <vt:lpwstr>_Toc177467850</vt:lpwstr>
      </vt:variant>
      <vt:variant>
        <vt:i4>1507384</vt:i4>
      </vt:variant>
      <vt:variant>
        <vt:i4>521</vt:i4>
      </vt:variant>
      <vt:variant>
        <vt:i4>0</vt:i4>
      </vt:variant>
      <vt:variant>
        <vt:i4>5</vt:i4>
      </vt:variant>
      <vt:variant>
        <vt:lpwstr/>
      </vt:variant>
      <vt:variant>
        <vt:lpwstr>_Toc177467849</vt:lpwstr>
      </vt:variant>
      <vt:variant>
        <vt:i4>1507384</vt:i4>
      </vt:variant>
      <vt:variant>
        <vt:i4>515</vt:i4>
      </vt:variant>
      <vt:variant>
        <vt:i4>0</vt:i4>
      </vt:variant>
      <vt:variant>
        <vt:i4>5</vt:i4>
      </vt:variant>
      <vt:variant>
        <vt:lpwstr/>
      </vt:variant>
      <vt:variant>
        <vt:lpwstr>_Toc177467848</vt:lpwstr>
      </vt:variant>
      <vt:variant>
        <vt:i4>1507384</vt:i4>
      </vt:variant>
      <vt:variant>
        <vt:i4>509</vt:i4>
      </vt:variant>
      <vt:variant>
        <vt:i4>0</vt:i4>
      </vt:variant>
      <vt:variant>
        <vt:i4>5</vt:i4>
      </vt:variant>
      <vt:variant>
        <vt:lpwstr/>
      </vt:variant>
      <vt:variant>
        <vt:lpwstr>_Toc177467847</vt:lpwstr>
      </vt:variant>
      <vt:variant>
        <vt:i4>1507384</vt:i4>
      </vt:variant>
      <vt:variant>
        <vt:i4>503</vt:i4>
      </vt:variant>
      <vt:variant>
        <vt:i4>0</vt:i4>
      </vt:variant>
      <vt:variant>
        <vt:i4>5</vt:i4>
      </vt:variant>
      <vt:variant>
        <vt:lpwstr/>
      </vt:variant>
      <vt:variant>
        <vt:lpwstr>_Toc177467846</vt:lpwstr>
      </vt:variant>
      <vt:variant>
        <vt:i4>1507384</vt:i4>
      </vt:variant>
      <vt:variant>
        <vt:i4>497</vt:i4>
      </vt:variant>
      <vt:variant>
        <vt:i4>0</vt:i4>
      </vt:variant>
      <vt:variant>
        <vt:i4>5</vt:i4>
      </vt:variant>
      <vt:variant>
        <vt:lpwstr/>
      </vt:variant>
      <vt:variant>
        <vt:lpwstr>_Toc177467845</vt:lpwstr>
      </vt:variant>
      <vt:variant>
        <vt:i4>1507384</vt:i4>
      </vt:variant>
      <vt:variant>
        <vt:i4>491</vt:i4>
      </vt:variant>
      <vt:variant>
        <vt:i4>0</vt:i4>
      </vt:variant>
      <vt:variant>
        <vt:i4>5</vt:i4>
      </vt:variant>
      <vt:variant>
        <vt:lpwstr/>
      </vt:variant>
      <vt:variant>
        <vt:lpwstr>_Toc177467844</vt:lpwstr>
      </vt:variant>
      <vt:variant>
        <vt:i4>1507384</vt:i4>
      </vt:variant>
      <vt:variant>
        <vt:i4>485</vt:i4>
      </vt:variant>
      <vt:variant>
        <vt:i4>0</vt:i4>
      </vt:variant>
      <vt:variant>
        <vt:i4>5</vt:i4>
      </vt:variant>
      <vt:variant>
        <vt:lpwstr/>
      </vt:variant>
      <vt:variant>
        <vt:lpwstr>_Toc177467843</vt:lpwstr>
      </vt:variant>
      <vt:variant>
        <vt:i4>1507384</vt:i4>
      </vt:variant>
      <vt:variant>
        <vt:i4>479</vt:i4>
      </vt:variant>
      <vt:variant>
        <vt:i4>0</vt:i4>
      </vt:variant>
      <vt:variant>
        <vt:i4>5</vt:i4>
      </vt:variant>
      <vt:variant>
        <vt:lpwstr/>
      </vt:variant>
      <vt:variant>
        <vt:lpwstr>_Toc177467842</vt:lpwstr>
      </vt:variant>
      <vt:variant>
        <vt:i4>1507384</vt:i4>
      </vt:variant>
      <vt:variant>
        <vt:i4>473</vt:i4>
      </vt:variant>
      <vt:variant>
        <vt:i4>0</vt:i4>
      </vt:variant>
      <vt:variant>
        <vt:i4>5</vt:i4>
      </vt:variant>
      <vt:variant>
        <vt:lpwstr/>
      </vt:variant>
      <vt:variant>
        <vt:lpwstr>_Toc177467841</vt:lpwstr>
      </vt:variant>
      <vt:variant>
        <vt:i4>1507384</vt:i4>
      </vt:variant>
      <vt:variant>
        <vt:i4>467</vt:i4>
      </vt:variant>
      <vt:variant>
        <vt:i4>0</vt:i4>
      </vt:variant>
      <vt:variant>
        <vt:i4>5</vt:i4>
      </vt:variant>
      <vt:variant>
        <vt:lpwstr/>
      </vt:variant>
      <vt:variant>
        <vt:lpwstr>_Toc177467840</vt:lpwstr>
      </vt:variant>
      <vt:variant>
        <vt:i4>1048632</vt:i4>
      </vt:variant>
      <vt:variant>
        <vt:i4>461</vt:i4>
      </vt:variant>
      <vt:variant>
        <vt:i4>0</vt:i4>
      </vt:variant>
      <vt:variant>
        <vt:i4>5</vt:i4>
      </vt:variant>
      <vt:variant>
        <vt:lpwstr/>
      </vt:variant>
      <vt:variant>
        <vt:lpwstr>_Toc177467839</vt:lpwstr>
      </vt:variant>
      <vt:variant>
        <vt:i4>1048632</vt:i4>
      </vt:variant>
      <vt:variant>
        <vt:i4>455</vt:i4>
      </vt:variant>
      <vt:variant>
        <vt:i4>0</vt:i4>
      </vt:variant>
      <vt:variant>
        <vt:i4>5</vt:i4>
      </vt:variant>
      <vt:variant>
        <vt:lpwstr/>
      </vt:variant>
      <vt:variant>
        <vt:lpwstr>_Toc177467838</vt:lpwstr>
      </vt:variant>
      <vt:variant>
        <vt:i4>1048632</vt:i4>
      </vt:variant>
      <vt:variant>
        <vt:i4>449</vt:i4>
      </vt:variant>
      <vt:variant>
        <vt:i4>0</vt:i4>
      </vt:variant>
      <vt:variant>
        <vt:i4>5</vt:i4>
      </vt:variant>
      <vt:variant>
        <vt:lpwstr/>
      </vt:variant>
      <vt:variant>
        <vt:lpwstr>_Toc177467837</vt:lpwstr>
      </vt:variant>
      <vt:variant>
        <vt:i4>1048632</vt:i4>
      </vt:variant>
      <vt:variant>
        <vt:i4>443</vt:i4>
      </vt:variant>
      <vt:variant>
        <vt:i4>0</vt:i4>
      </vt:variant>
      <vt:variant>
        <vt:i4>5</vt:i4>
      </vt:variant>
      <vt:variant>
        <vt:lpwstr/>
      </vt:variant>
      <vt:variant>
        <vt:lpwstr>_Toc177467836</vt:lpwstr>
      </vt:variant>
      <vt:variant>
        <vt:i4>1048632</vt:i4>
      </vt:variant>
      <vt:variant>
        <vt:i4>437</vt:i4>
      </vt:variant>
      <vt:variant>
        <vt:i4>0</vt:i4>
      </vt:variant>
      <vt:variant>
        <vt:i4>5</vt:i4>
      </vt:variant>
      <vt:variant>
        <vt:lpwstr/>
      </vt:variant>
      <vt:variant>
        <vt:lpwstr>_Toc177467835</vt:lpwstr>
      </vt:variant>
      <vt:variant>
        <vt:i4>1048632</vt:i4>
      </vt:variant>
      <vt:variant>
        <vt:i4>431</vt:i4>
      </vt:variant>
      <vt:variant>
        <vt:i4>0</vt:i4>
      </vt:variant>
      <vt:variant>
        <vt:i4>5</vt:i4>
      </vt:variant>
      <vt:variant>
        <vt:lpwstr/>
      </vt:variant>
      <vt:variant>
        <vt:lpwstr>_Toc177467834</vt:lpwstr>
      </vt:variant>
      <vt:variant>
        <vt:i4>1048632</vt:i4>
      </vt:variant>
      <vt:variant>
        <vt:i4>425</vt:i4>
      </vt:variant>
      <vt:variant>
        <vt:i4>0</vt:i4>
      </vt:variant>
      <vt:variant>
        <vt:i4>5</vt:i4>
      </vt:variant>
      <vt:variant>
        <vt:lpwstr/>
      </vt:variant>
      <vt:variant>
        <vt:lpwstr>_Toc177467833</vt:lpwstr>
      </vt:variant>
      <vt:variant>
        <vt:i4>1048632</vt:i4>
      </vt:variant>
      <vt:variant>
        <vt:i4>419</vt:i4>
      </vt:variant>
      <vt:variant>
        <vt:i4>0</vt:i4>
      </vt:variant>
      <vt:variant>
        <vt:i4>5</vt:i4>
      </vt:variant>
      <vt:variant>
        <vt:lpwstr/>
      </vt:variant>
      <vt:variant>
        <vt:lpwstr>_Toc177467832</vt:lpwstr>
      </vt:variant>
      <vt:variant>
        <vt:i4>1048632</vt:i4>
      </vt:variant>
      <vt:variant>
        <vt:i4>413</vt:i4>
      </vt:variant>
      <vt:variant>
        <vt:i4>0</vt:i4>
      </vt:variant>
      <vt:variant>
        <vt:i4>5</vt:i4>
      </vt:variant>
      <vt:variant>
        <vt:lpwstr/>
      </vt:variant>
      <vt:variant>
        <vt:lpwstr>_Toc177467831</vt:lpwstr>
      </vt:variant>
      <vt:variant>
        <vt:i4>1048632</vt:i4>
      </vt:variant>
      <vt:variant>
        <vt:i4>407</vt:i4>
      </vt:variant>
      <vt:variant>
        <vt:i4>0</vt:i4>
      </vt:variant>
      <vt:variant>
        <vt:i4>5</vt:i4>
      </vt:variant>
      <vt:variant>
        <vt:lpwstr/>
      </vt:variant>
      <vt:variant>
        <vt:lpwstr>_Toc177467830</vt:lpwstr>
      </vt:variant>
      <vt:variant>
        <vt:i4>1114168</vt:i4>
      </vt:variant>
      <vt:variant>
        <vt:i4>401</vt:i4>
      </vt:variant>
      <vt:variant>
        <vt:i4>0</vt:i4>
      </vt:variant>
      <vt:variant>
        <vt:i4>5</vt:i4>
      </vt:variant>
      <vt:variant>
        <vt:lpwstr/>
      </vt:variant>
      <vt:variant>
        <vt:lpwstr>_Toc177467829</vt:lpwstr>
      </vt:variant>
      <vt:variant>
        <vt:i4>1114168</vt:i4>
      </vt:variant>
      <vt:variant>
        <vt:i4>395</vt:i4>
      </vt:variant>
      <vt:variant>
        <vt:i4>0</vt:i4>
      </vt:variant>
      <vt:variant>
        <vt:i4>5</vt:i4>
      </vt:variant>
      <vt:variant>
        <vt:lpwstr/>
      </vt:variant>
      <vt:variant>
        <vt:lpwstr>_Toc177467828</vt:lpwstr>
      </vt:variant>
      <vt:variant>
        <vt:i4>1114168</vt:i4>
      </vt:variant>
      <vt:variant>
        <vt:i4>389</vt:i4>
      </vt:variant>
      <vt:variant>
        <vt:i4>0</vt:i4>
      </vt:variant>
      <vt:variant>
        <vt:i4>5</vt:i4>
      </vt:variant>
      <vt:variant>
        <vt:lpwstr/>
      </vt:variant>
      <vt:variant>
        <vt:lpwstr>_Toc177467827</vt:lpwstr>
      </vt:variant>
      <vt:variant>
        <vt:i4>1114168</vt:i4>
      </vt:variant>
      <vt:variant>
        <vt:i4>383</vt:i4>
      </vt:variant>
      <vt:variant>
        <vt:i4>0</vt:i4>
      </vt:variant>
      <vt:variant>
        <vt:i4>5</vt:i4>
      </vt:variant>
      <vt:variant>
        <vt:lpwstr/>
      </vt:variant>
      <vt:variant>
        <vt:lpwstr>_Toc177467826</vt:lpwstr>
      </vt:variant>
      <vt:variant>
        <vt:i4>1114168</vt:i4>
      </vt:variant>
      <vt:variant>
        <vt:i4>377</vt:i4>
      </vt:variant>
      <vt:variant>
        <vt:i4>0</vt:i4>
      </vt:variant>
      <vt:variant>
        <vt:i4>5</vt:i4>
      </vt:variant>
      <vt:variant>
        <vt:lpwstr/>
      </vt:variant>
      <vt:variant>
        <vt:lpwstr>_Toc177467825</vt:lpwstr>
      </vt:variant>
      <vt:variant>
        <vt:i4>1114168</vt:i4>
      </vt:variant>
      <vt:variant>
        <vt:i4>371</vt:i4>
      </vt:variant>
      <vt:variant>
        <vt:i4>0</vt:i4>
      </vt:variant>
      <vt:variant>
        <vt:i4>5</vt:i4>
      </vt:variant>
      <vt:variant>
        <vt:lpwstr/>
      </vt:variant>
      <vt:variant>
        <vt:lpwstr>_Toc177467824</vt:lpwstr>
      </vt:variant>
      <vt:variant>
        <vt:i4>1114168</vt:i4>
      </vt:variant>
      <vt:variant>
        <vt:i4>365</vt:i4>
      </vt:variant>
      <vt:variant>
        <vt:i4>0</vt:i4>
      </vt:variant>
      <vt:variant>
        <vt:i4>5</vt:i4>
      </vt:variant>
      <vt:variant>
        <vt:lpwstr/>
      </vt:variant>
      <vt:variant>
        <vt:lpwstr>_Toc177467823</vt:lpwstr>
      </vt:variant>
      <vt:variant>
        <vt:i4>1114168</vt:i4>
      </vt:variant>
      <vt:variant>
        <vt:i4>359</vt:i4>
      </vt:variant>
      <vt:variant>
        <vt:i4>0</vt:i4>
      </vt:variant>
      <vt:variant>
        <vt:i4>5</vt:i4>
      </vt:variant>
      <vt:variant>
        <vt:lpwstr/>
      </vt:variant>
      <vt:variant>
        <vt:lpwstr>_Toc177467822</vt:lpwstr>
      </vt:variant>
      <vt:variant>
        <vt:i4>1114168</vt:i4>
      </vt:variant>
      <vt:variant>
        <vt:i4>353</vt:i4>
      </vt:variant>
      <vt:variant>
        <vt:i4>0</vt:i4>
      </vt:variant>
      <vt:variant>
        <vt:i4>5</vt:i4>
      </vt:variant>
      <vt:variant>
        <vt:lpwstr/>
      </vt:variant>
      <vt:variant>
        <vt:lpwstr>_Toc177467821</vt:lpwstr>
      </vt:variant>
      <vt:variant>
        <vt:i4>1114168</vt:i4>
      </vt:variant>
      <vt:variant>
        <vt:i4>347</vt:i4>
      </vt:variant>
      <vt:variant>
        <vt:i4>0</vt:i4>
      </vt:variant>
      <vt:variant>
        <vt:i4>5</vt:i4>
      </vt:variant>
      <vt:variant>
        <vt:lpwstr/>
      </vt:variant>
      <vt:variant>
        <vt:lpwstr>_Toc177467820</vt:lpwstr>
      </vt:variant>
      <vt:variant>
        <vt:i4>1179704</vt:i4>
      </vt:variant>
      <vt:variant>
        <vt:i4>341</vt:i4>
      </vt:variant>
      <vt:variant>
        <vt:i4>0</vt:i4>
      </vt:variant>
      <vt:variant>
        <vt:i4>5</vt:i4>
      </vt:variant>
      <vt:variant>
        <vt:lpwstr/>
      </vt:variant>
      <vt:variant>
        <vt:lpwstr>_Toc177467819</vt:lpwstr>
      </vt:variant>
      <vt:variant>
        <vt:i4>1179704</vt:i4>
      </vt:variant>
      <vt:variant>
        <vt:i4>335</vt:i4>
      </vt:variant>
      <vt:variant>
        <vt:i4>0</vt:i4>
      </vt:variant>
      <vt:variant>
        <vt:i4>5</vt:i4>
      </vt:variant>
      <vt:variant>
        <vt:lpwstr/>
      </vt:variant>
      <vt:variant>
        <vt:lpwstr>_Toc177467818</vt:lpwstr>
      </vt:variant>
      <vt:variant>
        <vt:i4>1179704</vt:i4>
      </vt:variant>
      <vt:variant>
        <vt:i4>329</vt:i4>
      </vt:variant>
      <vt:variant>
        <vt:i4>0</vt:i4>
      </vt:variant>
      <vt:variant>
        <vt:i4>5</vt:i4>
      </vt:variant>
      <vt:variant>
        <vt:lpwstr/>
      </vt:variant>
      <vt:variant>
        <vt:lpwstr>_Toc177467817</vt:lpwstr>
      </vt:variant>
      <vt:variant>
        <vt:i4>1179704</vt:i4>
      </vt:variant>
      <vt:variant>
        <vt:i4>323</vt:i4>
      </vt:variant>
      <vt:variant>
        <vt:i4>0</vt:i4>
      </vt:variant>
      <vt:variant>
        <vt:i4>5</vt:i4>
      </vt:variant>
      <vt:variant>
        <vt:lpwstr/>
      </vt:variant>
      <vt:variant>
        <vt:lpwstr>_Toc177467816</vt:lpwstr>
      </vt:variant>
      <vt:variant>
        <vt:i4>1179704</vt:i4>
      </vt:variant>
      <vt:variant>
        <vt:i4>317</vt:i4>
      </vt:variant>
      <vt:variant>
        <vt:i4>0</vt:i4>
      </vt:variant>
      <vt:variant>
        <vt:i4>5</vt:i4>
      </vt:variant>
      <vt:variant>
        <vt:lpwstr/>
      </vt:variant>
      <vt:variant>
        <vt:lpwstr>_Toc177467815</vt:lpwstr>
      </vt:variant>
      <vt:variant>
        <vt:i4>1179704</vt:i4>
      </vt:variant>
      <vt:variant>
        <vt:i4>311</vt:i4>
      </vt:variant>
      <vt:variant>
        <vt:i4>0</vt:i4>
      </vt:variant>
      <vt:variant>
        <vt:i4>5</vt:i4>
      </vt:variant>
      <vt:variant>
        <vt:lpwstr/>
      </vt:variant>
      <vt:variant>
        <vt:lpwstr>_Toc177467814</vt:lpwstr>
      </vt:variant>
      <vt:variant>
        <vt:i4>1179704</vt:i4>
      </vt:variant>
      <vt:variant>
        <vt:i4>305</vt:i4>
      </vt:variant>
      <vt:variant>
        <vt:i4>0</vt:i4>
      </vt:variant>
      <vt:variant>
        <vt:i4>5</vt:i4>
      </vt:variant>
      <vt:variant>
        <vt:lpwstr/>
      </vt:variant>
      <vt:variant>
        <vt:lpwstr>_Toc177467813</vt:lpwstr>
      </vt:variant>
      <vt:variant>
        <vt:i4>1179704</vt:i4>
      </vt:variant>
      <vt:variant>
        <vt:i4>299</vt:i4>
      </vt:variant>
      <vt:variant>
        <vt:i4>0</vt:i4>
      </vt:variant>
      <vt:variant>
        <vt:i4>5</vt:i4>
      </vt:variant>
      <vt:variant>
        <vt:lpwstr/>
      </vt:variant>
      <vt:variant>
        <vt:lpwstr>_Toc177467812</vt:lpwstr>
      </vt:variant>
      <vt:variant>
        <vt:i4>1179704</vt:i4>
      </vt:variant>
      <vt:variant>
        <vt:i4>293</vt:i4>
      </vt:variant>
      <vt:variant>
        <vt:i4>0</vt:i4>
      </vt:variant>
      <vt:variant>
        <vt:i4>5</vt:i4>
      </vt:variant>
      <vt:variant>
        <vt:lpwstr/>
      </vt:variant>
      <vt:variant>
        <vt:lpwstr>_Toc177467811</vt:lpwstr>
      </vt:variant>
      <vt:variant>
        <vt:i4>1179704</vt:i4>
      </vt:variant>
      <vt:variant>
        <vt:i4>287</vt:i4>
      </vt:variant>
      <vt:variant>
        <vt:i4>0</vt:i4>
      </vt:variant>
      <vt:variant>
        <vt:i4>5</vt:i4>
      </vt:variant>
      <vt:variant>
        <vt:lpwstr/>
      </vt:variant>
      <vt:variant>
        <vt:lpwstr>_Toc177467810</vt:lpwstr>
      </vt:variant>
      <vt:variant>
        <vt:i4>1245240</vt:i4>
      </vt:variant>
      <vt:variant>
        <vt:i4>281</vt:i4>
      </vt:variant>
      <vt:variant>
        <vt:i4>0</vt:i4>
      </vt:variant>
      <vt:variant>
        <vt:i4>5</vt:i4>
      </vt:variant>
      <vt:variant>
        <vt:lpwstr/>
      </vt:variant>
      <vt:variant>
        <vt:lpwstr>_Toc177467809</vt:lpwstr>
      </vt:variant>
      <vt:variant>
        <vt:i4>1245240</vt:i4>
      </vt:variant>
      <vt:variant>
        <vt:i4>275</vt:i4>
      </vt:variant>
      <vt:variant>
        <vt:i4>0</vt:i4>
      </vt:variant>
      <vt:variant>
        <vt:i4>5</vt:i4>
      </vt:variant>
      <vt:variant>
        <vt:lpwstr/>
      </vt:variant>
      <vt:variant>
        <vt:lpwstr>_Toc177467808</vt:lpwstr>
      </vt:variant>
      <vt:variant>
        <vt:i4>1245240</vt:i4>
      </vt:variant>
      <vt:variant>
        <vt:i4>269</vt:i4>
      </vt:variant>
      <vt:variant>
        <vt:i4>0</vt:i4>
      </vt:variant>
      <vt:variant>
        <vt:i4>5</vt:i4>
      </vt:variant>
      <vt:variant>
        <vt:lpwstr/>
      </vt:variant>
      <vt:variant>
        <vt:lpwstr>_Toc177467807</vt:lpwstr>
      </vt:variant>
      <vt:variant>
        <vt:i4>1245240</vt:i4>
      </vt:variant>
      <vt:variant>
        <vt:i4>263</vt:i4>
      </vt:variant>
      <vt:variant>
        <vt:i4>0</vt:i4>
      </vt:variant>
      <vt:variant>
        <vt:i4>5</vt:i4>
      </vt:variant>
      <vt:variant>
        <vt:lpwstr/>
      </vt:variant>
      <vt:variant>
        <vt:lpwstr>_Toc177467806</vt:lpwstr>
      </vt:variant>
      <vt:variant>
        <vt:i4>1245240</vt:i4>
      </vt:variant>
      <vt:variant>
        <vt:i4>257</vt:i4>
      </vt:variant>
      <vt:variant>
        <vt:i4>0</vt:i4>
      </vt:variant>
      <vt:variant>
        <vt:i4>5</vt:i4>
      </vt:variant>
      <vt:variant>
        <vt:lpwstr/>
      </vt:variant>
      <vt:variant>
        <vt:lpwstr>_Toc177467805</vt:lpwstr>
      </vt:variant>
      <vt:variant>
        <vt:i4>1245240</vt:i4>
      </vt:variant>
      <vt:variant>
        <vt:i4>251</vt:i4>
      </vt:variant>
      <vt:variant>
        <vt:i4>0</vt:i4>
      </vt:variant>
      <vt:variant>
        <vt:i4>5</vt:i4>
      </vt:variant>
      <vt:variant>
        <vt:lpwstr/>
      </vt:variant>
      <vt:variant>
        <vt:lpwstr>_Toc177467804</vt:lpwstr>
      </vt:variant>
      <vt:variant>
        <vt:i4>1245240</vt:i4>
      </vt:variant>
      <vt:variant>
        <vt:i4>245</vt:i4>
      </vt:variant>
      <vt:variant>
        <vt:i4>0</vt:i4>
      </vt:variant>
      <vt:variant>
        <vt:i4>5</vt:i4>
      </vt:variant>
      <vt:variant>
        <vt:lpwstr/>
      </vt:variant>
      <vt:variant>
        <vt:lpwstr>_Toc177467803</vt:lpwstr>
      </vt:variant>
      <vt:variant>
        <vt:i4>1245240</vt:i4>
      </vt:variant>
      <vt:variant>
        <vt:i4>239</vt:i4>
      </vt:variant>
      <vt:variant>
        <vt:i4>0</vt:i4>
      </vt:variant>
      <vt:variant>
        <vt:i4>5</vt:i4>
      </vt:variant>
      <vt:variant>
        <vt:lpwstr/>
      </vt:variant>
      <vt:variant>
        <vt:lpwstr>_Toc177467802</vt:lpwstr>
      </vt:variant>
      <vt:variant>
        <vt:i4>1703990</vt:i4>
      </vt:variant>
      <vt:variant>
        <vt:i4>230</vt:i4>
      </vt:variant>
      <vt:variant>
        <vt:i4>0</vt:i4>
      </vt:variant>
      <vt:variant>
        <vt:i4>5</vt:i4>
      </vt:variant>
      <vt:variant>
        <vt:lpwstr/>
      </vt:variant>
      <vt:variant>
        <vt:lpwstr>_Toc177467691</vt:lpwstr>
      </vt:variant>
      <vt:variant>
        <vt:i4>1703990</vt:i4>
      </vt:variant>
      <vt:variant>
        <vt:i4>224</vt:i4>
      </vt:variant>
      <vt:variant>
        <vt:i4>0</vt:i4>
      </vt:variant>
      <vt:variant>
        <vt:i4>5</vt:i4>
      </vt:variant>
      <vt:variant>
        <vt:lpwstr/>
      </vt:variant>
      <vt:variant>
        <vt:lpwstr>_Toc177467690</vt:lpwstr>
      </vt:variant>
      <vt:variant>
        <vt:i4>1769526</vt:i4>
      </vt:variant>
      <vt:variant>
        <vt:i4>218</vt:i4>
      </vt:variant>
      <vt:variant>
        <vt:i4>0</vt:i4>
      </vt:variant>
      <vt:variant>
        <vt:i4>5</vt:i4>
      </vt:variant>
      <vt:variant>
        <vt:lpwstr/>
      </vt:variant>
      <vt:variant>
        <vt:lpwstr>_Toc177467689</vt:lpwstr>
      </vt:variant>
      <vt:variant>
        <vt:i4>1769526</vt:i4>
      </vt:variant>
      <vt:variant>
        <vt:i4>212</vt:i4>
      </vt:variant>
      <vt:variant>
        <vt:i4>0</vt:i4>
      </vt:variant>
      <vt:variant>
        <vt:i4>5</vt:i4>
      </vt:variant>
      <vt:variant>
        <vt:lpwstr/>
      </vt:variant>
      <vt:variant>
        <vt:lpwstr>_Toc177467688</vt:lpwstr>
      </vt:variant>
      <vt:variant>
        <vt:i4>1769526</vt:i4>
      </vt:variant>
      <vt:variant>
        <vt:i4>206</vt:i4>
      </vt:variant>
      <vt:variant>
        <vt:i4>0</vt:i4>
      </vt:variant>
      <vt:variant>
        <vt:i4>5</vt:i4>
      </vt:variant>
      <vt:variant>
        <vt:lpwstr/>
      </vt:variant>
      <vt:variant>
        <vt:lpwstr>_Toc177467687</vt:lpwstr>
      </vt:variant>
      <vt:variant>
        <vt:i4>1769526</vt:i4>
      </vt:variant>
      <vt:variant>
        <vt:i4>200</vt:i4>
      </vt:variant>
      <vt:variant>
        <vt:i4>0</vt:i4>
      </vt:variant>
      <vt:variant>
        <vt:i4>5</vt:i4>
      </vt:variant>
      <vt:variant>
        <vt:lpwstr/>
      </vt:variant>
      <vt:variant>
        <vt:lpwstr>_Toc177467686</vt:lpwstr>
      </vt:variant>
      <vt:variant>
        <vt:i4>1769526</vt:i4>
      </vt:variant>
      <vt:variant>
        <vt:i4>194</vt:i4>
      </vt:variant>
      <vt:variant>
        <vt:i4>0</vt:i4>
      </vt:variant>
      <vt:variant>
        <vt:i4>5</vt:i4>
      </vt:variant>
      <vt:variant>
        <vt:lpwstr/>
      </vt:variant>
      <vt:variant>
        <vt:lpwstr>_Toc177467685</vt:lpwstr>
      </vt:variant>
      <vt:variant>
        <vt:i4>1769526</vt:i4>
      </vt:variant>
      <vt:variant>
        <vt:i4>188</vt:i4>
      </vt:variant>
      <vt:variant>
        <vt:i4>0</vt:i4>
      </vt:variant>
      <vt:variant>
        <vt:i4>5</vt:i4>
      </vt:variant>
      <vt:variant>
        <vt:lpwstr/>
      </vt:variant>
      <vt:variant>
        <vt:lpwstr>_Toc177467684</vt:lpwstr>
      </vt:variant>
      <vt:variant>
        <vt:i4>1769526</vt:i4>
      </vt:variant>
      <vt:variant>
        <vt:i4>182</vt:i4>
      </vt:variant>
      <vt:variant>
        <vt:i4>0</vt:i4>
      </vt:variant>
      <vt:variant>
        <vt:i4>5</vt:i4>
      </vt:variant>
      <vt:variant>
        <vt:lpwstr/>
      </vt:variant>
      <vt:variant>
        <vt:lpwstr>_Toc177467683</vt:lpwstr>
      </vt:variant>
      <vt:variant>
        <vt:i4>1769526</vt:i4>
      </vt:variant>
      <vt:variant>
        <vt:i4>176</vt:i4>
      </vt:variant>
      <vt:variant>
        <vt:i4>0</vt:i4>
      </vt:variant>
      <vt:variant>
        <vt:i4>5</vt:i4>
      </vt:variant>
      <vt:variant>
        <vt:lpwstr/>
      </vt:variant>
      <vt:variant>
        <vt:lpwstr>_Toc177467682</vt:lpwstr>
      </vt:variant>
      <vt:variant>
        <vt:i4>1769526</vt:i4>
      </vt:variant>
      <vt:variant>
        <vt:i4>170</vt:i4>
      </vt:variant>
      <vt:variant>
        <vt:i4>0</vt:i4>
      </vt:variant>
      <vt:variant>
        <vt:i4>5</vt:i4>
      </vt:variant>
      <vt:variant>
        <vt:lpwstr/>
      </vt:variant>
      <vt:variant>
        <vt:lpwstr>_Toc177467681</vt:lpwstr>
      </vt:variant>
      <vt:variant>
        <vt:i4>1769526</vt:i4>
      </vt:variant>
      <vt:variant>
        <vt:i4>164</vt:i4>
      </vt:variant>
      <vt:variant>
        <vt:i4>0</vt:i4>
      </vt:variant>
      <vt:variant>
        <vt:i4>5</vt:i4>
      </vt:variant>
      <vt:variant>
        <vt:lpwstr/>
      </vt:variant>
      <vt:variant>
        <vt:lpwstr>_Toc177467680</vt:lpwstr>
      </vt:variant>
      <vt:variant>
        <vt:i4>1310774</vt:i4>
      </vt:variant>
      <vt:variant>
        <vt:i4>158</vt:i4>
      </vt:variant>
      <vt:variant>
        <vt:i4>0</vt:i4>
      </vt:variant>
      <vt:variant>
        <vt:i4>5</vt:i4>
      </vt:variant>
      <vt:variant>
        <vt:lpwstr/>
      </vt:variant>
      <vt:variant>
        <vt:lpwstr>_Toc177467679</vt:lpwstr>
      </vt:variant>
      <vt:variant>
        <vt:i4>1310774</vt:i4>
      </vt:variant>
      <vt:variant>
        <vt:i4>152</vt:i4>
      </vt:variant>
      <vt:variant>
        <vt:i4>0</vt:i4>
      </vt:variant>
      <vt:variant>
        <vt:i4>5</vt:i4>
      </vt:variant>
      <vt:variant>
        <vt:lpwstr/>
      </vt:variant>
      <vt:variant>
        <vt:lpwstr>_Toc177467678</vt:lpwstr>
      </vt:variant>
      <vt:variant>
        <vt:i4>1310774</vt:i4>
      </vt:variant>
      <vt:variant>
        <vt:i4>146</vt:i4>
      </vt:variant>
      <vt:variant>
        <vt:i4>0</vt:i4>
      </vt:variant>
      <vt:variant>
        <vt:i4>5</vt:i4>
      </vt:variant>
      <vt:variant>
        <vt:lpwstr/>
      </vt:variant>
      <vt:variant>
        <vt:lpwstr>_Toc177467677</vt:lpwstr>
      </vt:variant>
      <vt:variant>
        <vt:i4>1310774</vt:i4>
      </vt:variant>
      <vt:variant>
        <vt:i4>140</vt:i4>
      </vt:variant>
      <vt:variant>
        <vt:i4>0</vt:i4>
      </vt:variant>
      <vt:variant>
        <vt:i4>5</vt:i4>
      </vt:variant>
      <vt:variant>
        <vt:lpwstr/>
      </vt:variant>
      <vt:variant>
        <vt:lpwstr>_Toc177467676</vt:lpwstr>
      </vt:variant>
      <vt:variant>
        <vt:i4>1310774</vt:i4>
      </vt:variant>
      <vt:variant>
        <vt:i4>134</vt:i4>
      </vt:variant>
      <vt:variant>
        <vt:i4>0</vt:i4>
      </vt:variant>
      <vt:variant>
        <vt:i4>5</vt:i4>
      </vt:variant>
      <vt:variant>
        <vt:lpwstr/>
      </vt:variant>
      <vt:variant>
        <vt:lpwstr>_Toc177467675</vt:lpwstr>
      </vt:variant>
      <vt:variant>
        <vt:i4>1310774</vt:i4>
      </vt:variant>
      <vt:variant>
        <vt:i4>128</vt:i4>
      </vt:variant>
      <vt:variant>
        <vt:i4>0</vt:i4>
      </vt:variant>
      <vt:variant>
        <vt:i4>5</vt:i4>
      </vt:variant>
      <vt:variant>
        <vt:lpwstr/>
      </vt:variant>
      <vt:variant>
        <vt:lpwstr>_Toc177467674</vt:lpwstr>
      </vt:variant>
      <vt:variant>
        <vt:i4>1310774</vt:i4>
      </vt:variant>
      <vt:variant>
        <vt:i4>122</vt:i4>
      </vt:variant>
      <vt:variant>
        <vt:i4>0</vt:i4>
      </vt:variant>
      <vt:variant>
        <vt:i4>5</vt:i4>
      </vt:variant>
      <vt:variant>
        <vt:lpwstr/>
      </vt:variant>
      <vt:variant>
        <vt:lpwstr>_Toc177467673</vt:lpwstr>
      </vt:variant>
      <vt:variant>
        <vt:i4>1310774</vt:i4>
      </vt:variant>
      <vt:variant>
        <vt:i4>116</vt:i4>
      </vt:variant>
      <vt:variant>
        <vt:i4>0</vt:i4>
      </vt:variant>
      <vt:variant>
        <vt:i4>5</vt:i4>
      </vt:variant>
      <vt:variant>
        <vt:lpwstr/>
      </vt:variant>
      <vt:variant>
        <vt:lpwstr>_Toc177467672</vt:lpwstr>
      </vt:variant>
      <vt:variant>
        <vt:i4>1310774</vt:i4>
      </vt:variant>
      <vt:variant>
        <vt:i4>110</vt:i4>
      </vt:variant>
      <vt:variant>
        <vt:i4>0</vt:i4>
      </vt:variant>
      <vt:variant>
        <vt:i4>5</vt:i4>
      </vt:variant>
      <vt:variant>
        <vt:lpwstr/>
      </vt:variant>
      <vt:variant>
        <vt:lpwstr>_Toc177467671</vt:lpwstr>
      </vt:variant>
      <vt:variant>
        <vt:i4>1310774</vt:i4>
      </vt:variant>
      <vt:variant>
        <vt:i4>104</vt:i4>
      </vt:variant>
      <vt:variant>
        <vt:i4>0</vt:i4>
      </vt:variant>
      <vt:variant>
        <vt:i4>5</vt:i4>
      </vt:variant>
      <vt:variant>
        <vt:lpwstr/>
      </vt:variant>
      <vt:variant>
        <vt:lpwstr>_Toc177467670</vt:lpwstr>
      </vt:variant>
      <vt:variant>
        <vt:i4>1376310</vt:i4>
      </vt:variant>
      <vt:variant>
        <vt:i4>98</vt:i4>
      </vt:variant>
      <vt:variant>
        <vt:i4>0</vt:i4>
      </vt:variant>
      <vt:variant>
        <vt:i4>5</vt:i4>
      </vt:variant>
      <vt:variant>
        <vt:lpwstr/>
      </vt:variant>
      <vt:variant>
        <vt:lpwstr>_Toc177467669</vt:lpwstr>
      </vt:variant>
      <vt:variant>
        <vt:i4>1376310</vt:i4>
      </vt:variant>
      <vt:variant>
        <vt:i4>92</vt:i4>
      </vt:variant>
      <vt:variant>
        <vt:i4>0</vt:i4>
      </vt:variant>
      <vt:variant>
        <vt:i4>5</vt:i4>
      </vt:variant>
      <vt:variant>
        <vt:lpwstr/>
      </vt:variant>
      <vt:variant>
        <vt:lpwstr>_Toc177467668</vt:lpwstr>
      </vt:variant>
      <vt:variant>
        <vt:i4>1376310</vt:i4>
      </vt:variant>
      <vt:variant>
        <vt:i4>86</vt:i4>
      </vt:variant>
      <vt:variant>
        <vt:i4>0</vt:i4>
      </vt:variant>
      <vt:variant>
        <vt:i4>5</vt:i4>
      </vt:variant>
      <vt:variant>
        <vt:lpwstr/>
      </vt:variant>
      <vt:variant>
        <vt:lpwstr>_Toc177467667</vt:lpwstr>
      </vt:variant>
      <vt:variant>
        <vt:i4>1376310</vt:i4>
      </vt:variant>
      <vt:variant>
        <vt:i4>80</vt:i4>
      </vt:variant>
      <vt:variant>
        <vt:i4>0</vt:i4>
      </vt:variant>
      <vt:variant>
        <vt:i4>5</vt:i4>
      </vt:variant>
      <vt:variant>
        <vt:lpwstr/>
      </vt:variant>
      <vt:variant>
        <vt:lpwstr>_Toc177467666</vt:lpwstr>
      </vt:variant>
      <vt:variant>
        <vt:i4>1376310</vt:i4>
      </vt:variant>
      <vt:variant>
        <vt:i4>74</vt:i4>
      </vt:variant>
      <vt:variant>
        <vt:i4>0</vt:i4>
      </vt:variant>
      <vt:variant>
        <vt:i4>5</vt:i4>
      </vt:variant>
      <vt:variant>
        <vt:lpwstr/>
      </vt:variant>
      <vt:variant>
        <vt:lpwstr>_Toc177467665</vt:lpwstr>
      </vt:variant>
      <vt:variant>
        <vt:i4>1376310</vt:i4>
      </vt:variant>
      <vt:variant>
        <vt:i4>68</vt:i4>
      </vt:variant>
      <vt:variant>
        <vt:i4>0</vt:i4>
      </vt:variant>
      <vt:variant>
        <vt:i4>5</vt:i4>
      </vt:variant>
      <vt:variant>
        <vt:lpwstr/>
      </vt:variant>
      <vt:variant>
        <vt:lpwstr>_Toc177467664</vt:lpwstr>
      </vt:variant>
      <vt:variant>
        <vt:i4>1376310</vt:i4>
      </vt:variant>
      <vt:variant>
        <vt:i4>62</vt:i4>
      </vt:variant>
      <vt:variant>
        <vt:i4>0</vt:i4>
      </vt:variant>
      <vt:variant>
        <vt:i4>5</vt:i4>
      </vt:variant>
      <vt:variant>
        <vt:lpwstr/>
      </vt:variant>
      <vt:variant>
        <vt:lpwstr>_Toc177467663</vt:lpwstr>
      </vt:variant>
      <vt:variant>
        <vt:i4>1376310</vt:i4>
      </vt:variant>
      <vt:variant>
        <vt:i4>56</vt:i4>
      </vt:variant>
      <vt:variant>
        <vt:i4>0</vt:i4>
      </vt:variant>
      <vt:variant>
        <vt:i4>5</vt:i4>
      </vt:variant>
      <vt:variant>
        <vt:lpwstr/>
      </vt:variant>
      <vt:variant>
        <vt:lpwstr>_Toc177467662</vt:lpwstr>
      </vt:variant>
      <vt:variant>
        <vt:i4>1835063</vt:i4>
      </vt:variant>
      <vt:variant>
        <vt:i4>44</vt:i4>
      </vt:variant>
      <vt:variant>
        <vt:i4>0</vt:i4>
      </vt:variant>
      <vt:variant>
        <vt:i4>5</vt:i4>
      </vt:variant>
      <vt:variant>
        <vt:lpwstr/>
      </vt:variant>
      <vt:variant>
        <vt:lpwstr>_Toc158882642</vt:lpwstr>
      </vt:variant>
      <vt:variant>
        <vt:i4>1769527</vt:i4>
      </vt:variant>
      <vt:variant>
        <vt:i4>38</vt:i4>
      </vt:variant>
      <vt:variant>
        <vt:i4>0</vt:i4>
      </vt:variant>
      <vt:variant>
        <vt:i4>5</vt:i4>
      </vt:variant>
      <vt:variant>
        <vt:lpwstr/>
      </vt:variant>
      <vt:variant>
        <vt:lpwstr>_Toc158882633</vt:lpwstr>
      </vt:variant>
      <vt:variant>
        <vt:i4>1703991</vt:i4>
      </vt:variant>
      <vt:variant>
        <vt:i4>32</vt:i4>
      </vt:variant>
      <vt:variant>
        <vt:i4>0</vt:i4>
      </vt:variant>
      <vt:variant>
        <vt:i4>5</vt:i4>
      </vt:variant>
      <vt:variant>
        <vt:lpwstr/>
      </vt:variant>
      <vt:variant>
        <vt:lpwstr>_Toc158882625</vt:lpwstr>
      </vt:variant>
      <vt:variant>
        <vt:i4>1638455</vt:i4>
      </vt:variant>
      <vt:variant>
        <vt:i4>26</vt:i4>
      </vt:variant>
      <vt:variant>
        <vt:i4>0</vt:i4>
      </vt:variant>
      <vt:variant>
        <vt:i4>5</vt:i4>
      </vt:variant>
      <vt:variant>
        <vt:lpwstr/>
      </vt:variant>
      <vt:variant>
        <vt:lpwstr>_Toc158882617</vt:lpwstr>
      </vt:variant>
      <vt:variant>
        <vt:i4>1572919</vt:i4>
      </vt:variant>
      <vt:variant>
        <vt:i4>20</vt:i4>
      </vt:variant>
      <vt:variant>
        <vt:i4>0</vt:i4>
      </vt:variant>
      <vt:variant>
        <vt:i4>5</vt:i4>
      </vt:variant>
      <vt:variant>
        <vt:lpwstr/>
      </vt:variant>
      <vt:variant>
        <vt:lpwstr>_Toc158882609</vt:lpwstr>
      </vt:variant>
      <vt:variant>
        <vt:i4>1114164</vt:i4>
      </vt:variant>
      <vt:variant>
        <vt:i4>14</vt:i4>
      </vt:variant>
      <vt:variant>
        <vt:i4>0</vt:i4>
      </vt:variant>
      <vt:variant>
        <vt:i4>5</vt:i4>
      </vt:variant>
      <vt:variant>
        <vt:lpwstr/>
      </vt:variant>
      <vt:variant>
        <vt:lpwstr>_Toc158882599</vt:lpwstr>
      </vt:variant>
      <vt:variant>
        <vt:i4>1114164</vt:i4>
      </vt:variant>
      <vt:variant>
        <vt:i4>8</vt:i4>
      </vt:variant>
      <vt:variant>
        <vt:i4>0</vt:i4>
      </vt:variant>
      <vt:variant>
        <vt:i4>5</vt:i4>
      </vt:variant>
      <vt:variant>
        <vt:lpwstr/>
      </vt:variant>
      <vt:variant>
        <vt:lpwstr>_Toc158882592</vt:lpwstr>
      </vt:variant>
      <vt:variant>
        <vt:i4>1048628</vt:i4>
      </vt:variant>
      <vt:variant>
        <vt:i4>2</vt:i4>
      </vt:variant>
      <vt:variant>
        <vt:i4>0</vt:i4>
      </vt:variant>
      <vt:variant>
        <vt:i4>5</vt:i4>
      </vt:variant>
      <vt:variant>
        <vt:lpwstr/>
      </vt:variant>
      <vt:variant>
        <vt:lpwstr>_Toc158882588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BESHARA, Alfred</dc:creator>
  <cp:keywords/>
  <dc:description/>
  <cp:lastModifiedBy>SPALLEK, Alexandra</cp:lastModifiedBy>
  <cp:revision>9</cp:revision>
  <cp:lastPrinted>2023-08-27T14:39:00Z</cp:lastPrinted>
  <dcterms:created xsi:type="dcterms:W3CDTF">2025-03-06T23:59:00Z</dcterms:created>
  <dcterms:modified xsi:type="dcterms:W3CDTF">2025-05-13T01:58:00Z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ies>
</file>