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Pr="00137504" w:rsidRDefault="00707A91" w:rsidP="00AD22E1">
      <w:pPr>
        <w:spacing w:after="1320"/>
        <w:rPr>
          <w:rFonts w:cs="Arial"/>
          <w:lang w:val="en-AU"/>
        </w:rPr>
      </w:pPr>
      <w:r w:rsidRPr="00137504">
        <w:rPr>
          <w:rFonts w:cs="Arial"/>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595BBCD7" w:rsidR="00707A91" w:rsidRPr="00137504" w:rsidRDefault="00D379AE" w:rsidP="00723269">
      <w:pPr>
        <w:pStyle w:val="CoverTitle"/>
        <w:ind w:right="107"/>
        <w:rPr>
          <w:rFonts w:cs="Arial"/>
          <w:lang w:val="en-AU"/>
        </w:rPr>
      </w:pPr>
      <w:r w:rsidRPr="00745CC9">
        <w:t>Shadow Pricing Guideline</w:t>
      </w:r>
      <w:r>
        <w:t>s</w:t>
      </w:r>
    </w:p>
    <w:p w14:paraId="5867E2AE" w14:textId="39C70562" w:rsidR="00493FE8" w:rsidRPr="00137504" w:rsidRDefault="008A617C" w:rsidP="004606DD">
      <w:pPr>
        <w:pStyle w:val="Coversubtitle"/>
        <w:rPr>
          <w:rFonts w:cs="Arial"/>
          <w:sz w:val="40"/>
          <w:szCs w:val="40"/>
          <w:lang w:val="en-AU"/>
        </w:rPr>
        <w:sectPr w:rsidR="00493FE8" w:rsidRPr="00137504" w:rsidSect="00E426C6">
          <w:headerReference w:type="default" r:id="rId10"/>
          <w:type w:val="continuous"/>
          <w:pgSz w:w="11906" w:h="16838" w:code="9"/>
          <w:pgMar w:top="1440" w:right="1080" w:bottom="1440" w:left="1080" w:header="708" w:footer="708" w:gutter="0"/>
          <w:cols w:space="720"/>
          <w:docGrid w:linePitch="360"/>
        </w:sectPr>
      </w:pPr>
      <w:r>
        <w:rPr>
          <w:rFonts w:cs="Arial"/>
          <w:sz w:val="40"/>
          <w:szCs w:val="40"/>
          <w:lang w:val="en-AU"/>
        </w:rPr>
        <w:t xml:space="preserve">June </w:t>
      </w:r>
      <w:r w:rsidR="00D94B02">
        <w:rPr>
          <w:rFonts w:cs="Arial"/>
          <w:sz w:val="40"/>
          <w:szCs w:val="40"/>
          <w:lang w:val="en-AU"/>
        </w:rPr>
        <w:t>2023</w:t>
      </w:r>
    </w:p>
    <w:p w14:paraId="20BF2D79" w14:textId="191B3544" w:rsidR="00276510" w:rsidRPr="00137504" w:rsidRDefault="00D379AE" w:rsidP="00276510">
      <w:pPr>
        <w:pStyle w:val="Copyrightheading"/>
        <w:rPr>
          <w:rFonts w:cs="Arial"/>
          <w:lang w:val="en-AU"/>
        </w:rPr>
      </w:pPr>
      <w:r>
        <w:rPr>
          <w:rFonts w:cs="Arial"/>
          <w:lang w:val="en-AU"/>
        </w:rPr>
        <w:lastRenderedPageBreak/>
        <w:t>Shadow Pricing Guidelines</w:t>
      </w:r>
      <w:r w:rsidR="00BF41F8" w:rsidRPr="00137504">
        <w:rPr>
          <w:rFonts w:cs="Arial"/>
          <w:lang w:val="en-AU"/>
        </w:rPr>
        <w:t xml:space="preserve"> – </w:t>
      </w:r>
      <w:r w:rsidR="00BF41F8" w:rsidRPr="00E27E04">
        <w:rPr>
          <w:rFonts w:cs="Arial"/>
          <w:lang w:val="en-AU"/>
        </w:rPr>
        <w:t xml:space="preserve">Version </w:t>
      </w:r>
      <w:r w:rsidR="00D94B02" w:rsidRPr="00E27E04">
        <w:rPr>
          <w:rFonts w:cs="Arial"/>
          <w:lang w:val="en-AU"/>
        </w:rPr>
        <w:t>3</w:t>
      </w:r>
      <w:r w:rsidR="001A43AC" w:rsidRPr="00E27E04">
        <w:rPr>
          <w:rFonts w:cs="Arial"/>
          <w:lang w:val="en-AU"/>
        </w:rPr>
        <w:t>.0</w:t>
      </w:r>
      <w:r w:rsidR="00B00FA4" w:rsidRPr="00E27E04">
        <w:rPr>
          <w:rFonts w:cs="Arial"/>
          <w:lang w:val="en-AU"/>
        </w:rPr>
        <w:t xml:space="preserve"> </w:t>
      </w:r>
      <w:r w:rsidR="00FD0E17">
        <w:rPr>
          <w:rFonts w:cs="Arial"/>
          <w:lang w:val="en-AU"/>
        </w:rPr>
        <w:t xml:space="preserve">June </w:t>
      </w:r>
      <w:r w:rsidR="00D94B02" w:rsidRPr="00137504">
        <w:rPr>
          <w:rFonts w:cs="Arial"/>
          <w:lang w:val="en-AU"/>
        </w:rPr>
        <w:t>202</w:t>
      </w:r>
      <w:r w:rsidR="00D94B02">
        <w:rPr>
          <w:rFonts w:cs="Arial"/>
          <w:lang w:val="en-AU"/>
        </w:rPr>
        <w:t>3</w:t>
      </w:r>
    </w:p>
    <w:p w14:paraId="61404F53" w14:textId="43D73AE8" w:rsidR="00276510" w:rsidRPr="00137504" w:rsidRDefault="00276510" w:rsidP="00276510">
      <w:pPr>
        <w:pStyle w:val="Copyrightcopy"/>
        <w:rPr>
          <w:rFonts w:cs="Arial"/>
          <w:lang w:val="en-AU"/>
        </w:rPr>
      </w:pPr>
      <w:r w:rsidRPr="00137504">
        <w:rPr>
          <w:rFonts w:cs="Arial"/>
          <w:lang w:val="en-AU"/>
        </w:rPr>
        <w:t>© Independent Health and Aged Care Pricing Authority 202</w:t>
      </w:r>
      <w:r w:rsidR="003F32CF">
        <w:rPr>
          <w:rFonts w:cs="Arial"/>
          <w:lang w:val="en-AU"/>
        </w:rPr>
        <w:t>3</w:t>
      </w:r>
    </w:p>
    <w:p w14:paraId="7B301138" w14:textId="76AFE822" w:rsidR="00276510" w:rsidRPr="00137504" w:rsidRDefault="00276510" w:rsidP="00276510">
      <w:pPr>
        <w:pStyle w:val="Copyrightcopy"/>
        <w:rPr>
          <w:rFonts w:cs="Arial"/>
          <w:lang w:val="en-AU"/>
        </w:rPr>
      </w:pPr>
      <w:r w:rsidRPr="00137504">
        <w:rPr>
          <w:rFonts w:cs="Arial"/>
          <w:lang w:val="en-AU"/>
        </w:rPr>
        <w:t xml:space="preserve">This publication is available for your use under a </w:t>
      </w:r>
      <w:hyperlink r:id="rId11" w:history="1">
        <w:r w:rsidRPr="002528A1">
          <w:rPr>
            <w:rStyle w:val="Hyperlink"/>
            <w:rFonts w:cs="Arial"/>
            <w:lang w:val="en-AU"/>
          </w:rPr>
          <w:t>Creative Commons B</w:t>
        </w:r>
        <w:r w:rsidR="00834DC1" w:rsidRPr="00834DC1">
          <w:rPr>
            <w:rStyle w:val="Hyperlink"/>
            <w:rFonts w:cs="Arial"/>
            <w:color w:val="FF0000"/>
            <w:lang w:val="en-AU"/>
          </w:rPr>
          <w:t>Y</w:t>
        </w:r>
        <w:r w:rsidRPr="002528A1">
          <w:rPr>
            <w:rStyle w:val="Hyperlink"/>
            <w:rFonts w:cs="Arial"/>
            <w:lang w:val="en-AU"/>
          </w:rPr>
          <w:t xml:space="preserve"> Attribution 3.0 Australia licence</w:t>
        </w:r>
      </w:hyperlink>
      <w:r w:rsidRPr="00137504">
        <w:rPr>
          <w:rFonts w:cs="Arial"/>
          <w:lang w:val="en-AU"/>
        </w:rPr>
        <w:t>, with the exception of the Independent Health and Aged Care Pricing Authority logo, photographs, images, signatures and where otherwise stated. The full licence terms are available from the Creative Commons website.</w:t>
      </w:r>
    </w:p>
    <w:p w14:paraId="7E118B06" w14:textId="77777777" w:rsidR="00276510" w:rsidRPr="00137504" w:rsidRDefault="00276510" w:rsidP="00276510">
      <w:pPr>
        <w:pStyle w:val="Copyrightcopy"/>
        <w:rPr>
          <w:rFonts w:cs="Arial"/>
          <w:lang w:val="en-AU"/>
        </w:rPr>
      </w:pPr>
      <w:r w:rsidRPr="00137504">
        <w:rPr>
          <w:rFonts w:cs="Arial"/>
          <w:noProof/>
          <w:lang w:val="en-AU"/>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2">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137504">
        <w:rPr>
          <w:rFonts w:cs="Arial"/>
          <w:lang w:val="en-AU"/>
        </w:rPr>
        <w:t xml:space="preserve"> </w:t>
      </w:r>
    </w:p>
    <w:p w14:paraId="020F64C9" w14:textId="08F0F8B5" w:rsidR="00276510" w:rsidRPr="00137504" w:rsidRDefault="00276510" w:rsidP="00276510">
      <w:pPr>
        <w:pStyle w:val="Copyrightcopy"/>
        <w:rPr>
          <w:rFonts w:cs="Arial"/>
          <w:lang w:val="en-AU"/>
        </w:rPr>
      </w:pPr>
      <w:r w:rsidRPr="00137504">
        <w:rPr>
          <w:rFonts w:cs="Arial"/>
          <w:lang w:val="en-AU"/>
        </w:rPr>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 work).</w:t>
      </w:r>
    </w:p>
    <w:p w14:paraId="239A3363" w14:textId="2ED9F348" w:rsidR="00276510" w:rsidRPr="00137504" w:rsidRDefault="00276510" w:rsidP="00276510">
      <w:pPr>
        <w:pStyle w:val="Copyrightcopy"/>
        <w:rPr>
          <w:rFonts w:cs="Arial"/>
          <w:lang w:val="en-AU"/>
        </w:rPr>
      </w:pPr>
      <w:r w:rsidRPr="00137504">
        <w:rPr>
          <w:rFonts w:cs="Arial"/>
          <w:lang w:val="en-AU"/>
        </w:rPr>
        <w:t xml:space="preserve">Independent Health and Aged Care Pricing Authority material used </w:t>
      </w:r>
      <w:r w:rsidR="006D0BA2" w:rsidRPr="00137504">
        <w:rPr>
          <w:rFonts w:cs="Arial"/>
          <w:lang w:val="en-AU"/>
        </w:rPr>
        <w:t>‘</w:t>
      </w:r>
      <w:r w:rsidRPr="00137504">
        <w:rPr>
          <w:rFonts w:cs="Arial"/>
          <w:lang w:val="en-AU"/>
        </w:rPr>
        <w:t>as supplied</w:t>
      </w:r>
      <w:r w:rsidR="006D0BA2" w:rsidRPr="00137504">
        <w:rPr>
          <w:rFonts w:cs="Arial"/>
          <w:lang w:val="en-AU"/>
        </w:rPr>
        <w:t>’</w:t>
      </w:r>
      <w:r w:rsidRPr="00137504">
        <w:rPr>
          <w:rFonts w:cs="Arial"/>
          <w:lang w:val="en-AU"/>
        </w:rPr>
        <w:t>.</w:t>
      </w:r>
    </w:p>
    <w:p w14:paraId="6DB21190" w14:textId="77777777" w:rsidR="00276510" w:rsidRPr="00137504" w:rsidRDefault="00276510" w:rsidP="00276510">
      <w:pPr>
        <w:pStyle w:val="Copyrightcopy"/>
        <w:rPr>
          <w:rFonts w:cs="Arial"/>
          <w:lang w:val="en-AU"/>
        </w:rPr>
      </w:pPr>
      <w:r w:rsidRPr="00137504">
        <w:rPr>
          <w:rFonts w:cs="Arial"/>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18AA2E10" w14:textId="47D4E080" w:rsidR="00276510" w:rsidRPr="00137504" w:rsidRDefault="00276510" w:rsidP="00276510">
      <w:pPr>
        <w:pStyle w:val="Copyrightcopy"/>
        <w:rPr>
          <w:rFonts w:cs="Arial"/>
          <w:lang w:val="en-AU"/>
        </w:rPr>
        <w:sectPr w:rsidR="00276510" w:rsidRPr="00137504" w:rsidSect="00276510">
          <w:headerReference w:type="default" r:id="rId13"/>
          <w:footerReference w:type="default" r:id="rId14"/>
          <w:pgSz w:w="11906" w:h="16838" w:code="9"/>
          <w:pgMar w:top="7371" w:right="1077" w:bottom="1440" w:left="1077" w:header="709" w:footer="709" w:gutter="0"/>
          <w:cols w:space="720"/>
          <w:docGrid w:linePitch="360"/>
        </w:sectPr>
      </w:pPr>
      <w:r w:rsidRPr="00137504">
        <w:rPr>
          <w:rFonts w:cs="Arial"/>
          <w:lang w:val="en-AU"/>
        </w:rPr>
        <w:t>Source: The Independent Health and Aged Care Pricing Authority</w:t>
      </w:r>
    </w:p>
    <w:p w14:paraId="0DB615F4" w14:textId="32FBC1E1" w:rsidR="00723269" w:rsidRPr="00137504" w:rsidRDefault="00723269" w:rsidP="004606DD">
      <w:pPr>
        <w:pStyle w:val="Heading1"/>
        <w:numPr>
          <w:ilvl w:val="0"/>
          <w:numId w:val="0"/>
        </w:numPr>
        <w:rPr>
          <w:rFonts w:cs="Arial"/>
        </w:rPr>
      </w:pPr>
      <w:bookmarkStart w:id="0" w:name="_Toc113568509"/>
      <w:bookmarkStart w:id="1" w:name="_Toc113579393"/>
      <w:bookmarkStart w:id="2" w:name="_Toc113632745"/>
      <w:bookmarkStart w:id="3" w:name="_Toc114170121"/>
      <w:bookmarkStart w:id="4" w:name="_Toc114236946"/>
      <w:bookmarkStart w:id="5" w:name="_Toc114498844"/>
      <w:bookmarkStart w:id="6" w:name="_Toc116550297"/>
      <w:bookmarkStart w:id="7" w:name="_Toc116558925"/>
      <w:bookmarkStart w:id="8" w:name="_Toc116559442"/>
      <w:bookmarkStart w:id="9" w:name="_Toc116642026"/>
      <w:bookmarkStart w:id="10" w:name="_Toc130759321"/>
      <w:r w:rsidRPr="00137504">
        <w:rPr>
          <w:rFonts w:cs="Arial"/>
        </w:rPr>
        <w:lastRenderedPageBreak/>
        <w:t xml:space="preserve">Table of </w:t>
      </w:r>
      <w:r w:rsidR="003F32CF">
        <w:rPr>
          <w:rFonts w:cs="Arial"/>
        </w:rPr>
        <w:t>C</w:t>
      </w:r>
      <w:r w:rsidRPr="00137504">
        <w:rPr>
          <w:rFonts w:cs="Arial"/>
        </w:rPr>
        <w:t>ontents</w:t>
      </w:r>
      <w:bookmarkEnd w:id="0"/>
      <w:bookmarkEnd w:id="1"/>
      <w:bookmarkEnd w:id="2"/>
      <w:bookmarkEnd w:id="3"/>
      <w:bookmarkEnd w:id="4"/>
      <w:bookmarkEnd w:id="5"/>
      <w:bookmarkEnd w:id="6"/>
      <w:bookmarkEnd w:id="7"/>
      <w:bookmarkEnd w:id="8"/>
      <w:bookmarkEnd w:id="9"/>
      <w:bookmarkEnd w:id="10"/>
    </w:p>
    <w:p w14:paraId="177C9042" w14:textId="77777777" w:rsidR="00BF41F8" w:rsidRPr="00137504" w:rsidRDefault="00BF41F8" w:rsidP="00BF41F8">
      <w:pPr>
        <w:rPr>
          <w:rFonts w:cs="Arial"/>
          <w:lang w:val="en-AU"/>
        </w:rPr>
      </w:pPr>
    </w:p>
    <w:p w14:paraId="4C29EFCF" w14:textId="486E2DA8" w:rsidR="009D1097" w:rsidRDefault="00CA1505">
      <w:pPr>
        <w:pStyle w:val="TOC1"/>
        <w:tabs>
          <w:tab w:val="right" w:leader="dot" w:pos="9736"/>
        </w:tabs>
        <w:rPr>
          <w:rFonts w:asciiTheme="minorHAnsi" w:eastAsiaTheme="minorEastAsia" w:hAnsiTheme="minorHAnsi"/>
          <w:b w:val="0"/>
          <w:noProof/>
          <w:color w:val="auto"/>
          <w:sz w:val="22"/>
          <w:lang w:val="en-AU" w:eastAsia="en-AU"/>
        </w:rPr>
      </w:pPr>
      <w:r w:rsidRPr="00137504">
        <w:rPr>
          <w:rFonts w:cs="Arial"/>
          <w:b w:val="0"/>
          <w:lang w:val="en-AU"/>
        </w:rPr>
        <w:fldChar w:fldCharType="begin"/>
      </w:r>
      <w:r w:rsidRPr="00137504">
        <w:rPr>
          <w:rFonts w:cs="Arial"/>
          <w:b w:val="0"/>
          <w:lang w:val="en-AU"/>
        </w:rPr>
        <w:instrText xml:space="preserve"> TOC \o "1-1" \u </w:instrText>
      </w:r>
      <w:r w:rsidRPr="00137504">
        <w:rPr>
          <w:rFonts w:cs="Arial"/>
          <w:b w:val="0"/>
          <w:lang w:val="en-AU"/>
        </w:rPr>
        <w:fldChar w:fldCharType="separate"/>
      </w:r>
      <w:r w:rsidR="009D1097" w:rsidRPr="00F8676A">
        <w:rPr>
          <w:rFonts w:cs="Arial"/>
          <w:noProof/>
        </w:rPr>
        <w:t>Table of Contents</w:t>
      </w:r>
      <w:r w:rsidR="009D1097">
        <w:rPr>
          <w:noProof/>
        </w:rPr>
        <w:tab/>
      </w:r>
      <w:r w:rsidR="009D1097">
        <w:rPr>
          <w:noProof/>
        </w:rPr>
        <w:fldChar w:fldCharType="begin"/>
      </w:r>
      <w:r w:rsidR="009D1097">
        <w:rPr>
          <w:noProof/>
        </w:rPr>
        <w:instrText xml:space="preserve"> PAGEREF _Toc130759321 \h </w:instrText>
      </w:r>
      <w:r w:rsidR="009D1097">
        <w:rPr>
          <w:noProof/>
        </w:rPr>
      </w:r>
      <w:r w:rsidR="009D1097">
        <w:rPr>
          <w:noProof/>
        </w:rPr>
        <w:fldChar w:fldCharType="separate"/>
      </w:r>
      <w:r w:rsidR="009D1097">
        <w:rPr>
          <w:noProof/>
        </w:rPr>
        <w:t>3</w:t>
      </w:r>
      <w:r w:rsidR="009D1097">
        <w:rPr>
          <w:noProof/>
        </w:rPr>
        <w:fldChar w:fldCharType="end"/>
      </w:r>
    </w:p>
    <w:p w14:paraId="7FE1BD20" w14:textId="6CE5A22E" w:rsidR="009D1097" w:rsidRDefault="009D1097">
      <w:pPr>
        <w:pStyle w:val="TOC1"/>
        <w:tabs>
          <w:tab w:val="right" w:leader="dot" w:pos="9736"/>
        </w:tabs>
        <w:rPr>
          <w:rFonts w:asciiTheme="minorHAnsi" w:eastAsiaTheme="minorEastAsia" w:hAnsiTheme="minorHAnsi"/>
          <w:b w:val="0"/>
          <w:noProof/>
          <w:color w:val="auto"/>
          <w:sz w:val="22"/>
          <w:lang w:val="en-AU" w:eastAsia="en-AU"/>
        </w:rPr>
      </w:pPr>
      <w:r w:rsidRPr="00F8676A">
        <w:rPr>
          <w:rFonts w:cs="Arial"/>
          <w:noProof/>
        </w:rPr>
        <w:t>Acronyms and abbreviations</w:t>
      </w:r>
      <w:r>
        <w:rPr>
          <w:noProof/>
        </w:rPr>
        <w:tab/>
      </w:r>
      <w:r>
        <w:rPr>
          <w:noProof/>
        </w:rPr>
        <w:fldChar w:fldCharType="begin"/>
      </w:r>
      <w:r>
        <w:rPr>
          <w:noProof/>
        </w:rPr>
        <w:instrText xml:space="preserve"> PAGEREF _Toc130759322 \h </w:instrText>
      </w:r>
      <w:r>
        <w:rPr>
          <w:noProof/>
        </w:rPr>
      </w:r>
      <w:r>
        <w:rPr>
          <w:noProof/>
        </w:rPr>
        <w:fldChar w:fldCharType="separate"/>
      </w:r>
      <w:r>
        <w:rPr>
          <w:noProof/>
        </w:rPr>
        <w:t>4</w:t>
      </w:r>
      <w:r>
        <w:rPr>
          <w:noProof/>
        </w:rPr>
        <w:fldChar w:fldCharType="end"/>
      </w:r>
    </w:p>
    <w:p w14:paraId="1221682B" w14:textId="1EB9B462" w:rsidR="009D1097" w:rsidRDefault="009D1097">
      <w:pPr>
        <w:pStyle w:val="TOC1"/>
        <w:tabs>
          <w:tab w:val="right" w:leader="dot" w:pos="9736"/>
        </w:tabs>
        <w:rPr>
          <w:rFonts w:asciiTheme="minorHAnsi" w:eastAsiaTheme="minorEastAsia" w:hAnsiTheme="minorHAnsi"/>
          <w:b w:val="0"/>
          <w:noProof/>
          <w:color w:val="auto"/>
          <w:sz w:val="22"/>
          <w:lang w:val="en-AU" w:eastAsia="en-AU"/>
        </w:rPr>
      </w:pPr>
      <w:r w:rsidRPr="00F8676A">
        <w:rPr>
          <w:rFonts w:cs="Arial"/>
          <w:noProof/>
        </w:rPr>
        <w:t>Definitions</w:t>
      </w:r>
      <w:r>
        <w:rPr>
          <w:noProof/>
        </w:rPr>
        <w:tab/>
      </w:r>
      <w:r>
        <w:rPr>
          <w:noProof/>
        </w:rPr>
        <w:fldChar w:fldCharType="begin"/>
      </w:r>
      <w:r>
        <w:rPr>
          <w:noProof/>
        </w:rPr>
        <w:instrText xml:space="preserve"> PAGEREF _Toc130759323 \h </w:instrText>
      </w:r>
      <w:r>
        <w:rPr>
          <w:noProof/>
        </w:rPr>
      </w:r>
      <w:r>
        <w:rPr>
          <w:noProof/>
        </w:rPr>
        <w:fldChar w:fldCharType="separate"/>
      </w:r>
      <w:r>
        <w:rPr>
          <w:noProof/>
        </w:rPr>
        <w:t>4</w:t>
      </w:r>
      <w:r>
        <w:rPr>
          <w:noProof/>
        </w:rPr>
        <w:fldChar w:fldCharType="end"/>
      </w:r>
    </w:p>
    <w:p w14:paraId="26A5F0B2" w14:textId="4F541AD0" w:rsidR="009D1097" w:rsidRDefault="009D1097">
      <w:pPr>
        <w:pStyle w:val="TOC1"/>
        <w:tabs>
          <w:tab w:val="left" w:pos="440"/>
          <w:tab w:val="right" w:leader="dot" w:pos="9736"/>
        </w:tabs>
        <w:rPr>
          <w:rFonts w:asciiTheme="minorHAnsi" w:eastAsiaTheme="minorEastAsia" w:hAnsiTheme="minorHAnsi"/>
          <w:b w:val="0"/>
          <w:noProof/>
          <w:color w:val="auto"/>
          <w:sz w:val="22"/>
          <w:lang w:val="en-AU" w:eastAsia="en-AU"/>
        </w:rPr>
      </w:pPr>
      <w:r w:rsidRPr="00F8676A">
        <w:rPr>
          <w:rFonts w:cs="Arial"/>
          <w:noProof/>
        </w:rPr>
        <w:t>1.</w:t>
      </w:r>
      <w:r>
        <w:rPr>
          <w:rFonts w:asciiTheme="minorHAnsi" w:eastAsiaTheme="minorEastAsia" w:hAnsiTheme="minorHAnsi"/>
          <w:b w:val="0"/>
          <w:noProof/>
          <w:color w:val="auto"/>
          <w:sz w:val="22"/>
          <w:lang w:val="en-AU" w:eastAsia="en-AU"/>
        </w:rPr>
        <w:tab/>
      </w:r>
      <w:r w:rsidRPr="00F8676A">
        <w:rPr>
          <w:rFonts w:cs="Arial"/>
          <w:noProof/>
        </w:rPr>
        <w:t>Executive summary</w:t>
      </w:r>
      <w:r>
        <w:rPr>
          <w:noProof/>
        </w:rPr>
        <w:tab/>
      </w:r>
      <w:r>
        <w:rPr>
          <w:noProof/>
        </w:rPr>
        <w:fldChar w:fldCharType="begin"/>
      </w:r>
      <w:r>
        <w:rPr>
          <w:noProof/>
        </w:rPr>
        <w:instrText xml:space="preserve"> PAGEREF _Toc130759324 \h </w:instrText>
      </w:r>
      <w:r>
        <w:rPr>
          <w:noProof/>
        </w:rPr>
      </w:r>
      <w:r>
        <w:rPr>
          <w:noProof/>
        </w:rPr>
        <w:fldChar w:fldCharType="separate"/>
      </w:r>
      <w:r>
        <w:rPr>
          <w:noProof/>
        </w:rPr>
        <w:t>5</w:t>
      </w:r>
      <w:r>
        <w:rPr>
          <w:noProof/>
        </w:rPr>
        <w:fldChar w:fldCharType="end"/>
      </w:r>
    </w:p>
    <w:p w14:paraId="470FA38C" w14:textId="069C82CC" w:rsidR="009D1097" w:rsidRDefault="009D1097">
      <w:pPr>
        <w:pStyle w:val="TOC1"/>
        <w:tabs>
          <w:tab w:val="left" w:pos="440"/>
          <w:tab w:val="right" w:leader="dot" w:pos="9736"/>
        </w:tabs>
        <w:rPr>
          <w:rFonts w:asciiTheme="minorHAnsi" w:eastAsiaTheme="minorEastAsia" w:hAnsiTheme="minorHAnsi"/>
          <w:b w:val="0"/>
          <w:noProof/>
          <w:color w:val="auto"/>
          <w:sz w:val="22"/>
          <w:lang w:val="en-AU" w:eastAsia="en-AU"/>
        </w:rPr>
      </w:pPr>
      <w:r w:rsidRPr="00F8676A">
        <w:rPr>
          <w:rFonts w:cs="Arial"/>
          <w:noProof/>
        </w:rPr>
        <w:t>2.</w:t>
      </w:r>
      <w:r>
        <w:rPr>
          <w:rFonts w:asciiTheme="minorHAnsi" w:eastAsiaTheme="minorEastAsia" w:hAnsiTheme="minorHAnsi"/>
          <w:b w:val="0"/>
          <w:noProof/>
          <w:color w:val="auto"/>
          <w:sz w:val="22"/>
          <w:lang w:val="en-AU" w:eastAsia="en-AU"/>
        </w:rPr>
        <w:tab/>
      </w:r>
      <w:r>
        <w:rPr>
          <w:noProof/>
        </w:rPr>
        <w:t>Assessing readiness for shadow pricing</w:t>
      </w:r>
      <w:r>
        <w:rPr>
          <w:noProof/>
        </w:rPr>
        <w:tab/>
      </w:r>
      <w:r>
        <w:rPr>
          <w:noProof/>
        </w:rPr>
        <w:fldChar w:fldCharType="begin"/>
      </w:r>
      <w:r>
        <w:rPr>
          <w:noProof/>
        </w:rPr>
        <w:instrText xml:space="preserve"> PAGEREF _Toc130759325 \h </w:instrText>
      </w:r>
      <w:r>
        <w:rPr>
          <w:noProof/>
        </w:rPr>
      </w:r>
      <w:r>
        <w:rPr>
          <w:noProof/>
        </w:rPr>
        <w:fldChar w:fldCharType="separate"/>
      </w:r>
      <w:r>
        <w:rPr>
          <w:noProof/>
        </w:rPr>
        <w:t>7</w:t>
      </w:r>
      <w:r>
        <w:rPr>
          <w:noProof/>
        </w:rPr>
        <w:fldChar w:fldCharType="end"/>
      </w:r>
    </w:p>
    <w:p w14:paraId="3E020541" w14:textId="653631D5" w:rsidR="009D1097" w:rsidRDefault="009D1097">
      <w:pPr>
        <w:pStyle w:val="TOC1"/>
        <w:tabs>
          <w:tab w:val="left" w:pos="440"/>
          <w:tab w:val="right" w:leader="dot" w:pos="9736"/>
        </w:tabs>
        <w:rPr>
          <w:rFonts w:asciiTheme="minorHAnsi" w:eastAsiaTheme="minorEastAsia" w:hAnsiTheme="minorHAnsi"/>
          <w:b w:val="0"/>
          <w:noProof/>
          <w:color w:val="auto"/>
          <w:sz w:val="22"/>
          <w:lang w:val="en-AU" w:eastAsia="en-AU"/>
        </w:rPr>
      </w:pPr>
      <w:r w:rsidRPr="00F8676A">
        <w:rPr>
          <w:rFonts w:cs="Arial"/>
          <w:noProof/>
        </w:rPr>
        <w:t>3.</w:t>
      </w:r>
      <w:r>
        <w:rPr>
          <w:rFonts w:asciiTheme="minorHAnsi" w:eastAsiaTheme="minorEastAsia" w:hAnsiTheme="minorHAnsi"/>
          <w:b w:val="0"/>
          <w:noProof/>
          <w:color w:val="auto"/>
          <w:sz w:val="22"/>
          <w:lang w:val="en-AU" w:eastAsia="en-AU"/>
        </w:rPr>
        <w:tab/>
      </w:r>
      <w:r>
        <w:rPr>
          <w:noProof/>
        </w:rPr>
        <w:t>Progression to pricing</w:t>
      </w:r>
      <w:r>
        <w:rPr>
          <w:noProof/>
        </w:rPr>
        <w:tab/>
      </w:r>
      <w:r>
        <w:rPr>
          <w:noProof/>
        </w:rPr>
        <w:fldChar w:fldCharType="begin"/>
      </w:r>
      <w:r>
        <w:rPr>
          <w:noProof/>
        </w:rPr>
        <w:instrText xml:space="preserve"> PAGEREF _Toc130759326 \h </w:instrText>
      </w:r>
      <w:r>
        <w:rPr>
          <w:noProof/>
        </w:rPr>
      </w:r>
      <w:r>
        <w:rPr>
          <w:noProof/>
        </w:rPr>
        <w:fldChar w:fldCharType="separate"/>
      </w:r>
      <w:r>
        <w:rPr>
          <w:noProof/>
        </w:rPr>
        <w:t>10</w:t>
      </w:r>
      <w:r>
        <w:rPr>
          <w:noProof/>
        </w:rPr>
        <w:fldChar w:fldCharType="end"/>
      </w:r>
    </w:p>
    <w:p w14:paraId="6E906ED2" w14:textId="5E6500D1" w:rsidR="009D1097" w:rsidRDefault="009D1097">
      <w:pPr>
        <w:pStyle w:val="TOC1"/>
        <w:tabs>
          <w:tab w:val="right" w:leader="dot" w:pos="9736"/>
        </w:tabs>
        <w:rPr>
          <w:rFonts w:asciiTheme="minorHAnsi" w:eastAsiaTheme="minorEastAsia" w:hAnsiTheme="minorHAnsi"/>
          <w:b w:val="0"/>
          <w:noProof/>
          <w:color w:val="auto"/>
          <w:sz w:val="22"/>
          <w:lang w:val="en-AU" w:eastAsia="en-AU"/>
        </w:rPr>
      </w:pPr>
      <w:r w:rsidRPr="00F8676A">
        <w:rPr>
          <w:rFonts w:cs="Arial"/>
          <w:noProof/>
        </w:rPr>
        <w:t>Appendix A: Extracts from the Addendum</w:t>
      </w:r>
      <w:r>
        <w:rPr>
          <w:noProof/>
        </w:rPr>
        <w:tab/>
      </w:r>
      <w:r>
        <w:rPr>
          <w:noProof/>
        </w:rPr>
        <w:fldChar w:fldCharType="begin"/>
      </w:r>
      <w:r>
        <w:rPr>
          <w:noProof/>
        </w:rPr>
        <w:instrText xml:space="preserve"> PAGEREF _Toc130759327 \h </w:instrText>
      </w:r>
      <w:r>
        <w:rPr>
          <w:noProof/>
        </w:rPr>
      </w:r>
      <w:r>
        <w:rPr>
          <w:noProof/>
        </w:rPr>
        <w:fldChar w:fldCharType="separate"/>
      </w:r>
      <w:r>
        <w:rPr>
          <w:noProof/>
        </w:rPr>
        <w:t>11</w:t>
      </w:r>
      <w:r>
        <w:rPr>
          <w:noProof/>
        </w:rPr>
        <w:fldChar w:fldCharType="end"/>
      </w:r>
    </w:p>
    <w:p w14:paraId="06041AB6" w14:textId="7FE5B6D7" w:rsidR="00723269" w:rsidRPr="00137504" w:rsidRDefault="00CA1505" w:rsidP="00723269">
      <w:pPr>
        <w:rPr>
          <w:rFonts w:cs="Arial"/>
          <w:lang w:val="en-AU"/>
        </w:rPr>
      </w:pPr>
      <w:r w:rsidRPr="00137504">
        <w:rPr>
          <w:rFonts w:cs="Arial"/>
          <w:b/>
          <w:sz w:val="24"/>
          <w:lang w:val="en-AU"/>
        </w:rPr>
        <w:fldChar w:fldCharType="end"/>
      </w:r>
    </w:p>
    <w:p w14:paraId="03E9E655" w14:textId="77777777" w:rsidR="00723269" w:rsidRPr="00137504" w:rsidRDefault="00723269">
      <w:pPr>
        <w:spacing w:line="259" w:lineRule="auto"/>
        <w:rPr>
          <w:rFonts w:eastAsiaTheme="majorEastAsia" w:cs="Arial"/>
          <w:b/>
          <w:sz w:val="72"/>
          <w:szCs w:val="32"/>
          <w:lang w:val="en-AU"/>
        </w:rPr>
      </w:pPr>
      <w:r w:rsidRPr="00137504">
        <w:rPr>
          <w:rFonts w:cs="Arial"/>
          <w:lang w:val="en-AU"/>
        </w:rPr>
        <w:br w:type="page"/>
      </w:r>
    </w:p>
    <w:p w14:paraId="7E24FFFB" w14:textId="4E4302F1" w:rsidR="00723269" w:rsidRPr="00137504" w:rsidRDefault="004606DD" w:rsidP="004606DD">
      <w:pPr>
        <w:pStyle w:val="Heading1"/>
        <w:numPr>
          <w:ilvl w:val="0"/>
          <w:numId w:val="0"/>
        </w:numPr>
        <w:rPr>
          <w:rFonts w:cs="Arial"/>
          <w:sz w:val="64"/>
          <w:szCs w:val="64"/>
        </w:rPr>
      </w:pPr>
      <w:bookmarkStart w:id="11" w:name="_Toc130759322"/>
      <w:r w:rsidRPr="00137504">
        <w:rPr>
          <w:rFonts w:cs="Arial"/>
          <w:sz w:val="64"/>
          <w:szCs w:val="64"/>
        </w:rPr>
        <w:lastRenderedPageBreak/>
        <w:t>Acronyms and abbreviations</w:t>
      </w:r>
      <w:bookmarkEnd w:id="11"/>
    </w:p>
    <w:p w14:paraId="7BD4BEE0" w14:textId="660C1200" w:rsidR="00BF41F8" w:rsidRPr="00137504" w:rsidRDefault="00BF41F8" w:rsidP="00BF41F8">
      <w:pPr>
        <w:rPr>
          <w:rFonts w:cs="Arial"/>
          <w:lang w:val="en-AU"/>
        </w:rPr>
      </w:pPr>
    </w:p>
    <w:tbl>
      <w:tblPr>
        <w:tblStyle w:val="TableGrid"/>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46"/>
        <w:gridCol w:w="6706"/>
      </w:tblGrid>
      <w:tr w:rsidR="00BF41F8" w:rsidRPr="00137504" w14:paraId="7F53D6E8" w14:textId="77777777" w:rsidTr="00522E09">
        <w:trPr>
          <w:trHeight w:val="509"/>
        </w:trPr>
        <w:tc>
          <w:tcPr>
            <w:tcW w:w="2946" w:type="dxa"/>
          </w:tcPr>
          <w:p w14:paraId="4F9B0C37" w14:textId="77777777" w:rsidR="00BF41F8" w:rsidRPr="00137504" w:rsidRDefault="00BF41F8" w:rsidP="00522E09">
            <w:pPr>
              <w:spacing w:line="480" w:lineRule="auto"/>
              <w:rPr>
                <w:rFonts w:cs="Arial"/>
                <w:b/>
                <w:lang w:val="en-AU"/>
              </w:rPr>
            </w:pPr>
            <w:r w:rsidRPr="00137504">
              <w:rPr>
                <w:rFonts w:cs="Arial"/>
                <w:b/>
                <w:lang w:val="en-AU"/>
              </w:rPr>
              <w:t>ABF</w:t>
            </w:r>
          </w:p>
        </w:tc>
        <w:tc>
          <w:tcPr>
            <w:tcW w:w="6706" w:type="dxa"/>
          </w:tcPr>
          <w:p w14:paraId="0A307060" w14:textId="77777777" w:rsidR="00BF41F8" w:rsidRPr="00137504" w:rsidRDefault="00BF41F8" w:rsidP="00522E09">
            <w:pPr>
              <w:spacing w:line="480" w:lineRule="auto"/>
              <w:rPr>
                <w:rFonts w:cs="Arial"/>
                <w:lang w:val="en-AU"/>
              </w:rPr>
            </w:pPr>
            <w:r w:rsidRPr="00137504">
              <w:rPr>
                <w:rFonts w:cs="Arial"/>
                <w:lang w:val="en-AU"/>
              </w:rPr>
              <w:t>Activity based funding</w:t>
            </w:r>
          </w:p>
        </w:tc>
      </w:tr>
      <w:tr w:rsidR="00BF41F8" w:rsidRPr="00137504" w14:paraId="34856163" w14:textId="77777777" w:rsidTr="003972FA">
        <w:trPr>
          <w:trHeight w:val="509"/>
        </w:trPr>
        <w:tc>
          <w:tcPr>
            <w:tcW w:w="2946" w:type="dxa"/>
          </w:tcPr>
          <w:p w14:paraId="22D9B70B" w14:textId="459F3657" w:rsidR="00BF41F8" w:rsidRPr="00137504" w:rsidRDefault="00BF41F8" w:rsidP="00522E09">
            <w:pPr>
              <w:spacing w:line="480" w:lineRule="auto"/>
              <w:rPr>
                <w:rFonts w:cs="Arial"/>
                <w:b/>
                <w:lang w:val="en-AU"/>
              </w:rPr>
            </w:pPr>
            <w:r w:rsidRPr="00137504">
              <w:rPr>
                <w:rFonts w:cs="Arial"/>
                <w:b/>
                <w:lang w:val="en-AU"/>
              </w:rPr>
              <w:t>IH</w:t>
            </w:r>
            <w:r w:rsidR="003F32CF">
              <w:rPr>
                <w:rFonts w:cs="Arial"/>
                <w:b/>
                <w:lang w:val="en-AU"/>
              </w:rPr>
              <w:t>AC</w:t>
            </w:r>
            <w:r w:rsidRPr="00137504">
              <w:rPr>
                <w:rFonts w:cs="Arial"/>
                <w:b/>
                <w:lang w:val="en-AU"/>
              </w:rPr>
              <w:t xml:space="preserve">PA </w:t>
            </w:r>
          </w:p>
        </w:tc>
        <w:tc>
          <w:tcPr>
            <w:tcW w:w="6706" w:type="dxa"/>
          </w:tcPr>
          <w:p w14:paraId="154FE15D" w14:textId="5269F049" w:rsidR="00BF41F8" w:rsidRPr="00137504" w:rsidRDefault="00BF41F8" w:rsidP="00522E09">
            <w:pPr>
              <w:spacing w:line="480" w:lineRule="auto"/>
              <w:rPr>
                <w:rFonts w:cs="Arial"/>
                <w:lang w:val="en-AU"/>
              </w:rPr>
            </w:pPr>
            <w:r w:rsidRPr="00137504">
              <w:rPr>
                <w:rFonts w:cs="Arial"/>
                <w:lang w:val="en-AU"/>
              </w:rPr>
              <w:t xml:space="preserve">Independent </w:t>
            </w:r>
            <w:r w:rsidR="003F32CF">
              <w:rPr>
                <w:rFonts w:cs="Arial"/>
                <w:lang w:val="en-AU"/>
              </w:rPr>
              <w:t>Health and Aged Care</w:t>
            </w:r>
            <w:r w:rsidR="003F32CF" w:rsidRPr="00137504">
              <w:rPr>
                <w:rFonts w:cs="Arial"/>
                <w:lang w:val="en-AU"/>
              </w:rPr>
              <w:t xml:space="preserve"> </w:t>
            </w:r>
            <w:r w:rsidRPr="00137504">
              <w:rPr>
                <w:rFonts w:cs="Arial"/>
                <w:lang w:val="en-AU"/>
              </w:rPr>
              <w:t xml:space="preserve">Pricing Authority </w:t>
            </w:r>
          </w:p>
        </w:tc>
      </w:tr>
      <w:tr w:rsidR="00BF41F8" w:rsidRPr="00137504" w14:paraId="3CAE27F3" w14:textId="77777777" w:rsidTr="003972FA">
        <w:trPr>
          <w:trHeight w:val="509"/>
        </w:trPr>
        <w:tc>
          <w:tcPr>
            <w:tcW w:w="2946" w:type="dxa"/>
          </w:tcPr>
          <w:p w14:paraId="7BF5DA12" w14:textId="5AA96EA3" w:rsidR="00BF41F8" w:rsidRPr="00137504" w:rsidRDefault="00D94B02" w:rsidP="00D379AE">
            <w:pPr>
              <w:spacing w:line="480" w:lineRule="auto"/>
              <w:rPr>
                <w:rFonts w:cs="Arial"/>
                <w:b/>
                <w:lang w:val="en-AU"/>
              </w:rPr>
            </w:pPr>
            <w:r>
              <w:rPr>
                <w:rFonts w:cs="Arial"/>
                <w:b/>
                <w:lang w:val="en-AU"/>
              </w:rPr>
              <w:t xml:space="preserve">JAC </w:t>
            </w:r>
          </w:p>
        </w:tc>
        <w:tc>
          <w:tcPr>
            <w:tcW w:w="6706" w:type="dxa"/>
          </w:tcPr>
          <w:p w14:paraId="21BBCCD7" w14:textId="5E5A5DDF" w:rsidR="00BF41F8" w:rsidRPr="00D94B02" w:rsidRDefault="00D94B02" w:rsidP="00D379AE">
            <w:pPr>
              <w:spacing w:line="480" w:lineRule="auto"/>
              <w:rPr>
                <w:rFonts w:cs="Arial"/>
                <w:iCs/>
                <w:lang w:val="en-AU"/>
              </w:rPr>
            </w:pPr>
            <w:r>
              <w:rPr>
                <w:rFonts w:cs="Arial"/>
                <w:iCs/>
                <w:lang w:val="en-AU"/>
              </w:rPr>
              <w:t>Jurisdictional Advisory Committee</w:t>
            </w:r>
          </w:p>
        </w:tc>
      </w:tr>
      <w:tr w:rsidR="00BF41F8" w:rsidRPr="00137504" w14:paraId="6A4F1090" w14:textId="77777777" w:rsidTr="003972FA">
        <w:trPr>
          <w:trHeight w:val="509"/>
        </w:trPr>
        <w:tc>
          <w:tcPr>
            <w:tcW w:w="2946" w:type="dxa"/>
          </w:tcPr>
          <w:p w14:paraId="287420BC" w14:textId="132879B3" w:rsidR="00BF41F8" w:rsidRPr="00137504" w:rsidRDefault="00D94B02" w:rsidP="00522E09">
            <w:pPr>
              <w:spacing w:line="480" w:lineRule="auto"/>
              <w:rPr>
                <w:rFonts w:cs="Arial"/>
                <w:b/>
                <w:lang w:val="en-AU"/>
              </w:rPr>
            </w:pPr>
            <w:r>
              <w:rPr>
                <w:rFonts w:cs="Arial"/>
                <w:b/>
                <w:lang w:val="en-AU"/>
              </w:rPr>
              <w:t>NEC</w:t>
            </w:r>
          </w:p>
        </w:tc>
        <w:tc>
          <w:tcPr>
            <w:tcW w:w="6706" w:type="dxa"/>
          </w:tcPr>
          <w:p w14:paraId="0A188911" w14:textId="6FC39D04" w:rsidR="00BF41F8" w:rsidRPr="00D94B02" w:rsidRDefault="00D94B02" w:rsidP="00522E09">
            <w:pPr>
              <w:spacing w:line="480" w:lineRule="auto"/>
              <w:rPr>
                <w:rFonts w:cs="Arial"/>
                <w:iCs/>
                <w:lang w:val="en-AU"/>
              </w:rPr>
            </w:pPr>
            <w:r>
              <w:rPr>
                <w:rFonts w:cs="Arial"/>
                <w:iCs/>
                <w:lang w:val="en-AU"/>
              </w:rPr>
              <w:t>National efficient cost</w:t>
            </w:r>
          </w:p>
        </w:tc>
      </w:tr>
      <w:tr w:rsidR="00BF41F8" w:rsidRPr="00137504" w14:paraId="5B659B1A" w14:textId="77777777" w:rsidTr="003972FA">
        <w:trPr>
          <w:trHeight w:val="509"/>
        </w:trPr>
        <w:tc>
          <w:tcPr>
            <w:tcW w:w="2946" w:type="dxa"/>
          </w:tcPr>
          <w:p w14:paraId="763B57C6" w14:textId="169B8E10" w:rsidR="00BF41F8" w:rsidRPr="00137504" w:rsidRDefault="00D94B02" w:rsidP="00522E09">
            <w:pPr>
              <w:spacing w:line="480" w:lineRule="auto"/>
              <w:rPr>
                <w:rFonts w:cs="Arial"/>
                <w:b/>
                <w:lang w:val="en-AU"/>
              </w:rPr>
            </w:pPr>
            <w:r>
              <w:rPr>
                <w:rFonts w:cs="Arial"/>
                <w:b/>
                <w:lang w:val="en-AU"/>
              </w:rPr>
              <w:t>NEP</w:t>
            </w:r>
          </w:p>
        </w:tc>
        <w:tc>
          <w:tcPr>
            <w:tcW w:w="6706" w:type="dxa"/>
          </w:tcPr>
          <w:p w14:paraId="5DA3439C" w14:textId="29E2BB27" w:rsidR="00BF41F8" w:rsidRPr="00137504" w:rsidRDefault="00D94B02" w:rsidP="00522E09">
            <w:pPr>
              <w:spacing w:line="480" w:lineRule="auto"/>
              <w:rPr>
                <w:rFonts w:cs="Arial"/>
                <w:lang w:val="en-AU"/>
              </w:rPr>
            </w:pPr>
            <w:r>
              <w:rPr>
                <w:rFonts w:cs="Arial"/>
                <w:lang w:val="en-AU"/>
              </w:rPr>
              <w:t>National efficient price</w:t>
            </w:r>
          </w:p>
        </w:tc>
      </w:tr>
      <w:tr w:rsidR="00D94B02" w:rsidRPr="00137504" w14:paraId="06ED272B" w14:textId="77777777" w:rsidTr="003972FA">
        <w:trPr>
          <w:trHeight w:val="509"/>
        </w:trPr>
        <w:tc>
          <w:tcPr>
            <w:tcW w:w="2946" w:type="dxa"/>
          </w:tcPr>
          <w:p w14:paraId="05354F7E" w14:textId="7827F79B" w:rsidR="00D94B02" w:rsidRPr="00137504" w:rsidRDefault="00D94B02" w:rsidP="00522E09">
            <w:pPr>
              <w:spacing w:line="480" w:lineRule="auto"/>
              <w:rPr>
                <w:rFonts w:cs="Arial"/>
                <w:b/>
                <w:lang w:val="en-AU"/>
              </w:rPr>
            </w:pPr>
            <w:r>
              <w:rPr>
                <w:rFonts w:cs="Arial"/>
                <w:b/>
                <w:lang w:val="en-AU"/>
              </w:rPr>
              <w:t>NHRA</w:t>
            </w:r>
          </w:p>
        </w:tc>
        <w:tc>
          <w:tcPr>
            <w:tcW w:w="6706" w:type="dxa"/>
          </w:tcPr>
          <w:p w14:paraId="69373B5C" w14:textId="384BF421" w:rsidR="00D94B02" w:rsidRPr="00137504" w:rsidRDefault="00D94B02" w:rsidP="00522E09">
            <w:pPr>
              <w:spacing w:line="480" w:lineRule="auto"/>
              <w:rPr>
                <w:rFonts w:cs="Arial"/>
                <w:lang w:val="en-AU"/>
              </w:rPr>
            </w:pPr>
            <w:r>
              <w:rPr>
                <w:rFonts w:cs="Arial"/>
                <w:lang w:val="en-AU"/>
              </w:rPr>
              <w:t>National Health Reform Agreement</w:t>
            </w:r>
          </w:p>
        </w:tc>
      </w:tr>
      <w:tr w:rsidR="00D94B02" w:rsidRPr="00137504" w14:paraId="343BFC14" w14:textId="77777777" w:rsidTr="003972FA">
        <w:trPr>
          <w:trHeight w:val="509"/>
        </w:trPr>
        <w:tc>
          <w:tcPr>
            <w:tcW w:w="2946" w:type="dxa"/>
          </w:tcPr>
          <w:p w14:paraId="7877577A" w14:textId="6EF426B5" w:rsidR="00D94B02" w:rsidRPr="00137504" w:rsidRDefault="000247AA" w:rsidP="00522E09">
            <w:pPr>
              <w:spacing w:line="480" w:lineRule="auto"/>
              <w:rPr>
                <w:rFonts w:cs="Arial"/>
                <w:b/>
                <w:lang w:val="en-AU"/>
              </w:rPr>
            </w:pPr>
            <w:r>
              <w:rPr>
                <w:rFonts w:cs="Arial"/>
                <w:b/>
                <w:lang w:val="en-AU"/>
              </w:rPr>
              <w:t>NWAU</w:t>
            </w:r>
          </w:p>
        </w:tc>
        <w:tc>
          <w:tcPr>
            <w:tcW w:w="6706" w:type="dxa"/>
          </w:tcPr>
          <w:p w14:paraId="1563E45A" w14:textId="56A2E657" w:rsidR="00D94B02" w:rsidRPr="00137504" w:rsidRDefault="000247AA" w:rsidP="00522E09">
            <w:pPr>
              <w:spacing w:line="480" w:lineRule="auto"/>
              <w:rPr>
                <w:rFonts w:cs="Arial"/>
                <w:lang w:val="en-AU"/>
              </w:rPr>
            </w:pPr>
            <w:r>
              <w:rPr>
                <w:rFonts w:cs="Arial"/>
                <w:lang w:val="en-AU"/>
              </w:rPr>
              <w:t>National weighted activity unit</w:t>
            </w:r>
          </w:p>
        </w:tc>
      </w:tr>
      <w:tr w:rsidR="000247AA" w:rsidRPr="00137504" w14:paraId="6296BE61" w14:textId="77777777" w:rsidTr="003972FA">
        <w:trPr>
          <w:trHeight w:val="509"/>
        </w:trPr>
        <w:tc>
          <w:tcPr>
            <w:tcW w:w="2946" w:type="dxa"/>
          </w:tcPr>
          <w:p w14:paraId="74053EEC" w14:textId="37D55E44" w:rsidR="000247AA" w:rsidRDefault="000247AA" w:rsidP="00522E09">
            <w:pPr>
              <w:spacing w:line="480" w:lineRule="auto"/>
              <w:rPr>
                <w:rFonts w:cs="Arial"/>
                <w:b/>
                <w:lang w:val="en-AU"/>
              </w:rPr>
            </w:pPr>
            <w:r>
              <w:rPr>
                <w:rFonts w:cs="Arial"/>
                <w:b/>
                <w:lang w:val="en-AU"/>
              </w:rPr>
              <w:t>TAC</w:t>
            </w:r>
          </w:p>
        </w:tc>
        <w:tc>
          <w:tcPr>
            <w:tcW w:w="6706" w:type="dxa"/>
          </w:tcPr>
          <w:p w14:paraId="084BE4D7" w14:textId="5E1FDE22" w:rsidR="000247AA" w:rsidRDefault="000247AA" w:rsidP="00522E09">
            <w:pPr>
              <w:spacing w:line="480" w:lineRule="auto"/>
              <w:rPr>
                <w:rFonts w:cs="Arial"/>
                <w:lang w:val="en-AU"/>
              </w:rPr>
            </w:pPr>
            <w:r>
              <w:rPr>
                <w:rFonts w:cs="Arial"/>
                <w:lang w:val="en-AU"/>
              </w:rPr>
              <w:t>Technical Advisory Committee</w:t>
            </w:r>
          </w:p>
        </w:tc>
      </w:tr>
      <w:tr w:rsidR="000247AA" w:rsidRPr="00137504" w14:paraId="0EAC04B9" w14:textId="77777777" w:rsidTr="003972FA">
        <w:trPr>
          <w:trHeight w:val="509"/>
        </w:trPr>
        <w:tc>
          <w:tcPr>
            <w:tcW w:w="2946" w:type="dxa"/>
          </w:tcPr>
          <w:p w14:paraId="7751AB8C" w14:textId="5DA724D1" w:rsidR="000247AA" w:rsidRDefault="000247AA" w:rsidP="00522E09">
            <w:pPr>
              <w:spacing w:line="480" w:lineRule="auto"/>
              <w:rPr>
                <w:rFonts w:cs="Arial"/>
                <w:b/>
                <w:lang w:val="en-AU"/>
              </w:rPr>
            </w:pPr>
            <w:r>
              <w:rPr>
                <w:rFonts w:cs="Arial"/>
                <w:b/>
                <w:lang w:val="en-AU"/>
              </w:rPr>
              <w:t>The Addendum</w:t>
            </w:r>
          </w:p>
        </w:tc>
        <w:tc>
          <w:tcPr>
            <w:tcW w:w="6706" w:type="dxa"/>
          </w:tcPr>
          <w:p w14:paraId="132F0A54" w14:textId="051AE44B" w:rsidR="000247AA" w:rsidRDefault="000247AA" w:rsidP="00522E09">
            <w:pPr>
              <w:spacing w:line="480" w:lineRule="auto"/>
              <w:rPr>
                <w:rFonts w:cs="Arial"/>
                <w:lang w:val="en-AU"/>
              </w:rPr>
            </w:pPr>
            <w:r>
              <w:rPr>
                <w:rFonts w:cs="Arial"/>
                <w:lang w:val="en-AU"/>
              </w:rPr>
              <w:t>Addendum to the National Health Reform Agreement 2020-25</w:t>
            </w:r>
          </w:p>
        </w:tc>
      </w:tr>
      <w:tr w:rsidR="003972FA" w:rsidRPr="00137504" w14:paraId="068ABCB7" w14:textId="77777777" w:rsidTr="003972FA">
        <w:trPr>
          <w:trHeight w:val="509"/>
        </w:trPr>
        <w:tc>
          <w:tcPr>
            <w:tcW w:w="2946" w:type="dxa"/>
          </w:tcPr>
          <w:p w14:paraId="574630E0" w14:textId="0ADD3B84" w:rsidR="003972FA" w:rsidRDefault="003972FA" w:rsidP="00522E09">
            <w:pPr>
              <w:spacing w:line="480" w:lineRule="auto"/>
              <w:rPr>
                <w:rFonts w:cs="Arial"/>
                <w:b/>
                <w:lang w:val="en-AU"/>
              </w:rPr>
            </w:pPr>
            <w:r>
              <w:rPr>
                <w:rFonts w:cs="Arial"/>
                <w:b/>
                <w:lang w:val="en-AU"/>
              </w:rPr>
              <w:t>The NHR Act</w:t>
            </w:r>
          </w:p>
        </w:tc>
        <w:tc>
          <w:tcPr>
            <w:tcW w:w="6706" w:type="dxa"/>
          </w:tcPr>
          <w:p w14:paraId="3ACDDC57" w14:textId="1A280398" w:rsidR="003972FA" w:rsidRDefault="003972FA" w:rsidP="00522E09">
            <w:pPr>
              <w:spacing w:line="480" w:lineRule="auto"/>
              <w:rPr>
                <w:rFonts w:cs="Arial"/>
                <w:lang w:val="en-AU"/>
              </w:rPr>
            </w:pPr>
            <w:r w:rsidRPr="003972FA">
              <w:rPr>
                <w:rFonts w:cs="Arial"/>
                <w:i/>
                <w:iCs/>
                <w:lang w:val="en-AU"/>
              </w:rPr>
              <w:t>National Health Reform Act 2011</w:t>
            </w:r>
            <w:r>
              <w:rPr>
                <w:rFonts w:cs="Arial"/>
                <w:lang w:val="en-AU"/>
              </w:rPr>
              <w:t xml:space="preserve"> (Cwlth)</w:t>
            </w:r>
          </w:p>
        </w:tc>
      </w:tr>
      <w:tr w:rsidR="000247AA" w:rsidRPr="00137504" w14:paraId="660FAFE5" w14:textId="77777777" w:rsidTr="003972FA">
        <w:trPr>
          <w:trHeight w:val="509"/>
        </w:trPr>
        <w:tc>
          <w:tcPr>
            <w:tcW w:w="2946" w:type="dxa"/>
          </w:tcPr>
          <w:p w14:paraId="5B3D2C29" w14:textId="2C38E91E" w:rsidR="000247AA" w:rsidRDefault="000247AA" w:rsidP="00522E09">
            <w:pPr>
              <w:spacing w:line="480" w:lineRule="auto"/>
              <w:rPr>
                <w:rFonts w:cs="Arial"/>
                <w:b/>
                <w:lang w:val="en-AU"/>
              </w:rPr>
            </w:pPr>
            <w:r>
              <w:rPr>
                <w:rFonts w:cs="Arial"/>
                <w:b/>
                <w:lang w:val="en-AU"/>
              </w:rPr>
              <w:t>The Administrator</w:t>
            </w:r>
          </w:p>
        </w:tc>
        <w:tc>
          <w:tcPr>
            <w:tcW w:w="6706" w:type="dxa"/>
          </w:tcPr>
          <w:p w14:paraId="54D40D51" w14:textId="7245603E" w:rsidR="000247AA" w:rsidRDefault="000247AA" w:rsidP="00522E09">
            <w:pPr>
              <w:spacing w:line="480" w:lineRule="auto"/>
              <w:rPr>
                <w:rFonts w:cs="Arial"/>
                <w:lang w:val="en-AU"/>
              </w:rPr>
            </w:pPr>
            <w:r>
              <w:rPr>
                <w:rFonts w:cs="Arial"/>
                <w:lang w:val="en-AU"/>
              </w:rPr>
              <w:t>Administrator of the National Health Funding Pool</w:t>
            </w:r>
          </w:p>
        </w:tc>
      </w:tr>
      <w:tr w:rsidR="000247AA" w:rsidRPr="00137504" w14:paraId="089110B9" w14:textId="77777777" w:rsidTr="003972FA">
        <w:trPr>
          <w:trHeight w:val="509"/>
        </w:trPr>
        <w:tc>
          <w:tcPr>
            <w:tcW w:w="2946" w:type="dxa"/>
          </w:tcPr>
          <w:p w14:paraId="65875D76" w14:textId="77099529" w:rsidR="000247AA" w:rsidRDefault="000247AA" w:rsidP="00522E09">
            <w:pPr>
              <w:spacing w:line="480" w:lineRule="auto"/>
              <w:rPr>
                <w:rFonts w:cs="Arial"/>
                <w:b/>
                <w:lang w:val="en-AU"/>
              </w:rPr>
            </w:pPr>
            <w:r>
              <w:rPr>
                <w:rFonts w:cs="Arial"/>
                <w:b/>
                <w:lang w:val="en-AU"/>
              </w:rPr>
              <w:t>The Guidelines</w:t>
            </w:r>
          </w:p>
        </w:tc>
        <w:tc>
          <w:tcPr>
            <w:tcW w:w="6706" w:type="dxa"/>
          </w:tcPr>
          <w:p w14:paraId="151959A7" w14:textId="3D8CE7F6" w:rsidR="000247AA" w:rsidRPr="000247AA" w:rsidRDefault="000247AA" w:rsidP="00522E09">
            <w:pPr>
              <w:spacing w:line="480" w:lineRule="auto"/>
              <w:rPr>
                <w:rFonts w:cs="Arial"/>
                <w:i/>
                <w:iCs/>
                <w:lang w:val="en-AU"/>
              </w:rPr>
            </w:pPr>
            <w:r w:rsidRPr="000247AA">
              <w:rPr>
                <w:rFonts w:cs="Arial"/>
                <w:i/>
                <w:iCs/>
                <w:lang w:val="en-AU"/>
              </w:rPr>
              <w:t>Shadow Pricing Guidelines</w:t>
            </w:r>
          </w:p>
        </w:tc>
      </w:tr>
    </w:tbl>
    <w:p w14:paraId="5256D0FB" w14:textId="77777777" w:rsidR="00F41B2F" w:rsidRDefault="00F41B2F" w:rsidP="00BF41F8">
      <w:pPr>
        <w:pStyle w:val="Heading1"/>
        <w:numPr>
          <w:ilvl w:val="0"/>
          <w:numId w:val="0"/>
        </w:numPr>
        <w:rPr>
          <w:rFonts w:cs="Arial"/>
          <w:sz w:val="64"/>
          <w:szCs w:val="64"/>
        </w:rPr>
      </w:pPr>
      <w:bookmarkStart w:id="12" w:name="_Toc130759323"/>
      <w:r>
        <w:rPr>
          <w:rFonts w:cs="Arial"/>
          <w:sz w:val="64"/>
          <w:szCs w:val="64"/>
        </w:rPr>
        <w:br w:type="page"/>
      </w:r>
    </w:p>
    <w:p w14:paraId="15DE7746" w14:textId="3EA4C643" w:rsidR="00BF41F8" w:rsidRPr="00137504" w:rsidRDefault="00BF41F8" w:rsidP="00BF41F8">
      <w:pPr>
        <w:pStyle w:val="Heading1"/>
        <w:numPr>
          <w:ilvl w:val="0"/>
          <w:numId w:val="0"/>
        </w:numPr>
        <w:rPr>
          <w:rFonts w:cs="Arial"/>
          <w:sz w:val="64"/>
          <w:szCs w:val="64"/>
        </w:rPr>
      </w:pPr>
      <w:r w:rsidRPr="00137504">
        <w:rPr>
          <w:rFonts w:cs="Arial"/>
          <w:sz w:val="64"/>
          <w:szCs w:val="64"/>
        </w:rPr>
        <w:lastRenderedPageBreak/>
        <w:t>Definitions</w:t>
      </w:r>
      <w:bookmarkEnd w:id="12"/>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7371"/>
      </w:tblGrid>
      <w:tr w:rsidR="00BF41F8" w:rsidRPr="00137504" w14:paraId="26A3C519" w14:textId="77777777" w:rsidTr="00350642">
        <w:tc>
          <w:tcPr>
            <w:tcW w:w="2127" w:type="dxa"/>
          </w:tcPr>
          <w:p w14:paraId="3273A58F" w14:textId="39307323" w:rsidR="00BF41F8" w:rsidRPr="00137504" w:rsidRDefault="00D379AE" w:rsidP="00BF41F8">
            <w:pPr>
              <w:adjustRightInd w:val="0"/>
              <w:snapToGrid w:val="0"/>
              <w:spacing w:before="120" w:after="120" w:line="240" w:lineRule="auto"/>
              <w:rPr>
                <w:rFonts w:cs="Arial"/>
                <w:b/>
                <w:lang w:val="en-AU" w:eastAsia="zh-CN"/>
              </w:rPr>
            </w:pPr>
            <w:r w:rsidRPr="00D379AE">
              <w:rPr>
                <w:rFonts w:cs="Arial"/>
                <w:b/>
                <w:lang w:val="en-AU" w:eastAsia="zh-CN"/>
              </w:rPr>
              <w:t>Activity based funding</w:t>
            </w:r>
          </w:p>
        </w:tc>
        <w:tc>
          <w:tcPr>
            <w:tcW w:w="7371" w:type="dxa"/>
          </w:tcPr>
          <w:p w14:paraId="7A8AA693" w14:textId="4533F676" w:rsidR="00D379AE" w:rsidRPr="00D379AE" w:rsidRDefault="00D379AE" w:rsidP="00D379AE">
            <w:pPr>
              <w:autoSpaceDE w:val="0"/>
              <w:autoSpaceDN w:val="0"/>
              <w:adjustRightInd w:val="0"/>
              <w:spacing w:before="120" w:after="120" w:line="240" w:lineRule="auto"/>
              <w:rPr>
                <w:rFonts w:cs="Arial"/>
                <w:lang w:val="en-AU" w:eastAsia="zh-CN"/>
              </w:rPr>
            </w:pPr>
            <w:r w:rsidRPr="00D379AE">
              <w:rPr>
                <w:rFonts w:cs="Arial"/>
                <w:lang w:val="en-AU" w:eastAsia="zh-CN"/>
              </w:rPr>
              <w:t xml:space="preserve">Refers to a system for funding public hospital services provided to individual patients using national classifications, cost weights and nationally efficient prices developed by the Independent </w:t>
            </w:r>
            <w:r w:rsidR="00E559AC">
              <w:rPr>
                <w:rFonts w:cs="Arial"/>
                <w:lang w:val="en-AU" w:eastAsia="zh-CN"/>
              </w:rPr>
              <w:t>Health and Aged Care</w:t>
            </w:r>
            <w:r w:rsidR="00E559AC" w:rsidRPr="00D379AE">
              <w:rPr>
                <w:rFonts w:cs="Arial"/>
                <w:lang w:val="en-AU" w:eastAsia="zh-CN"/>
              </w:rPr>
              <w:t xml:space="preserve"> </w:t>
            </w:r>
            <w:r w:rsidRPr="00D379AE">
              <w:rPr>
                <w:rFonts w:cs="Arial"/>
                <w:lang w:val="en-AU" w:eastAsia="zh-CN"/>
              </w:rPr>
              <w:t>Pricing Authority (IH</w:t>
            </w:r>
            <w:r w:rsidR="00E559AC">
              <w:rPr>
                <w:rFonts w:cs="Arial"/>
                <w:lang w:val="en-AU" w:eastAsia="zh-CN"/>
              </w:rPr>
              <w:t>AC</w:t>
            </w:r>
            <w:r w:rsidRPr="00D379AE">
              <w:rPr>
                <w:rFonts w:cs="Arial"/>
                <w:lang w:val="en-AU" w:eastAsia="zh-CN"/>
              </w:rPr>
              <w:t>PA), as outlined in the Addendum to the National Health Reform Agreement 2020–25.</w:t>
            </w:r>
          </w:p>
          <w:p w14:paraId="19A33E8F" w14:textId="3425486B" w:rsidR="00BF41F8" w:rsidRPr="00137504" w:rsidRDefault="00D379AE" w:rsidP="00D379AE">
            <w:pPr>
              <w:autoSpaceDE w:val="0"/>
              <w:autoSpaceDN w:val="0"/>
              <w:adjustRightInd w:val="0"/>
              <w:spacing w:before="120" w:after="120" w:line="240" w:lineRule="auto"/>
              <w:rPr>
                <w:rFonts w:cs="Arial"/>
                <w:lang w:val="en-AU"/>
              </w:rPr>
            </w:pPr>
            <w:r w:rsidRPr="00D379AE">
              <w:rPr>
                <w:rFonts w:cs="Arial"/>
                <w:lang w:val="en-AU" w:eastAsia="zh-CN"/>
              </w:rPr>
              <w:t xml:space="preserve">An </w:t>
            </w:r>
            <w:proofErr w:type="gramStart"/>
            <w:r w:rsidRPr="00D379AE">
              <w:rPr>
                <w:rFonts w:cs="Arial"/>
                <w:lang w:val="en-AU" w:eastAsia="zh-CN"/>
              </w:rPr>
              <w:t>activity based</w:t>
            </w:r>
            <w:proofErr w:type="gramEnd"/>
            <w:r w:rsidRPr="00D379AE">
              <w:rPr>
                <w:rFonts w:cs="Arial"/>
                <w:lang w:val="en-AU" w:eastAsia="zh-CN"/>
              </w:rPr>
              <w:t xml:space="preserve"> funding activity may take the form of a separation, presentation or service event</w:t>
            </w:r>
            <w:r w:rsidR="00BF41F8" w:rsidRPr="00137504">
              <w:rPr>
                <w:rFonts w:cs="Arial"/>
                <w:lang w:val="en-AU"/>
              </w:rPr>
              <w:t>.</w:t>
            </w:r>
          </w:p>
        </w:tc>
      </w:tr>
      <w:tr w:rsidR="00BF41F8" w:rsidRPr="00137504" w14:paraId="270FB91A" w14:textId="77777777" w:rsidTr="00350642">
        <w:trPr>
          <w:trHeight w:val="913"/>
        </w:trPr>
        <w:tc>
          <w:tcPr>
            <w:tcW w:w="2127" w:type="dxa"/>
          </w:tcPr>
          <w:p w14:paraId="73CD1F0E" w14:textId="50199197" w:rsidR="00BF41F8" w:rsidRPr="00137504" w:rsidRDefault="00D379AE" w:rsidP="00BF41F8">
            <w:pPr>
              <w:adjustRightInd w:val="0"/>
              <w:snapToGrid w:val="0"/>
              <w:spacing w:before="120" w:after="120" w:line="240" w:lineRule="auto"/>
              <w:rPr>
                <w:rFonts w:cs="Arial"/>
                <w:b/>
                <w:lang w:val="en-AU" w:eastAsia="zh-CN"/>
              </w:rPr>
            </w:pPr>
            <w:r w:rsidRPr="00D379AE">
              <w:rPr>
                <w:rFonts w:cs="Arial"/>
                <w:b/>
                <w:lang w:val="en-AU" w:eastAsia="zh-CN"/>
              </w:rPr>
              <w:t>Classification</w:t>
            </w:r>
          </w:p>
        </w:tc>
        <w:tc>
          <w:tcPr>
            <w:tcW w:w="7371" w:type="dxa"/>
          </w:tcPr>
          <w:p w14:paraId="1F2D4729" w14:textId="5319311B" w:rsidR="00BF41F8" w:rsidRPr="00137504" w:rsidRDefault="00D379AE" w:rsidP="00BF41F8">
            <w:pPr>
              <w:adjustRightInd w:val="0"/>
              <w:snapToGrid w:val="0"/>
              <w:spacing w:before="120" w:after="120" w:line="240" w:lineRule="auto"/>
              <w:rPr>
                <w:rFonts w:cs="Arial"/>
                <w:lang w:val="en-AU" w:eastAsia="zh-CN"/>
              </w:rPr>
            </w:pPr>
            <w:r w:rsidRPr="00D379AE">
              <w:rPr>
                <w:rFonts w:cs="Arial"/>
                <w:lang w:val="en-AU" w:eastAsia="zh-CN"/>
              </w:rPr>
              <w:t>Classifications are comprised of codes that provide clinically meaningful ways of creating a link between patients, their treatments and the costs and resources associated with providing these treatments. This allows hospital and health service provider output to be measured, which is valuable for informing policy decisions, benchmarking and funding of high quality and efficient health care services</w:t>
            </w:r>
            <w:r w:rsidR="00BF41F8" w:rsidRPr="00137504">
              <w:rPr>
                <w:rFonts w:cs="Arial"/>
                <w:lang w:val="en-AU" w:eastAsia="zh-CN"/>
              </w:rPr>
              <w:t>.</w:t>
            </w:r>
          </w:p>
        </w:tc>
      </w:tr>
      <w:tr w:rsidR="00BF41F8" w:rsidRPr="00137504" w14:paraId="28DD7F42" w14:textId="77777777" w:rsidTr="00350642">
        <w:tc>
          <w:tcPr>
            <w:tcW w:w="2127" w:type="dxa"/>
          </w:tcPr>
          <w:p w14:paraId="213CDFAE" w14:textId="711F5B39" w:rsidR="00BF41F8" w:rsidRPr="00137504" w:rsidRDefault="00350642" w:rsidP="00BF41F8">
            <w:pPr>
              <w:adjustRightInd w:val="0"/>
              <w:snapToGrid w:val="0"/>
              <w:spacing w:before="120" w:after="120" w:line="240" w:lineRule="auto"/>
              <w:rPr>
                <w:rFonts w:cs="Arial"/>
                <w:b/>
                <w:lang w:val="en-AU" w:eastAsia="zh-CN"/>
              </w:rPr>
            </w:pPr>
            <w:r w:rsidRPr="00745CC9">
              <w:rPr>
                <w:b/>
              </w:rPr>
              <w:t>Costing methodology</w:t>
            </w:r>
          </w:p>
        </w:tc>
        <w:tc>
          <w:tcPr>
            <w:tcW w:w="7371" w:type="dxa"/>
          </w:tcPr>
          <w:p w14:paraId="375DE9C2" w14:textId="1F28028D" w:rsidR="00BF41F8" w:rsidRPr="00137504" w:rsidRDefault="00350642" w:rsidP="00BF41F8">
            <w:pPr>
              <w:adjustRightInd w:val="0"/>
              <w:snapToGrid w:val="0"/>
              <w:spacing w:before="120" w:after="120" w:line="240" w:lineRule="auto"/>
              <w:rPr>
                <w:rFonts w:cs="Arial"/>
                <w:sz w:val="24"/>
                <w:lang w:val="en-AU" w:eastAsia="zh-CN"/>
              </w:rPr>
            </w:pPr>
            <w:r w:rsidRPr="00745CC9">
              <w:t xml:space="preserve">Costing methodologies are ways to identify and allocate costs. Hospital patient costing focuses on the cost and mix of resources, including services or products, used to deliver patient care, </w:t>
            </w:r>
            <w:proofErr w:type="gramStart"/>
            <w:r w:rsidRPr="00745CC9">
              <w:t>in order to</w:t>
            </w:r>
            <w:proofErr w:type="gramEnd"/>
            <w:r w:rsidRPr="00745CC9">
              <w:t xml:space="preserve"> understand the total costs involved in treating a patient. Costing is used to inform the development of classification systems and provides valuable information for pricing purposes</w:t>
            </w:r>
            <w:r w:rsidR="00BF41F8" w:rsidRPr="00137504">
              <w:rPr>
                <w:rFonts w:cs="Arial"/>
                <w:sz w:val="24"/>
                <w:lang w:val="en-AU" w:eastAsia="zh-CN"/>
              </w:rPr>
              <w:t xml:space="preserve">. </w:t>
            </w:r>
          </w:p>
        </w:tc>
      </w:tr>
      <w:tr w:rsidR="00BF41F8" w:rsidRPr="00137504" w14:paraId="32F3D951" w14:textId="77777777" w:rsidTr="00350642">
        <w:trPr>
          <w:trHeight w:val="353"/>
        </w:trPr>
        <w:tc>
          <w:tcPr>
            <w:tcW w:w="2127" w:type="dxa"/>
          </w:tcPr>
          <w:p w14:paraId="5467E144" w14:textId="6E2AF71F" w:rsidR="00BF41F8" w:rsidRPr="00137504" w:rsidRDefault="00350642" w:rsidP="00BF41F8">
            <w:pPr>
              <w:adjustRightInd w:val="0"/>
              <w:snapToGrid w:val="0"/>
              <w:spacing w:before="120" w:after="120" w:line="240" w:lineRule="auto"/>
              <w:rPr>
                <w:rFonts w:cs="Arial"/>
                <w:b/>
                <w:lang w:val="en-AU" w:eastAsia="zh-CN"/>
              </w:rPr>
            </w:pPr>
            <w:r w:rsidRPr="00745CC9">
              <w:rPr>
                <w:b/>
              </w:rPr>
              <w:t>Costing study</w:t>
            </w:r>
          </w:p>
        </w:tc>
        <w:tc>
          <w:tcPr>
            <w:tcW w:w="7371" w:type="dxa"/>
          </w:tcPr>
          <w:p w14:paraId="3039C2D3" w14:textId="6BA56D00" w:rsidR="00BF41F8" w:rsidRPr="00137504" w:rsidRDefault="00350642" w:rsidP="00BF41F8">
            <w:pPr>
              <w:adjustRightInd w:val="0"/>
              <w:snapToGrid w:val="0"/>
              <w:spacing w:before="120" w:after="120" w:line="240" w:lineRule="auto"/>
              <w:ind w:right="369"/>
              <w:rPr>
                <w:rFonts w:cs="Arial"/>
                <w:lang w:val="en-AU" w:eastAsia="zh-CN"/>
              </w:rPr>
            </w:pPr>
            <w:r w:rsidRPr="00745CC9">
              <w:t>IH</w:t>
            </w:r>
            <w:r w:rsidR="00E559AC">
              <w:t>AC</w:t>
            </w:r>
            <w:r w:rsidRPr="00745CC9">
              <w:t>PA undertakes costing studies in areas where it has identified opportunities for improving the national pricing model or improving the understanding of costs of services. These areas include developing new classifications, major revisions to existing classifications and changes to costing methodologies</w:t>
            </w:r>
            <w:r w:rsidR="00BF41F8" w:rsidRPr="00137504">
              <w:rPr>
                <w:rFonts w:cs="Arial"/>
                <w:lang w:val="en-AU" w:eastAsia="zh-CN"/>
              </w:rPr>
              <w:t>.</w:t>
            </w:r>
          </w:p>
        </w:tc>
      </w:tr>
      <w:tr w:rsidR="00BF41F8" w:rsidRPr="00137504" w14:paraId="5C1423EE" w14:textId="77777777" w:rsidTr="00350642">
        <w:trPr>
          <w:trHeight w:val="1044"/>
        </w:trPr>
        <w:tc>
          <w:tcPr>
            <w:tcW w:w="2127" w:type="dxa"/>
          </w:tcPr>
          <w:p w14:paraId="4FE4C8E6" w14:textId="48334DA8" w:rsidR="00BF41F8" w:rsidRPr="00137504" w:rsidRDefault="00350642" w:rsidP="00BF41F8">
            <w:pPr>
              <w:adjustRightInd w:val="0"/>
              <w:snapToGrid w:val="0"/>
              <w:spacing w:before="120" w:after="120" w:line="240" w:lineRule="auto"/>
              <w:rPr>
                <w:rFonts w:cs="Arial"/>
                <w:b/>
                <w:lang w:val="en-AU" w:eastAsia="zh-CN"/>
              </w:rPr>
            </w:pPr>
            <w:r w:rsidRPr="00745CC9">
              <w:rPr>
                <w:b/>
              </w:rPr>
              <w:t>National pricing model</w:t>
            </w:r>
          </w:p>
        </w:tc>
        <w:tc>
          <w:tcPr>
            <w:tcW w:w="7371" w:type="dxa"/>
          </w:tcPr>
          <w:p w14:paraId="16FBFC8B" w14:textId="58C291E0" w:rsidR="00350642" w:rsidRPr="00350642" w:rsidRDefault="00350642" w:rsidP="00BF41F8">
            <w:pPr>
              <w:adjustRightInd w:val="0"/>
              <w:snapToGrid w:val="0"/>
              <w:spacing w:before="120" w:after="120" w:line="240" w:lineRule="auto"/>
              <w:ind w:right="369"/>
            </w:pPr>
            <w:r w:rsidRPr="00521919">
              <w:t xml:space="preserve">The </w:t>
            </w:r>
            <w:r>
              <w:t xml:space="preserve">national </w:t>
            </w:r>
            <w:r w:rsidRPr="00521919">
              <w:t>pricing model is produced annually by IH</w:t>
            </w:r>
            <w:r w:rsidR="00DE78EE">
              <w:t>AC</w:t>
            </w:r>
            <w:r w:rsidRPr="00521919">
              <w:t xml:space="preserve">PA and defines the national efficient price, price weights and adjustments based on </w:t>
            </w:r>
            <w:r>
              <w:t xml:space="preserve">the </w:t>
            </w:r>
            <w:r w:rsidRPr="00521919">
              <w:t xml:space="preserve">cost and activity data from three years prior. For more detail, refer to the </w:t>
            </w:r>
            <w:hyperlink r:id="rId15" w:history="1">
              <w:r w:rsidRPr="002528A1">
                <w:rPr>
                  <w:rStyle w:val="Hyperlink"/>
                </w:rPr>
                <w:t>National Pricing Model Technical Specifications</w:t>
              </w:r>
            </w:hyperlink>
            <w:r w:rsidR="00BF41F8" w:rsidRPr="00137504">
              <w:rPr>
                <w:rFonts w:cs="Arial"/>
                <w:sz w:val="24"/>
                <w:lang w:val="en-AU" w:eastAsia="zh-CN"/>
              </w:rPr>
              <w:t>.</w:t>
            </w:r>
          </w:p>
        </w:tc>
      </w:tr>
      <w:tr w:rsidR="00BF41F8" w:rsidRPr="00137504" w14:paraId="32E5E2A7" w14:textId="77777777" w:rsidTr="008D4225">
        <w:trPr>
          <w:trHeight w:val="737"/>
        </w:trPr>
        <w:tc>
          <w:tcPr>
            <w:tcW w:w="2127" w:type="dxa"/>
          </w:tcPr>
          <w:p w14:paraId="0BB34D96" w14:textId="77777777" w:rsidR="00BF41F8" w:rsidRPr="00137504" w:rsidRDefault="00BF41F8" w:rsidP="00BF41F8">
            <w:pPr>
              <w:adjustRightInd w:val="0"/>
              <w:snapToGrid w:val="0"/>
              <w:spacing w:before="120" w:after="120" w:line="240" w:lineRule="auto"/>
              <w:rPr>
                <w:rFonts w:cs="Arial"/>
                <w:b/>
                <w:lang w:val="en-AU" w:eastAsia="zh-CN"/>
              </w:rPr>
            </w:pPr>
            <w:r w:rsidRPr="00137504">
              <w:rPr>
                <w:rFonts w:cs="Arial"/>
                <w:b/>
                <w:lang w:val="en-AU" w:eastAsia="zh-CN"/>
              </w:rPr>
              <w:t>Pricing Authority</w:t>
            </w:r>
          </w:p>
        </w:tc>
        <w:tc>
          <w:tcPr>
            <w:tcW w:w="7371" w:type="dxa"/>
          </w:tcPr>
          <w:p w14:paraId="78B42B16" w14:textId="603B0D2A" w:rsidR="00BF41F8" w:rsidRPr="00137504" w:rsidRDefault="00BF41F8" w:rsidP="00BF41F8">
            <w:pPr>
              <w:adjustRightInd w:val="0"/>
              <w:snapToGrid w:val="0"/>
              <w:spacing w:before="120" w:after="120" w:line="240" w:lineRule="auto"/>
              <w:ind w:right="369"/>
              <w:rPr>
                <w:rFonts w:cs="Arial"/>
                <w:lang w:val="en-AU" w:eastAsia="zh-CN"/>
              </w:rPr>
            </w:pPr>
            <w:r w:rsidRPr="00137504">
              <w:rPr>
                <w:rFonts w:cs="Arial"/>
                <w:lang w:val="en-AU" w:eastAsia="zh-CN"/>
              </w:rPr>
              <w:t xml:space="preserve">The governing body of IHPA established under the </w:t>
            </w:r>
            <w:r w:rsidRPr="00137504">
              <w:rPr>
                <w:rFonts w:cs="Arial"/>
                <w:i/>
                <w:lang w:val="en-AU" w:eastAsia="zh-CN"/>
              </w:rPr>
              <w:t xml:space="preserve">National Health Reform Act 2011 </w:t>
            </w:r>
            <w:r w:rsidRPr="00137504">
              <w:rPr>
                <w:rFonts w:cs="Arial"/>
                <w:lang w:val="en-AU"/>
              </w:rPr>
              <w:t>(Cwlth)</w:t>
            </w:r>
            <w:r w:rsidR="00DE78EE">
              <w:rPr>
                <w:rFonts w:cs="Arial"/>
                <w:lang w:val="en-AU"/>
              </w:rPr>
              <w:t xml:space="preserve"> (the NHR Act).</w:t>
            </w:r>
            <w:r w:rsidRPr="00137504">
              <w:rPr>
                <w:rFonts w:cs="Arial"/>
                <w:lang w:val="en-AU" w:eastAsia="zh-CN"/>
              </w:rPr>
              <w:t xml:space="preserve"> </w:t>
            </w:r>
          </w:p>
        </w:tc>
      </w:tr>
      <w:tr w:rsidR="00BF41F8" w:rsidRPr="00137504" w14:paraId="6E96D8A7" w14:textId="77777777" w:rsidTr="008D4225">
        <w:tc>
          <w:tcPr>
            <w:tcW w:w="2127" w:type="dxa"/>
          </w:tcPr>
          <w:p w14:paraId="3834FDA8" w14:textId="196357D7" w:rsidR="00BF41F8" w:rsidRPr="00137504" w:rsidRDefault="00350642" w:rsidP="00BF41F8">
            <w:pPr>
              <w:adjustRightInd w:val="0"/>
              <w:snapToGrid w:val="0"/>
              <w:spacing w:before="120" w:after="120" w:line="240" w:lineRule="auto"/>
              <w:rPr>
                <w:rFonts w:cs="Arial"/>
                <w:b/>
                <w:lang w:val="en-AU" w:eastAsia="zh-CN"/>
              </w:rPr>
            </w:pPr>
            <w:r w:rsidRPr="00745CC9">
              <w:rPr>
                <w:b/>
              </w:rPr>
              <w:t>Shadow pricing</w:t>
            </w:r>
          </w:p>
        </w:tc>
        <w:tc>
          <w:tcPr>
            <w:tcW w:w="7371" w:type="dxa"/>
          </w:tcPr>
          <w:p w14:paraId="1CEA965B" w14:textId="2E7D86D5" w:rsidR="0062598D" w:rsidRPr="00137504" w:rsidRDefault="00350642" w:rsidP="00BF41F8">
            <w:pPr>
              <w:adjustRightInd w:val="0"/>
              <w:snapToGrid w:val="0"/>
              <w:spacing w:before="120" w:after="120" w:line="240" w:lineRule="auto"/>
              <w:ind w:right="368"/>
              <w:rPr>
                <w:rFonts w:cs="Arial"/>
                <w:lang w:val="en-AU"/>
              </w:rPr>
            </w:pPr>
            <w:r w:rsidRPr="00745CC9">
              <w:t>Shadow pricing is undertaken by IH</w:t>
            </w:r>
            <w:r w:rsidR="00DE78EE">
              <w:t>AC</w:t>
            </w:r>
            <w:r w:rsidRPr="00745CC9">
              <w:t>PA when developing new classifications or implementing significant changes to existing classifications. IH</w:t>
            </w:r>
            <w:r w:rsidR="00DE78EE">
              <w:t>AC</w:t>
            </w:r>
            <w:r w:rsidRPr="00745CC9">
              <w:t xml:space="preserve">PA undertakes shadow pricing with the publication of shadow price weights to ensure robust data collection and reporting to accurately model the financial and counting impact of changes on the national funding model and </w:t>
            </w:r>
            <w:proofErr w:type="spellStart"/>
            <w:r w:rsidRPr="00745CC9">
              <w:t>minimise</w:t>
            </w:r>
            <w:proofErr w:type="spellEnd"/>
            <w:r w:rsidRPr="00745CC9">
              <w:t xml:space="preserve"> the risk of incurring undesirable and inadvertent consequences</w:t>
            </w:r>
            <w:r w:rsidR="00BF41F8" w:rsidRPr="00137504">
              <w:rPr>
                <w:rFonts w:cs="Arial"/>
                <w:lang w:val="en-AU"/>
              </w:rPr>
              <w:t>.</w:t>
            </w:r>
          </w:p>
        </w:tc>
      </w:tr>
    </w:tbl>
    <w:p w14:paraId="066E32FF" w14:textId="77777777" w:rsidR="00F41B2F" w:rsidRDefault="00F41B2F" w:rsidP="004606DD">
      <w:pPr>
        <w:pStyle w:val="Heading1"/>
        <w:rPr>
          <w:rFonts w:cs="Arial"/>
        </w:rPr>
      </w:pPr>
      <w:bookmarkStart w:id="13" w:name="_Toc130759324"/>
      <w:r>
        <w:rPr>
          <w:rFonts w:cs="Arial"/>
        </w:rPr>
        <w:br w:type="page"/>
      </w:r>
    </w:p>
    <w:p w14:paraId="38B1A695" w14:textId="6C54A5EC" w:rsidR="009721F9" w:rsidRPr="00F41B2F" w:rsidRDefault="00BF41F8" w:rsidP="00FB4322">
      <w:pPr>
        <w:pStyle w:val="Heading1"/>
        <w:numPr>
          <w:ilvl w:val="0"/>
          <w:numId w:val="48"/>
        </w:numPr>
        <w:ind w:left="426" w:hanging="426"/>
      </w:pPr>
      <w:r w:rsidRPr="00F41B2F">
        <w:lastRenderedPageBreak/>
        <w:t>Executive summary</w:t>
      </w:r>
      <w:bookmarkEnd w:id="13"/>
    </w:p>
    <w:p w14:paraId="28741C29" w14:textId="18B9B045" w:rsidR="0013544E" w:rsidRPr="00137504" w:rsidRDefault="00BF41F8" w:rsidP="0013544E">
      <w:pPr>
        <w:pStyle w:val="Heading2"/>
        <w:rPr>
          <w:rFonts w:cs="Arial"/>
        </w:rPr>
      </w:pPr>
      <w:r w:rsidRPr="00137504">
        <w:rPr>
          <w:rFonts w:cs="Arial"/>
        </w:rPr>
        <w:t>Background</w:t>
      </w:r>
    </w:p>
    <w:p w14:paraId="1568AEAA" w14:textId="42E7D252" w:rsidR="00A862CF" w:rsidRDefault="00A862CF" w:rsidP="00A862CF">
      <w:r>
        <w:t xml:space="preserve">The National Health Reform Agreement (NHRA), signed by all Australian governments in August 2011, specifies that </w:t>
      </w:r>
      <w:r w:rsidR="002528A1">
        <w:t>the Independent Health and Aged Care Pricing Authority (</w:t>
      </w:r>
      <w:r w:rsidR="000E0BF3">
        <w:t>IHACPA</w:t>
      </w:r>
      <w:r w:rsidR="002528A1">
        <w:t>)</w:t>
      </w:r>
      <w:r>
        <w:t xml:space="preserve"> is to develop, refine and maintain systems as necessary to determine the national efficient price (NEP) and national efficient cost (NEC), including classifications, costing methodologies and data collections.</w:t>
      </w:r>
    </w:p>
    <w:p w14:paraId="6C0164A8" w14:textId="59972A7A" w:rsidR="00A862CF" w:rsidRDefault="00A862CF" w:rsidP="00A862CF">
      <w:r>
        <w:t>The Addendum to the NHRA 2020–25 (the Addendum), signed in May 2020, further defines IH</w:t>
      </w:r>
      <w:r w:rsidR="000E0BF3">
        <w:t>AC</w:t>
      </w:r>
      <w:r>
        <w:t xml:space="preserve">PA’s role in public hospital funding arrangements, in particular, the use of transitional arrangements such as shadow pricing and costing studies when developing new </w:t>
      </w:r>
      <w:proofErr w:type="gramStart"/>
      <w:r>
        <w:t>activity based</w:t>
      </w:r>
      <w:proofErr w:type="gramEnd"/>
      <w:r>
        <w:t xml:space="preserve"> funding (ABF) classification systems or costing methodologies.</w:t>
      </w:r>
    </w:p>
    <w:p w14:paraId="71FDC69A" w14:textId="5D3CDDC3" w:rsidR="00271FC1" w:rsidRPr="00137504" w:rsidRDefault="00A862CF" w:rsidP="00A862CF">
      <w:pPr>
        <w:rPr>
          <w:rFonts w:cs="Arial"/>
          <w:lang w:val="en-AU"/>
        </w:rPr>
      </w:pPr>
      <w:r>
        <w:t>IH</w:t>
      </w:r>
      <w:r w:rsidR="000E0BF3">
        <w:t>AC</w:t>
      </w:r>
      <w:r>
        <w:t>PA has developed guidelines on the principles, timeframes and evaluation methods associated with shadow pricing for new or changed ABF classification systems</w:t>
      </w:r>
      <w:r w:rsidR="004606DD" w:rsidRPr="00137504">
        <w:rPr>
          <w:rFonts w:cs="Arial"/>
          <w:lang w:val="en-AU"/>
        </w:rPr>
        <w:t>.</w:t>
      </w:r>
    </w:p>
    <w:p w14:paraId="1A4C8375" w14:textId="049E4320" w:rsidR="00A229CD" w:rsidRPr="00137504" w:rsidRDefault="00A862CF" w:rsidP="00A229CD">
      <w:pPr>
        <w:pStyle w:val="Heading2"/>
        <w:rPr>
          <w:rFonts w:cs="Arial"/>
        </w:rPr>
      </w:pPr>
      <w:bookmarkStart w:id="14" w:name="_Toc92205480"/>
      <w:r>
        <w:t>Provisions under the Addendum</w:t>
      </w:r>
      <w:bookmarkEnd w:id="14"/>
    </w:p>
    <w:p w14:paraId="3AE9C23E" w14:textId="41163C7A" w:rsidR="00A862CF" w:rsidRDefault="00A862CF" w:rsidP="00A862CF">
      <w:r>
        <w:t>The Addendum outlines provisions relating to the consultation processes IH</w:t>
      </w:r>
      <w:r w:rsidR="000E0BF3">
        <w:t>AC</w:t>
      </w:r>
      <w:r>
        <w:t>PA is required to undertake with all nine jurisdictions for proposed changes to the national funding model, with specific reference to processes for changes to classification systems and costing methodologies.</w:t>
      </w:r>
    </w:p>
    <w:p w14:paraId="34CD89AF" w14:textId="5A91C1B3" w:rsidR="00A862CF" w:rsidRDefault="00A862CF" w:rsidP="00A862CF">
      <w:r>
        <w:t>Clause A42 of the Addendum requires IH</w:t>
      </w:r>
      <w:r w:rsidR="000E0BF3">
        <w:t>AC</w:t>
      </w:r>
      <w:r>
        <w:t xml:space="preserve">PA to use transitional arrangements when developing new ABF classification systems or costing methodologies, including shadow pricing classification system changes and pricing based on a costing study, for two years or a period agreed with the Commonwealth and </w:t>
      </w:r>
      <w:proofErr w:type="gramStart"/>
      <w:r>
        <w:t>a majority of</w:t>
      </w:r>
      <w:proofErr w:type="gramEnd"/>
      <w:r>
        <w:t xml:space="preserve"> states and territories to ensure robust data collection and reporting to accurately model the financial and counting impact of changes on the national funding model.</w:t>
      </w:r>
    </w:p>
    <w:p w14:paraId="6689A0FD" w14:textId="4C27CB27" w:rsidR="004606DD" w:rsidRPr="00137504" w:rsidRDefault="00A862CF" w:rsidP="00A862CF">
      <w:pPr>
        <w:rPr>
          <w:rFonts w:cs="Arial"/>
          <w:lang w:val="en-AU"/>
        </w:rPr>
      </w:pPr>
      <w:r>
        <w:t xml:space="preserve">Full extracts from the Addendum are provided at </w:t>
      </w:r>
      <w:r w:rsidRPr="009155E6">
        <w:rPr>
          <w:b/>
          <w:bCs/>
        </w:rPr>
        <w:t>Appendix A</w:t>
      </w:r>
      <w:r w:rsidR="004606DD" w:rsidRPr="00137504">
        <w:rPr>
          <w:rFonts w:cs="Arial"/>
          <w:lang w:val="en-AU"/>
        </w:rPr>
        <w:t>.</w:t>
      </w:r>
    </w:p>
    <w:p w14:paraId="728B7BEB" w14:textId="76CB39A6" w:rsidR="004606DD" w:rsidRPr="00137504" w:rsidRDefault="00A862CF" w:rsidP="004606DD">
      <w:pPr>
        <w:pStyle w:val="Heading2"/>
        <w:rPr>
          <w:rFonts w:cs="Arial"/>
        </w:rPr>
      </w:pPr>
      <w:r>
        <w:t>Purpos</w:t>
      </w:r>
      <w:r>
        <w:rPr>
          <w:rFonts w:cs="Arial"/>
        </w:rPr>
        <w:t>e</w:t>
      </w:r>
    </w:p>
    <w:p w14:paraId="78A48168" w14:textId="77777777" w:rsidR="00A862CF" w:rsidRDefault="00A862CF" w:rsidP="00A862CF">
      <w:r>
        <w:t xml:space="preserve">The purpose of the </w:t>
      </w:r>
      <w:r w:rsidRPr="00413D01">
        <w:rPr>
          <w:i/>
          <w:iCs/>
        </w:rPr>
        <w:t>Shadow Pricing Guidelines</w:t>
      </w:r>
      <w:r>
        <w:t xml:space="preserve"> (the Guidelines) is to provide guidance for the use of shadow pricing in the development and implementation of changes to classification systems. The Guidelines establish guiding principles for commencing shadow pricing, reporting requirements during the shadow pricing period and criteria for progression to pricing.</w:t>
      </w:r>
    </w:p>
    <w:p w14:paraId="6C7CF2B4" w14:textId="77777777" w:rsidR="00D86137" w:rsidRDefault="00A862CF" w:rsidP="00A862CF">
      <w:pPr>
        <w:spacing w:line="259" w:lineRule="auto"/>
        <w:rPr>
          <w:rFonts w:cs="Arial"/>
          <w:lang w:val="en-AU"/>
        </w:rPr>
      </w:pPr>
      <w:r>
        <w:t xml:space="preserve">The Guidelines are to be applied in conjunction with the </w:t>
      </w:r>
      <w:hyperlink r:id="rId16" w:history="1">
        <w:r w:rsidRPr="000E0BF3">
          <w:rPr>
            <w:rStyle w:val="Hyperlink"/>
            <w:i/>
          </w:rPr>
          <w:t>National Pricing Model Consultation Policy</w:t>
        </w:r>
      </w:hyperlink>
      <w:r>
        <w:t>, which outlines the principles and consultative processes associated with changes that materially impact the application of the national funding model, including timeframes for shadow pricing and the circumstances and exceptions where shadow pricing is required</w:t>
      </w:r>
      <w:r w:rsidR="004606DD" w:rsidRPr="00137504">
        <w:rPr>
          <w:rFonts w:cs="Arial"/>
          <w:lang w:val="en-AU"/>
        </w:rPr>
        <w:t>.</w:t>
      </w:r>
      <w:r w:rsidR="00D86137">
        <w:rPr>
          <w:rFonts w:cs="Arial"/>
          <w:lang w:val="en-AU"/>
        </w:rPr>
        <w:t xml:space="preserve"> </w:t>
      </w:r>
    </w:p>
    <w:p w14:paraId="3190D5BA" w14:textId="43027C01" w:rsidR="004606DD" w:rsidRDefault="00D86137" w:rsidP="00A862CF">
      <w:pPr>
        <w:spacing w:line="259" w:lineRule="auto"/>
        <w:rPr>
          <w:rFonts w:cs="Arial"/>
          <w:lang w:val="en-AU"/>
        </w:rPr>
      </w:pPr>
      <w:r>
        <w:rPr>
          <w:rFonts w:cs="Arial"/>
        </w:rPr>
        <w:lastRenderedPageBreak/>
        <w:t xml:space="preserve">The Guidelines do not apply to IHACPA’s functions pertaining to the provision of advice to the Commonwealth </w:t>
      </w:r>
      <w:r w:rsidR="00454873">
        <w:rPr>
          <w:rFonts w:cs="Arial"/>
        </w:rPr>
        <w:t xml:space="preserve">Government </w:t>
      </w:r>
      <w:r>
        <w:rPr>
          <w:rFonts w:cs="Arial"/>
        </w:rPr>
        <w:t>on aged care costing and pricing</w:t>
      </w:r>
      <w:r>
        <w:rPr>
          <w:bCs/>
          <w:lang w:eastAsia="ja-JP"/>
        </w:rPr>
        <w:t>.</w:t>
      </w:r>
    </w:p>
    <w:p w14:paraId="03DB5992" w14:textId="77777777" w:rsidR="00A862CF" w:rsidRDefault="00A862CF" w:rsidP="00A862CF">
      <w:pPr>
        <w:pStyle w:val="Heading2"/>
        <w:spacing w:before="360" w:after="120" w:line="260" w:lineRule="atLeast"/>
        <w:ind w:left="709" w:hanging="720"/>
        <w:contextualSpacing/>
      </w:pPr>
      <w:bookmarkStart w:id="15" w:name="_Toc92205482"/>
      <w:r>
        <w:t>Review</w:t>
      </w:r>
      <w:bookmarkEnd w:id="15"/>
    </w:p>
    <w:p w14:paraId="250A0D04" w14:textId="14839949" w:rsidR="00A862CF" w:rsidRDefault="00A862CF" w:rsidP="00A862CF">
      <w:r>
        <w:t>The Pricing Authority and Chief Executive Officer of IH</w:t>
      </w:r>
      <w:r w:rsidR="000E0BF3">
        <w:t>AC</w:t>
      </w:r>
      <w:r>
        <w:t xml:space="preserve">PA will review the Guidelines, including associated documentation, annually or as required. </w:t>
      </w:r>
    </w:p>
    <w:p w14:paraId="187BA085" w14:textId="527C6DB4" w:rsidR="00A862CF" w:rsidRPr="00137504" w:rsidRDefault="00A862CF" w:rsidP="00A862CF">
      <w:pPr>
        <w:spacing w:line="259" w:lineRule="auto"/>
        <w:rPr>
          <w:rFonts w:cs="Arial"/>
          <w:lang w:val="en-AU"/>
        </w:rPr>
      </w:pPr>
      <w:r>
        <w:t xml:space="preserve">The Guidelines were </w:t>
      </w:r>
      <w:r w:rsidR="000E0BF3">
        <w:t xml:space="preserve">last </w:t>
      </w:r>
      <w:r>
        <w:t>reviewed in May 202</w:t>
      </w:r>
      <w:r w:rsidR="00D86137">
        <w:t>3</w:t>
      </w:r>
      <w:r>
        <w:t>.</w:t>
      </w:r>
    </w:p>
    <w:p w14:paraId="11027FB6" w14:textId="27EA23A3" w:rsidR="00465F58" w:rsidRPr="00137504" w:rsidRDefault="00465F58" w:rsidP="00BF41F8">
      <w:pPr>
        <w:spacing w:line="259" w:lineRule="auto"/>
        <w:rPr>
          <w:rFonts w:cs="Arial"/>
          <w:lang w:val="en-AU"/>
        </w:rPr>
      </w:pPr>
    </w:p>
    <w:p w14:paraId="5C65F8BC" w14:textId="7605E379" w:rsidR="00465F58" w:rsidRPr="00137504" w:rsidRDefault="00465F58">
      <w:pPr>
        <w:spacing w:line="259" w:lineRule="auto"/>
        <w:rPr>
          <w:rFonts w:cs="Arial"/>
          <w:lang w:val="en-AU"/>
        </w:rPr>
      </w:pPr>
      <w:r w:rsidRPr="00137504">
        <w:rPr>
          <w:rFonts w:cs="Arial"/>
          <w:lang w:val="en-AU"/>
        </w:rPr>
        <w:br w:type="page"/>
      </w:r>
    </w:p>
    <w:p w14:paraId="780B0964" w14:textId="20619599" w:rsidR="00723269" w:rsidRPr="00137504" w:rsidRDefault="00BD6035" w:rsidP="004606DD">
      <w:pPr>
        <w:pStyle w:val="Heading1"/>
        <w:rPr>
          <w:rFonts w:cs="Arial"/>
        </w:rPr>
      </w:pPr>
      <w:bookmarkStart w:id="16" w:name="_Toc92205483"/>
      <w:bookmarkStart w:id="17" w:name="_Toc130759325"/>
      <w:r>
        <w:lastRenderedPageBreak/>
        <w:t>Assessing readiness for shadow pricing</w:t>
      </w:r>
      <w:bookmarkEnd w:id="16"/>
      <w:bookmarkEnd w:id="17"/>
    </w:p>
    <w:p w14:paraId="5A744593" w14:textId="79C103F4" w:rsidR="00723269" w:rsidRPr="00137504" w:rsidRDefault="00BD6035" w:rsidP="003156D4">
      <w:pPr>
        <w:pStyle w:val="Heading2"/>
        <w:rPr>
          <w:rFonts w:cs="Arial"/>
        </w:rPr>
      </w:pPr>
      <w:bookmarkStart w:id="18" w:name="_Toc92205484"/>
      <w:r>
        <w:t>Overview</w:t>
      </w:r>
      <w:bookmarkEnd w:id="18"/>
    </w:p>
    <w:p w14:paraId="088892A1" w14:textId="6D3EFFDE" w:rsidR="00BD6035" w:rsidRDefault="00BD6035" w:rsidP="00BD6035">
      <w:r>
        <w:t>Clause A42 of the Addendum requires IH</w:t>
      </w:r>
      <w:r w:rsidR="000E0BF3">
        <w:t>AC</w:t>
      </w:r>
      <w:r>
        <w:t xml:space="preserve">PA to use transitional arrangements when developing new ABF classification systems or costing methodologies, including shadow pricing classification system changes, for two years or a period agreed with the Commonwealth and </w:t>
      </w:r>
      <w:proofErr w:type="gramStart"/>
      <w:r>
        <w:t>a majority of</w:t>
      </w:r>
      <w:proofErr w:type="gramEnd"/>
      <w:r>
        <w:t xml:space="preserve"> states and territories.</w:t>
      </w:r>
    </w:p>
    <w:p w14:paraId="7A6DD57E" w14:textId="5DD6E11A" w:rsidR="00BD6035" w:rsidRDefault="00BD6035" w:rsidP="00BD6035">
      <w:pPr>
        <w:ind w:right="-53"/>
      </w:pPr>
      <w:r>
        <w:t xml:space="preserve">As outlined in the </w:t>
      </w:r>
      <w:r>
        <w:rPr>
          <w:i/>
        </w:rPr>
        <w:t>National Pricing Model Consultation Policy</w:t>
      </w:r>
      <w:r>
        <w:t>, IH</w:t>
      </w:r>
      <w:r w:rsidR="000E0BF3">
        <w:t>AC</w:t>
      </w:r>
      <w:r>
        <w:t>PA will undertake shadow pricing for the introduction of new classifications and major structural changes to existing classifications.</w:t>
      </w:r>
    </w:p>
    <w:p w14:paraId="58AA47E7" w14:textId="0E6EE5F2" w:rsidR="00ED6165" w:rsidRPr="00137504" w:rsidRDefault="00BD6035" w:rsidP="00BD6035">
      <w:pPr>
        <w:rPr>
          <w:rFonts w:cs="Arial"/>
          <w:lang w:val="en-AU"/>
        </w:rPr>
      </w:pPr>
      <w:r>
        <w:t>IH</w:t>
      </w:r>
      <w:r w:rsidR="000E0BF3">
        <w:t>AC</w:t>
      </w:r>
      <w:r>
        <w:t xml:space="preserve">PA undertakes shadow pricing under these circumstances to ensure robust data collection and reporting to accurately model the financial and counting impact of changes on the national funding model and </w:t>
      </w:r>
      <w:proofErr w:type="spellStart"/>
      <w:r>
        <w:t>minimise</w:t>
      </w:r>
      <w:proofErr w:type="spellEnd"/>
      <w:r>
        <w:t xml:space="preserve"> the risk of incurring undesirable and inadvertent consequences</w:t>
      </w:r>
      <w:r w:rsidR="00FC072C" w:rsidRPr="00137504">
        <w:rPr>
          <w:rFonts w:cs="Arial"/>
          <w:lang w:val="en-AU"/>
        </w:rPr>
        <w:t>.</w:t>
      </w:r>
    </w:p>
    <w:p w14:paraId="4E53F88D" w14:textId="2A75C98F" w:rsidR="00FC072C" w:rsidRPr="00137504" w:rsidRDefault="00BD6035" w:rsidP="00FC072C">
      <w:pPr>
        <w:pStyle w:val="Heading2"/>
        <w:rPr>
          <w:rFonts w:cs="Arial"/>
        </w:rPr>
      </w:pPr>
      <w:bookmarkStart w:id="19" w:name="_Toc92205485"/>
      <w:r>
        <w:t>Principles for commencing shadow pricing</w:t>
      </w:r>
      <w:bookmarkEnd w:id="19"/>
    </w:p>
    <w:p w14:paraId="7CF01630" w14:textId="51F41C01" w:rsidR="00BD6035" w:rsidRDefault="00BD6035" w:rsidP="00BD6035">
      <w:r>
        <w:t>The Addendum does not contain any stipulations requiring the agreement of jurisdictions to commence shadow pricing, however IH</w:t>
      </w:r>
      <w:r w:rsidR="000E0BF3">
        <w:t>AC</w:t>
      </w:r>
      <w:r>
        <w:t>PA will assess readiness for shadow pricing of a new classification or a major structural change to an existing classification in consultation with jurisdictions and other relevant stakeholders.</w:t>
      </w:r>
    </w:p>
    <w:p w14:paraId="21901977" w14:textId="2B27D295" w:rsidR="00BD6035" w:rsidRDefault="00BD6035" w:rsidP="00BD6035">
      <w:pPr>
        <w:spacing w:after="60"/>
      </w:pPr>
      <w:r>
        <w:t>The following set of measures have been developed to guide the assessment of readiness for shadow pricing for a new or changed classification</w:t>
      </w:r>
      <w:r w:rsidR="00454873">
        <w:t>:</w:t>
      </w:r>
    </w:p>
    <w:p w14:paraId="302D9E9B" w14:textId="546B1E4F" w:rsidR="00BD6035" w:rsidRDefault="00BD6035" w:rsidP="00BD6035">
      <w:pPr>
        <w:pStyle w:val="ListParagraph"/>
        <w:numPr>
          <w:ilvl w:val="0"/>
          <w:numId w:val="45"/>
        </w:numPr>
        <w:spacing w:before="60" w:after="60" w:line="260" w:lineRule="atLeast"/>
        <w:contextualSpacing w:val="0"/>
      </w:pPr>
      <w:r>
        <w:t xml:space="preserve">The </w:t>
      </w:r>
      <w:r w:rsidRPr="00945824">
        <w:t xml:space="preserve">new or changed </w:t>
      </w:r>
      <w:r>
        <w:t>classification and pricing model have been developed in consultation with IH</w:t>
      </w:r>
      <w:r w:rsidR="000E0BF3">
        <w:t>AC</w:t>
      </w:r>
      <w:r>
        <w:t>PA’s Clinical Advisory Committee, Jurisdictional Advisory Committee (JAC), Technical Advisory Committee (TAC) and relevant classification development working groups.</w:t>
      </w:r>
    </w:p>
    <w:p w14:paraId="612A78DF" w14:textId="77777777" w:rsidR="00BD6035" w:rsidRDefault="00BD6035" w:rsidP="00BD6035">
      <w:pPr>
        <w:pStyle w:val="ListParagraph"/>
        <w:numPr>
          <w:ilvl w:val="0"/>
          <w:numId w:val="45"/>
        </w:numPr>
        <w:spacing w:before="60" w:after="60" w:line="260" w:lineRule="atLeast"/>
        <w:contextualSpacing w:val="0"/>
      </w:pPr>
      <w:r>
        <w:t xml:space="preserve">The new </w:t>
      </w:r>
      <w:r w:rsidRPr="00945824">
        <w:t>or changed</w:t>
      </w:r>
      <w:r>
        <w:t xml:space="preserve"> classification implements data elements that are currently captured or able to be captured in national data sets (National Minimum Data Set or National Best </w:t>
      </w:r>
      <w:proofErr w:type="spellStart"/>
      <w:r>
        <w:t>Endeavours</w:t>
      </w:r>
      <w:proofErr w:type="spellEnd"/>
      <w:r>
        <w:t xml:space="preserve"> Data Set) to enable pricing and funding reconciliation.</w:t>
      </w:r>
    </w:p>
    <w:p w14:paraId="356BF7AD" w14:textId="77777777" w:rsidR="00BD6035" w:rsidRDefault="00BD6035" w:rsidP="00BD6035">
      <w:pPr>
        <w:pStyle w:val="ListParagraph"/>
        <w:numPr>
          <w:ilvl w:val="0"/>
          <w:numId w:val="45"/>
        </w:numPr>
        <w:spacing w:before="60" w:after="60" w:line="260" w:lineRule="atLeast"/>
        <w:contextualSpacing w:val="0"/>
      </w:pPr>
      <w:r>
        <w:t>The shadow pricing model is based on cost and activity data from an adequate number and range of establishments to provide appropriate coverage of the patient service category and be adequately representative of jurisdiction costs and activities.</w:t>
      </w:r>
    </w:p>
    <w:p w14:paraId="0A097A92" w14:textId="77777777" w:rsidR="00BD6035" w:rsidRDefault="00BD6035" w:rsidP="00BD6035">
      <w:pPr>
        <w:pStyle w:val="ListParagraph"/>
        <w:numPr>
          <w:ilvl w:val="0"/>
          <w:numId w:val="45"/>
        </w:numPr>
        <w:spacing w:before="60" w:after="60" w:line="260" w:lineRule="atLeast"/>
        <w:contextualSpacing w:val="0"/>
      </w:pPr>
      <w:r>
        <w:t>The available cost and activity data provides adequate coverage of all classification end</w:t>
      </w:r>
      <w:r>
        <w:noBreakHyphen/>
        <w:t>classes and there are clear and meaningful strategies to account for gaps in data.</w:t>
      </w:r>
    </w:p>
    <w:p w14:paraId="28AFFAE6" w14:textId="77777777" w:rsidR="00BD6035" w:rsidRDefault="00BD6035" w:rsidP="00BD6035">
      <w:pPr>
        <w:pStyle w:val="ListParagraph"/>
        <w:numPr>
          <w:ilvl w:val="0"/>
          <w:numId w:val="45"/>
        </w:numPr>
        <w:spacing w:before="60" w:after="60" w:line="260" w:lineRule="atLeast"/>
        <w:contextualSpacing w:val="0"/>
      </w:pPr>
      <w:r>
        <w:t>The shadow pricing model appropriately accounts for outliers and variation in the underlying data to facilitate pricing model and year-on-year stability.</w:t>
      </w:r>
    </w:p>
    <w:p w14:paraId="02390474" w14:textId="77777777" w:rsidR="00BD6035" w:rsidRDefault="00BD6035" w:rsidP="00BD6035">
      <w:pPr>
        <w:pStyle w:val="ListParagraph"/>
        <w:numPr>
          <w:ilvl w:val="0"/>
          <w:numId w:val="45"/>
        </w:numPr>
        <w:spacing w:before="60" w:after="60" w:line="260" w:lineRule="atLeast"/>
        <w:contextualSpacing w:val="0"/>
      </w:pPr>
      <w:r>
        <w:t xml:space="preserve">The shadow pricing model appropriately accounts for risk and legitimate and unavoidable cost variations, with consideration given to clinical significance, statistical </w:t>
      </w:r>
      <w:proofErr w:type="gramStart"/>
      <w:r>
        <w:t>performance</w:t>
      </w:r>
      <w:proofErr w:type="gramEnd"/>
      <w:r>
        <w:t xml:space="preserve"> and model complexity.</w:t>
      </w:r>
    </w:p>
    <w:p w14:paraId="606C80C6" w14:textId="629BCCB8" w:rsidR="00BD6035" w:rsidRDefault="00BD6035" w:rsidP="00BD6035">
      <w:pPr>
        <w:pStyle w:val="ListParagraph"/>
        <w:numPr>
          <w:ilvl w:val="0"/>
          <w:numId w:val="45"/>
        </w:numPr>
        <w:spacing w:before="60" w:after="60" w:line="260" w:lineRule="atLeast"/>
        <w:contextualSpacing w:val="0"/>
      </w:pPr>
      <w:r>
        <w:lastRenderedPageBreak/>
        <w:t>In progression to shadow pricing, IH</w:t>
      </w:r>
      <w:r w:rsidR="005F2176">
        <w:t>AC</w:t>
      </w:r>
      <w:r>
        <w:t xml:space="preserve">PA will make every effort to </w:t>
      </w:r>
      <w:proofErr w:type="spellStart"/>
      <w:r>
        <w:t>minimise</w:t>
      </w:r>
      <w:proofErr w:type="spellEnd"/>
      <w:r>
        <w:t xml:space="preserve"> undue administrative, </w:t>
      </w:r>
      <w:proofErr w:type="gramStart"/>
      <w:r>
        <w:t>financial</w:t>
      </w:r>
      <w:proofErr w:type="gramEnd"/>
      <w:r>
        <w:t xml:space="preserve"> or operational burdens on jurisdictions (such as dual data collection).</w:t>
      </w:r>
    </w:p>
    <w:p w14:paraId="3D951355" w14:textId="0A896B09" w:rsidR="00BD6035" w:rsidRDefault="00BD6035" w:rsidP="00BD6035">
      <w:r>
        <w:t>In addition to assessment against the above measures for readiness for shadow pricing, IH</w:t>
      </w:r>
      <w:r w:rsidR="005F2176">
        <w:t>AC</w:t>
      </w:r>
      <w:r>
        <w:t xml:space="preserve">PA will develop and provide states and territories with national weighted activity unit (NWAU) calculators for shadow price weights. States and territories will be able to monitor the impacts of shadow price weights on local systems, to </w:t>
      </w:r>
      <w:r w:rsidR="00454873">
        <w:t xml:space="preserve">provide </w:t>
      </w:r>
      <w:r>
        <w:t>feedback to IH</w:t>
      </w:r>
      <w:r w:rsidR="005F2176">
        <w:t>AC</w:t>
      </w:r>
      <w:r>
        <w:t>PA during the shadow period.</w:t>
      </w:r>
    </w:p>
    <w:p w14:paraId="59BCBDA2" w14:textId="1B1387D6" w:rsidR="00BF41F8" w:rsidRPr="00137504" w:rsidRDefault="00BD6035" w:rsidP="00BD6035">
      <w:pPr>
        <w:rPr>
          <w:rFonts w:cs="Arial"/>
          <w:lang w:val="en-AU"/>
        </w:rPr>
      </w:pPr>
      <w:r>
        <w:t xml:space="preserve">This will facilitate consideration of potential </w:t>
      </w:r>
      <w:proofErr w:type="gramStart"/>
      <w:r>
        <w:t>medium and long term</w:t>
      </w:r>
      <w:proofErr w:type="gramEnd"/>
      <w:r>
        <w:t xml:space="preserve"> impacts on the national pricing model and assist in ensuring that the shadow pricing model is fit-for-purpose</w:t>
      </w:r>
      <w:r w:rsidR="00BF41F8" w:rsidRPr="00137504">
        <w:rPr>
          <w:rFonts w:cs="Arial"/>
          <w:lang w:val="en-AU"/>
        </w:rPr>
        <w:t>.</w:t>
      </w:r>
    </w:p>
    <w:p w14:paraId="4C0BC6BA" w14:textId="3166812D" w:rsidR="00BF41F8" w:rsidRPr="00137504" w:rsidRDefault="0027734B" w:rsidP="00BF41F8">
      <w:pPr>
        <w:pStyle w:val="Heading2"/>
        <w:rPr>
          <w:rFonts w:cs="Arial"/>
        </w:rPr>
      </w:pPr>
      <w:bookmarkStart w:id="20" w:name="_Toc92205486"/>
      <w:r>
        <w:t>Consultation process</w:t>
      </w:r>
      <w:bookmarkEnd w:id="20"/>
    </w:p>
    <w:p w14:paraId="3F891B23" w14:textId="4808AE66" w:rsidR="0027734B" w:rsidRDefault="0027734B" w:rsidP="0027734B">
      <w:r>
        <w:t>IH</w:t>
      </w:r>
      <w:r w:rsidR="005F2176">
        <w:t>AC</w:t>
      </w:r>
      <w:r>
        <w:t>PA will consult with jurisdictions through JAC and TAC in assessing readiness for shadow pricing. Proposals to commence shadow pricing will be tabled through JAC and TAC, where IH</w:t>
      </w:r>
      <w:r w:rsidR="005F2176">
        <w:t>AC</w:t>
      </w:r>
      <w:r>
        <w:t xml:space="preserve">PA will provide the jurisdictional representatives with updates on classification development, updates on shadow pricing model development, relevant </w:t>
      </w:r>
      <w:proofErr w:type="gramStart"/>
      <w:r>
        <w:t>reports</w:t>
      </w:r>
      <w:proofErr w:type="gramEnd"/>
      <w:r>
        <w:t xml:space="preserve"> and analysis, and IH</w:t>
      </w:r>
      <w:r w:rsidR="005F2176">
        <w:t>AC</w:t>
      </w:r>
      <w:r>
        <w:t>PA’s rationale to shadow price.</w:t>
      </w:r>
    </w:p>
    <w:p w14:paraId="1EBC9E57" w14:textId="6C86062B" w:rsidR="00BF41F8" w:rsidRDefault="0027734B" w:rsidP="0027734B">
      <w:pPr>
        <w:rPr>
          <w:rFonts w:cs="Arial"/>
          <w:lang w:val="en-AU"/>
        </w:rPr>
      </w:pPr>
      <w:r>
        <w:t xml:space="preserve">Following consultation through JAC and TAC, the feedback from jurisdictions, any additional </w:t>
      </w:r>
      <w:proofErr w:type="gramStart"/>
      <w:r>
        <w:t>analysis</w:t>
      </w:r>
      <w:proofErr w:type="gramEnd"/>
      <w:r>
        <w:t xml:space="preserve"> and the proposal to shadow price will be provided to the Pricing Authority for consideration. Where the proposal is not supported by jurisdictional representatives through JAC, however is approved by the Pricing Authority for progression to shadow pricing, IH</w:t>
      </w:r>
      <w:r w:rsidR="005F2176">
        <w:t>AC</w:t>
      </w:r>
      <w:r>
        <w:t>PA will provide the Pricing Authority’s rationale to JAC Members</w:t>
      </w:r>
      <w:r w:rsidR="00BF41F8" w:rsidRPr="00137504">
        <w:rPr>
          <w:rFonts w:cs="Arial"/>
          <w:lang w:val="en-AU"/>
        </w:rPr>
        <w:t>.</w:t>
      </w:r>
    </w:p>
    <w:p w14:paraId="163FF9C2" w14:textId="35A0426E" w:rsidR="0027734B" w:rsidRPr="0027734B" w:rsidRDefault="0027734B" w:rsidP="0027734B">
      <w:pPr>
        <w:pStyle w:val="Heading2"/>
      </w:pPr>
      <w:bookmarkStart w:id="21" w:name="_Toc92205487"/>
      <w:r w:rsidRPr="0027734B">
        <w:t>Timeframes</w:t>
      </w:r>
      <w:bookmarkEnd w:id="21"/>
      <w:r w:rsidR="005440D5">
        <w:t xml:space="preserve"> for commencing shadow pricing</w:t>
      </w:r>
    </w:p>
    <w:p w14:paraId="4B9E101E" w14:textId="0F555657" w:rsidR="0027734B" w:rsidRDefault="0027734B" w:rsidP="0027734B">
      <w:r>
        <w:t xml:space="preserve">As outlined in the </w:t>
      </w:r>
      <w:r w:rsidR="00943C37" w:rsidRPr="00943C37">
        <w:rPr>
          <w:i/>
        </w:rPr>
        <w:t>National Pricing Model Consultation Policy</w:t>
      </w:r>
      <w:r>
        <w:t>, the starting point for the two-year shadow period will be the commencement of the financial year immediately following the Pricing Authority’s decision to commence shadow pricing or any other date agreed between IH</w:t>
      </w:r>
      <w:r w:rsidR="00D96EB8">
        <w:t>AC</w:t>
      </w:r>
      <w:r>
        <w:t xml:space="preserve">PA, the Commonwealth and </w:t>
      </w:r>
      <w:proofErr w:type="gramStart"/>
      <w:r>
        <w:t>a majority of</w:t>
      </w:r>
      <w:proofErr w:type="gramEnd"/>
      <w:r>
        <w:t xml:space="preserve"> states and territories.</w:t>
      </w:r>
    </w:p>
    <w:p w14:paraId="09DD3328" w14:textId="21FAF903" w:rsidR="0027734B" w:rsidRDefault="0027734B" w:rsidP="0027734B">
      <w:r>
        <w:t>In alignment with the annual NEP and NEC development cycle, IH</w:t>
      </w:r>
      <w:r w:rsidR="005F2176">
        <w:t>AC</w:t>
      </w:r>
      <w:r>
        <w:t xml:space="preserve">PA will communicate its intent to shadow price to broader stakeholders through its annual Consultation Paper on the Pricing Framework for Australian Public Hospital Services and communicate decisions on shadow pricing through the </w:t>
      </w:r>
      <w:hyperlink r:id="rId17" w:history="1">
        <w:r w:rsidR="005F2176" w:rsidRPr="00454873">
          <w:rPr>
            <w:rStyle w:val="Hyperlink"/>
            <w:iCs/>
          </w:rPr>
          <w:t>Pricing Framework for Australian Public Hospital Services</w:t>
        </w:r>
      </w:hyperlink>
      <w:r>
        <w:t>.</w:t>
      </w:r>
    </w:p>
    <w:p w14:paraId="06003A5C" w14:textId="77777777" w:rsidR="0027734B" w:rsidRDefault="0027734B" w:rsidP="0027734B">
      <w:r>
        <w:t xml:space="preserve">The timeframes for assessing readiness for shadow pricing are outlined in </w:t>
      </w:r>
      <w:r w:rsidRPr="00745CC9">
        <w:rPr>
          <w:b/>
        </w:rPr>
        <w:t>Table 1</w:t>
      </w:r>
      <w:r>
        <w:t>.</w:t>
      </w:r>
    </w:p>
    <w:p w14:paraId="3855272B" w14:textId="77777777" w:rsidR="0027734B" w:rsidRDefault="0027734B" w:rsidP="0027734B">
      <w:pPr>
        <w:rPr>
          <w:b/>
        </w:rPr>
      </w:pPr>
      <w:r w:rsidRPr="00745CC9">
        <w:rPr>
          <w:b/>
        </w:rPr>
        <w:t xml:space="preserve">Table 1. Timeframes for proposal, </w:t>
      </w:r>
      <w:proofErr w:type="gramStart"/>
      <w:r w:rsidRPr="00745CC9">
        <w:rPr>
          <w:b/>
        </w:rPr>
        <w:t>consultation</w:t>
      </w:r>
      <w:proofErr w:type="gramEnd"/>
      <w:r w:rsidRPr="00745CC9">
        <w:rPr>
          <w:b/>
        </w:rPr>
        <w:t xml:space="preserve"> and commencement of shadow pricing</w:t>
      </w:r>
    </w:p>
    <w:tbl>
      <w:tblPr>
        <w:tblStyle w:val="TableGrid"/>
        <w:tblW w:w="0" w:type="auto"/>
        <w:tblLook w:val="04A0" w:firstRow="1" w:lastRow="0" w:firstColumn="1" w:lastColumn="0" w:noHBand="0" w:noVBand="1"/>
      </w:tblPr>
      <w:tblGrid>
        <w:gridCol w:w="2547"/>
        <w:gridCol w:w="4819"/>
        <w:gridCol w:w="2069"/>
      </w:tblGrid>
      <w:tr w:rsidR="0027734B" w:rsidRPr="00745CC9" w14:paraId="30C7A103" w14:textId="77777777" w:rsidTr="007170BA">
        <w:trPr>
          <w:tblHeader/>
        </w:trPr>
        <w:tc>
          <w:tcPr>
            <w:tcW w:w="2547" w:type="dxa"/>
            <w:shd w:val="clear" w:color="auto" w:fill="15272F" w:themeFill="accent1"/>
          </w:tcPr>
          <w:p w14:paraId="7A54AD20" w14:textId="77777777" w:rsidR="0027734B" w:rsidRPr="0027734B" w:rsidRDefault="0027734B" w:rsidP="007170BA">
            <w:pPr>
              <w:rPr>
                <w:b/>
                <w:color w:val="FFFFFF" w:themeColor="accent6"/>
              </w:rPr>
            </w:pPr>
            <w:r w:rsidRPr="0027734B">
              <w:rPr>
                <w:b/>
                <w:color w:val="FFFFFF" w:themeColor="accent6"/>
              </w:rPr>
              <w:t>Process</w:t>
            </w:r>
          </w:p>
        </w:tc>
        <w:tc>
          <w:tcPr>
            <w:tcW w:w="4819" w:type="dxa"/>
            <w:shd w:val="clear" w:color="auto" w:fill="15272F" w:themeFill="accent1"/>
          </w:tcPr>
          <w:p w14:paraId="1D82A654" w14:textId="77777777" w:rsidR="0027734B" w:rsidRPr="0027734B" w:rsidRDefault="0027734B" w:rsidP="007170BA">
            <w:pPr>
              <w:rPr>
                <w:b/>
                <w:color w:val="FFFFFF" w:themeColor="accent6"/>
              </w:rPr>
            </w:pPr>
            <w:r w:rsidRPr="0027734B">
              <w:rPr>
                <w:b/>
                <w:color w:val="FFFFFF" w:themeColor="accent6"/>
              </w:rPr>
              <w:t>Process details</w:t>
            </w:r>
          </w:p>
        </w:tc>
        <w:tc>
          <w:tcPr>
            <w:tcW w:w="2069" w:type="dxa"/>
            <w:shd w:val="clear" w:color="auto" w:fill="15272F" w:themeFill="accent1"/>
          </w:tcPr>
          <w:p w14:paraId="3833A82D" w14:textId="77777777" w:rsidR="0027734B" w:rsidRPr="0027734B" w:rsidRDefault="0027734B" w:rsidP="007170BA">
            <w:pPr>
              <w:rPr>
                <w:b/>
                <w:color w:val="FFFFFF" w:themeColor="accent6"/>
              </w:rPr>
            </w:pPr>
            <w:r w:rsidRPr="0027734B">
              <w:rPr>
                <w:b/>
                <w:color w:val="FFFFFF" w:themeColor="accent6"/>
              </w:rPr>
              <w:t>Timeframe</w:t>
            </w:r>
          </w:p>
        </w:tc>
      </w:tr>
      <w:tr w:rsidR="0027734B" w:rsidRPr="004E6DCF" w14:paraId="2BAAA6F2" w14:textId="77777777" w:rsidTr="007170BA">
        <w:tc>
          <w:tcPr>
            <w:tcW w:w="2547" w:type="dxa"/>
          </w:tcPr>
          <w:p w14:paraId="7578C1AF" w14:textId="234A2603" w:rsidR="0027734B" w:rsidRPr="004E6DCF" w:rsidRDefault="0027734B" w:rsidP="007170BA">
            <w:r w:rsidRPr="004E6DCF">
              <w:t>Public consultation on IH</w:t>
            </w:r>
            <w:r w:rsidR="005F2176">
              <w:t>AC</w:t>
            </w:r>
            <w:r w:rsidRPr="004E6DCF">
              <w:t>PA’s intent to shadow price</w:t>
            </w:r>
          </w:p>
        </w:tc>
        <w:tc>
          <w:tcPr>
            <w:tcW w:w="4819" w:type="dxa"/>
          </w:tcPr>
          <w:p w14:paraId="34AB4F5C" w14:textId="77777777" w:rsidR="0027734B" w:rsidRPr="004E6DCF" w:rsidRDefault="0027734B" w:rsidP="007170BA">
            <w:r w:rsidRPr="004E6DCF">
              <w:t>30-day public consultation period through the Consultation Paper on the Pricing Framework for Australian Public Hospital Services</w:t>
            </w:r>
          </w:p>
        </w:tc>
        <w:tc>
          <w:tcPr>
            <w:tcW w:w="2069" w:type="dxa"/>
          </w:tcPr>
          <w:p w14:paraId="2B104EC5" w14:textId="77777777" w:rsidR="0027734B" w:rsidRPr="004E6DCF" w:rsidRDefault="0027734B" w:rsidP="007170BA">
            <w:r w:rsidRPr="004E6DCF">
              <w:t>June to July of the current year</w:t>
            </w:r>
          </w:p>
        </w:tc>
      </w:tr>
      <w:tr w:rsidR="0027734B" w:rsidRPr="004E6DCF" w14:paraId="176CE264" w14:textId="77777777" w:rsidTr="007170BA">
        <w:tc>
          <w:tcPr>
            <w:tcW w:w="2547" w:type="dxa"/>
          </w:tcPr>
          <w:p w14:paraId="4CD3616A" w14:textId="77777777" w:rsidR="0027734B" w:rsidRPr="004E6DCF" w:rsidRDefault="0027734B" w:rsidP="007170BA">
            <w:r w:rsidRPr="004E6DCF">
              <w:t>Assessment of readiness for shadow pricing</w:t>
            </w:r>
          </w:p>
        </w:tc>
        <w:tc>
          <w:tcPr>
            <w:tcW w:w="4819" w:type="dxa"/>
          </w:tcPr>
          <w:p w14:paraId="644CEEA1" w14:textId="77777777" w:rsidR="0027734B" w:rsidRPr="004E6DCF" w:rsidRDefault="0027734B" w:rsidP="007170BA">
            <w:r w:rsidRPr="004E6DCF">
              <w:t>Incorporation of stakeholder feedback and additional consultation where required</w:t>
            </w:r>
          </w:p>
        </w:tc>
        <w:tc>
          <w:tcPr>
            <w:tcW w:w="2069" w:type="dxa"/>
          </w:tcPr>
          <w:p w14:paraId="766B8F7F" w14:textId="77777777" w:rsidR="0027734B" w:rsidRPr="004E6DCF" w:rsidRDefault="0027734B" w:rsidP="007170BA">
            <w:r w:rsidRPr="004E6DCF">
              <w:t>July to October of the current year</w:t>
            </w:r>
          </w:p>
        </w:tc>
      </w:tr>
      <w:tr w:rsidR="0027734B" w:rsidRPr="004E6DCF" w14:paraId="3F2DFC55" w14:textId="77777777" w:rsidTr="007170BA">
        <w:tc>
          <w:tcPr>
            <w:tcW w:w="2547" w:type="dxa"/>
          </w:tcPr>
          <w:p w14:paraId="4735D57E" w14:textId="77777777" w:rsidR="0027734B" w:rsidRPr="004E6DCF" w:rsidRDefault="0027734B" w:rsidP="007170BA">
            <w:r w:rsidRPr="004E6DCF">
              <w:lastRenderedPageBreak/>
              <w:t>Proposal for shadow pricing tabled at JAC and TAC</w:t>
            </w:r>
          </w:p>
        </w:tc>
        <w:tc>
          <w:tcPr>
            <w:tcW w:w="4819" w:type="dxa"/>
          </w:tcPr>
          <w:p w14:paraId="774C2154" w14:textId="77777777" w:rsidR="0027734B" w:rsidRPr="004E6DCF" w:rsidRDefault="0027734B" w:rsidP="007170BA">
            <w:r w:rsidRPr="004E6DCF">
              <w:t xml:space="preserve">14-day JAC and TAC consultation period </w:t>
            </w:r>
          </w:p>
        </w:tc>
        <w:tc>
          <w:tcPr>
            <w:tcW w:w="2069" w:type="dxa"/>
          </w:tcPr>
          <w:p w14:paraId="3EA79C8F" w14:textId="77777777" w:rsidR="0027734B" w:rsidRPr="004E6DCF" w:rsidRDefault="0027734B" w:rsidP="007170BA">
            <w:r w:rsidRPr="004E6DCF">
              <w:t>No later than 31</w:t>
            </w:r>
            <w:r>
              <w:t> </w:t>
            </w:r>
            <w:r w:rsidRPr="004E6DCF">
              <w:t>October of the current year</w:t>
            </w:r>
          </w:p>
        </w:tc>
      </w:tr>
      <w:tr w:rsidR="0027734B" w:rsidRPr="00E160CC" w14:paraId="73CE84AD" w14:textId="77777777" w:rsidTr="007170BA">
        <w:tc>
          <w:tcPr>
            <w:tcW w:w="2547" w:type="dxa"/>
          </w:tcPr>
          <w:p w14:paraId="62360F4F" w14:textId="77777777" w:rsidR="0027734B" w:rsidRPr="00E160CC" w:rsidRDefault="0027734B" w:rsidP="007170BA">
            <w:r w:rsidRPr="00E160CC">
              <w:t>Pricing Authority approval</w:t>
            </w:r>
          </w:p>
        </w:tc>
        <w:tc>
          <w:tcPr>
            <w:tcW w:w="4819" w:type="dxa"/>
          </w:tcPr>
          <w:p w14:paraId="4EF64003" w14:textId="77777777" w:rsidR="0027734B" w:rsidRPr="00E160CC" w:rsidRDefault="0027734B" w:rsidP="007170BA">
            <w:r>
              <w:t>Incorporation of</w:t>
            </w:r>
            <w:r w:rsidRPr="00E160CC">
              <w:t xml:space="preserve"> feedback from JAC and TAC</w:t>
            </w:r>
          </w:p>
        </w:tc>
        <w:tc>
          <w:tcPr>
            <w:tcW w:w="2069" w:type="dxa"/>
          </w:tcPr>
          <w:p w14:paraId="580285A9" w14:textId="77777777" w:rsidR="0027734B" w:rsidRPr="00E160CC" w:rsidRDefault="0027734B" w:rsidP="007170BA">
            <w:r w:rsidRPr="00E160CC">
              <w:t>November of the current year</w:t>
            </w:r>
          </w:p>
        </w:tc>
      </w:tr>
      <w:tr w:rsidR="0027734B" w:rsidRPr="00E160CC" w14:paraId="003BDB6C" w14:textId="77777777" w:rsidTr="007170BA">
        <w:tc>
          <w:tcPr>
            <w:tcW w:w="2547" w:type="dxa"/>
          </w:tcPr>
          <w:p w14:paraId="54C4CA59" w14:textId="77777777" w:rsidR="0027734B" w:rsidRPr="00E160CC" w:rsidRDefault="0027734B" w:rsidP="007170BA">
            <w:r w:rsidRPr="00E160CC">
              <w:t>Notification to health ministers of intent to progress to shadow pricing</w:t>
            </w:r>
          </w:p>
        </w:tc>
        <w:tc>
          <w:tcPr>
            <w:tcW w:w="4819" w:type="dxa"/>
          </w:tcPr>
          <w:p w14:paraId="1C938895" w14:textId="77777777" w:rsidR="0027734B" w:rsidRPr="00E160CC" w:rsidRDefault="0027734B" w:rsidP="007170BA">
            <w:r w:rsidRPr="00E160CC">
              <w:t xml:space="preserve">45-day ministerial consultation period through the draft NEP Determination, which will </w:t>
            </w:r>
            <w:r>
              <w:t xml:space="preserve">provide detail on the new or changed classification that is </w:t>
            </w:r>
            <w:r w:rsidRPr="00E160CC">
              <w:t>being shadow priced</w:t>
            </w:r>
          </w:p>
        </w:tc>
        <w:tc>
          <w:tcPr>
            <w:tcW w:w="2069" w:type="dxa"/>
          </w:tcPr>
          <w:p w14:paraId="62EB8435" w14:textId="77777777" w:rsidR="0027734B" w:rsidRPr="00E160CC" w:rsidRDefault="0027734B" w:rsidP="007170BA">
            <w:r w:rsidRPr="00E160CC">
              <w:t>December of the current year</w:t>
            </w:r>
          </w:p>
        </w:tc>
      </w:tr>
      <w:tr w:rsidR="0027734B" w:rsidRPr="00E160CC" w14:paraId="55A32A11" w14:textId="77777777" w:rsidTr="007170BA">
        <w:tc>
          <w:tcPr>
            <w:tcW w:w="2547" w:type="dxa"/>
          </w:tcPr>
          <w:p w14:paraId="135D5C82" w14:textId="77777777" w:rsidR="0027734B" w:rsidRPr="00E160CC" w:rsidRDefault="0027734B" w:rsidP="007170BA">
            <w:r>
              <w:t>S</w:t>
            </w:r>
            <w:r w:rsidRPr="00E160CC">
              <w:t>takeholder notification of progression to shadow pricing</w:t>
            </w:r>
          </w:p>
        </w:tc>
        <w:tc>
          <w:tcPr>
            <w:tcW w:w="4819" w:type="dxa"/>
          </w:tcPr>
          <w:p w14:paraId="7FB2A963" w14:textId="77777777" w:rsidR="0027734B" w:rsidRPr="00E160CC" w:rsidRDefault="0027734B" w:rsidP="007170BA">
            <w:r w:rsidRPr="00E160CC">
              <w:t>Stakeholder</w:t>
            </w:r>
            <w:r>
              <w:t>s are notified of the</w:t>
            </w:r>
            <w:r w:rsidRPr="00E160CC">
              <w:t xml:space="preserve"> final decisions around shadow pricing through </w:t>
            </w:r>
            <w:r>
              <w:t xml:space="preserve">the </w:t>
            </w:r>
            <w:r w:rsidRPr="00E160CC">
              <w:t xml:space="preserve">publication of the </w:t>
            </w:r>
            <w:r w:rsidRPr="008D4225">
              <w:rPr>
                <w:iCs/>
              </w:rPr>
              <w:t>Pricing Framework for Australian Public Hospital Services</w:t>
            </w:r>
          </w:p>
        </w:tc>
        <w:tc>
          <w:tcPr>
            <w:tcW w:w="2069" w:type="dxa"/>
          </w:tcPr>
          <w:p w14:paraId="04193216" w14:textId="77777777" w:rsidR="0027734B" w:rsidRPr="00E160CC" w:rsidRDefault="0027734B" w:rsidP="007170BA">
            <w:r w:rsidRPr="00E160CC">
              <w:t>December of the current year</w:t>
            </w:r>
          </w:p>
        </w:tc>
      </w:tr>
      <w:tr w:rsidR="00D810B9" w:rsidRPr="00E160CC" w14:paraId="3877D884" w14:textId="77777777" w:rsidTr="007170BA">
        <w:tc>
          <w:tcPr>
            <w:tcW w:w="2547" w:type="dxa"/>
          </w:tcPr>
          <w:p w14:paraId="597B899C" w14:textId="54AB4167" w:rsidR="00D810B9" w:rsidRDefault="00D810B9" w:rsidP="007170BA">
            <w:r>
              <w:t>Provision of shadow price weights</w:t>
            </w:r>
          </w:p>
        </w:tc>
        <w:tc>
          <w:tcPr>
            <w:tcW w:w="4819" w:type="dxa"/>
          </w:tcPr>
          <w:p w14:paraId="735B10E4" w14:textId="429E1DF6" w:rsidR="00D810B9" w:rsidRPr="00E160CC" w:rsidRDefault="00D810B9" w:rsidP="007170BA">
            <w:r>
              <w:t>Shadow price weights and associated NWAU calculators are published alongside the final NEP Determination.</w:t>
            </w:r>
          </w:p>
        </w:tc>
        <w:tc>
          <w:tcPr>
            <w:tcW w:w="2069" w:type="dxa"/>
          </w:tcPr>
          <w:p w14:paraId="07A3F843" w14:textId="58011C64" w:rsidR="00D810B9" w:rsidRPr="00E160CC" w:rsidRDefault="00D810B9" w:rsidP="007170BA">
            <w:r>
              <w:t>By 31 March of the following year</w:t>
            </w:r>
          </w:p>
        </w:tc>
      </w:tr>
      <w:tr w:rsidR="0027734B" w14:paraId="10420C7E" w14:textId="77777777" w:rsidTr="007170BA">
        <w:tc>
          <w:tcPr>
            <w:tcW w:w="2547" w:type="dxa"/>
          </w:tcPr>
          <w:p w14:paraId="6F91B13A" w14:textId="77777777" w:rsidR="0027734B" w:rsidRPr="00E160CC" w:rsidRDefault="0027734B" w:rsidP="007170BA">
            <w:r w:rsidRPr="00E160CC">
              <w:t>Commencement of shadow pricing</w:t>
            </w:r>
          </w:p>
        </w:tc>
        <w:tc>
          <w:tcPr>
            <w:tcW w:w="4819" w:type="dxa"/>
          </w:tcPr>
          <w:p w14:paraId="43490338" w14:textId="54DBE72C" w:rsidR="0027734B" w:rsidRPr="00E160CC" w:rsidRDefault="00D810B9" w:rsidP="007170BA">
            <w:r>
              <w:t>IHACPA and jurisdictions begin monitoring the impact of shadow pricing.</w:t>
            </w:r>
          </w:p>
        </w:tc>
        <w:tc>
          <w:tcPr>
            <w:tcW w:w="2069" w:type="dxa"/>
          </w:tcPr>
          <w:p w14:paraId="630D4CA4" w14:textId="489C85B6" w:rsidR="0027734B" w:rsidRDefault="0027734B" w:rsidP="007170BA">
            <w:r w:rsidRPr="00E160CC">
              <w:t>From 1 July of the following year</w:t>
            </w:r>
          </w:p>
        </w:tc>
      </w:tr>
    </w:tbl>
    <w:p w14:paraId="27BB56EF" w14:textId="77777777" w:rsidR="00BF41F8" w:rsidRPr="00137504" w:rsidRDefault="00BF41F8" w:rsidP="00FC072C">
      <w:pPr>
        <w:rPr>
          <w:rFonts w:cs="Arial"/>
          <w:lang w:val="en-AU"/>
        </w:rPr>
      </w:pPr>
    </w:p>
    <w:p w14:paraId="235A1926" w14:textId="3134333A" w:rsidR="005440D5" w:rsidRDefault="005440D5" w:rsidP="00D810B9">
      <w:pPr>
        <w:pStyle w:val="Heading2"/>
      </w:pPr>
      <w:r>
        <w:t xml:space="preserve">Monitoring </w:t>
      </w:r>
      <w:r w:rsidR="00D810B9">
        <w:t>the impact of shadow pricing</w:t>
      </w:r>
    </w:p>
    <w:p w14:paraId="22B56C0C" w14:textId="4134D848" w:rsidR="0027734B" w:rsidRDefault="0027734B" w:rsidP="0027734B">
      <w:r>
        <w:t xml:space="preserve">The publication of the annual NEP Determination will include shadow price weights and NWAU </w:t>
      </w:r>
      <w:r w:rsidRPr="009B10F6">
        <w:t xml:space="preserve">calculators </w:t>
      </w:r>
      <w:r>
        <w:t>for new or changed classifications that are being shadow priced.</w:t>
      </w:r>
      <w:r w:rsidRPr="00732BE5">
        <w:t xml:space="preserve"> </w:t>
      </w:r>
      <w:r>
        <w:t xml:space="preserve">Groupers </w:t>
      </w:r>
      <w:r w:rsidRPr="00732BE5">
        <w:t xml:space="preserve">for new or </w:t>
      </w:r>
      <w:r>
        <w:t>changed</w:t>
      </w:r>
      <w:r w:rsidRPr="00732BE5">
        <w:t xml:space="preserve"> classifications that </w:t>
      </w:r>
      <w:r>
        <w:t>are being</w:t>
      </w:r>
      <w:r w:rsidRPr="00732BE5">
        <w:t xml:space="preserve"> shadow priced will also be made available to jurisdictions </w:t>
      </w:r>
      <w:r>
        <w:t>up</w:t>
      </w:r>
      <w:r w:rsidRPr="00732BE5">
        <w:t xml:space="preserve">on request. Where feasible, the calculations for shadow priced classifications will be incorporated into the </w:t>
      </w:r>
      <w:hyperlink r:id="rId18" w:history="1">
        <w:r w:rsidR="005F2176" w:rsidRPr="005F2176">
          <w:rPr>
            <w:rStyle w:val="Hyperlink"/>
          </w:rPr>
          <w:t>IH</w:t>
        </w:r>
        <w:r w:rsidR="00E70327">
          <w:rPr>
            <w:rStyle w:val="Hyperlink"/>
          </w:rPr>
          <w:t>AC</w:t>
        </w:r>
        <w:r w:rsidR="005F2176" w:rsidRPr="005F2176">
          <w:rPr>
            <w:rStyle w:val="Hyperlink"/>
          </w:rPr>
          <w:t>PA data submission portal</w:t>
        </w:r>
      </w:hyperlink>
      <w:r>
        <w:t>.</w:t>
      </w:r>
    </w:p>
    <w:p w14:paraId="24FEC07C" w14:textId="1D6C1450" w:rsidR="0027734B" w:rsidRDefault="0027734B" w:rsidP="0027734B">
      <w:r>
        <w:t>Where the implementation of groupers for shadow pricing new or changed classifications represents an undue administrative burden on jurisdictions, IH</w:t>
      </w:r>
      <w:r w:rsidR="00E27E04">
        <w:t>AC</w:t>
      </w:r>
      <w:r>
        <w:t>PA will support jurisdictional evaluation of the shadow pricing period through the provision of impact analysis through JAC and TAC. This may include analysis of the potential impact of shadow pricing on NEP adjustments and on other activity streams, and assessment of the shadow pricing model against the existing pricing model.</w:t>
      </w:r>
    </w:p>
    <w:p w14:paraId="2BB4617F" w14:textId="034FCBB5" w:rsidR="00BF41F8" w:rsidRPr="00137504" w:rsidRDefault="0027734B" w:rsidP="0027734B">
      <w:pPr>
        <w:spacing w:line="259" w:lineRule="auto"/>
        <w:rPr>
          <w:rFonts w:cs="Arial"/>
          <w:lang w:val="en-AU"/>
        </w:rPr>
      </w:pPr>
      <w:r>
        <w:t xml:space="preserve">Further information on the NEP Determination, shadow price weights and NWAU calculators can be found on the </w:t>
      </w:r>
      <w:hyperlink r:id="rId19" w:history="1">
        <w:r w:rsidRPr="001409F0">
          <w:rPr>
            <w:rStyle w:val="Hyperlink"/>
            <w:color w:val="104F99" w:themeColor="accent2"/>
          </w:rPr>
          <w:t>IH</w:t>
        </w:r>
        <w:r w:rsidR="00E27E04">
          <w:rPr>
            <w:rStyle w:val="Hyperlink"/>
            <w:color w:val="104F99" w:themeColor="accent2"/>
          </w:rPr>
          <w:t>AC</w:t>
        </w:r>
        <w:r w:rsidRPr="001409F0">
          <w:rPr>
            <w:rStyle w:val="Hyperlink"/>
            <w:color w:val="104F99" w:themeColor="accent2"/>
          </w:rPr>
          <w:t>PA website</w:t>
        </w:r>
      </w:hyperlink>
      <w:r>
        <w:t>.</w:t>
      </w:r>
      <w:r w:rsidR="00BF41F8" w:rsidRPr="00137504">
        <w:rPr>
          <w:rFonts w:cs="Arial"/>
          <w:lang w:val="en-AU"/>
        </w:rPr>
        <w:br w:type="page"/>
      </w:r>
    </w:p>
    <w:p w14:paraId="0B6A7102" w14:textId="186D26D1" w:rsidR="00BF41F8" w:rsidRPr="00137504" w:rsidRDefault="0027734B" w:rsidP="00BF41F8">
      <w:pPr>
        <w:pStyle w:val="Heading1"/>
        <w:rPr>
          <w:rFonts w:cs="Arial"/>
        </w:rPr>
      </w:pPr>
      <w:bookmarkStart w:id="22" w:name="_Toc92205488"/>
      <w:bookmarkStart w:id="23" w:name="_Toc130759326"/>
      <w:r>
        <w:lastRenderedPageBreak/>
        <w:t>Progression to pricing</w:t>
      </w:r>
      <w:bookmarkEnd w:id="22"/>
      <w:bookmarkEnd w:id="23"/>
    </w:p>
    <w:p w14:paraId="1C74C280" w14:textId="1E1FE813" w:rsidR="0027734B" w:rsidRDefault="00D810B9" w:rsidP="0027734B">
      <w:r>
        <w:t xml:space="preserve">In line with the </w:t>
      </w:r>
      <w:r w:rsidRPr="00D810B9">
        <w:rPr>
          <w:i/>
          <w:iCs/>
        </w:rPr>
        <w:t>National Pricing Model Consultation Policy</w:t>
      </w:r>
      <w:r>
        <w:t xml:space="preserve">, </w:t>
      </w:r>
      <w:r w:rsidR="0027734B">
        <w:t>IH</w:t>
      </w:r>
      <w:r w:rsidR="00E27E04">
        <w:t>AC</w:t>
      </w:r>
      <w:r w:rsidR="0027734B">
        <w:t>PA will prepare a Statement of Impact to outline its intent to progress to pricing, as required under the Addendum, where the full two-year shadow pricing period has been undertaken or where IH</w:t>
      </w:r>
      <w:r w:rsidR="00E27E04">
        <w:t>AC</w:t>
      </w:r>
      <w:r w:rsidR="0027734B">
        <w:t>PA is proposing a reduced shadow pricing period.</w:t>
      </w:r>
    </w:p>
    <w:p w14:paraId="46566438" w14:textId="77777777" w:rsidR="0027734B" w:rsidRDefault="0027734B" w:rsidP="0027734B">
      <w:r>
        <w:t xml:space="preserve">As per clause A42 of the Addendum, reducing the two-year shadow pricing period requires the support of the Commonwealth and </w:t>
      </w:r>
      <w:proofErr w:type="gramStart"/>
      <w:r>
        <w:t>a majority of</w:t>
      </w:r>
      <w:proofErr w:type="gramEnd"/>
      <w:r>
        <w:t xml:space="preserve"> states and territories. Proposals for reductions to the two-year shadow pricing period will be discussed by jurisdictional representatives at JAC and TAC meetings, then provided to all health ministers for a 45-day consultation period through the Statement of Impact.</w:t>
      </w:r>
    </w:p>
    <w:p w14:paraId="686B607C" w14:textId="63F44408" w:rsidR="00423FDE" w:rsidRDefault="00423FDE" w:rsidP="00423FDE">
      <w:pPr>
        <w:pStyle w:val="Heading2"/>
      </w:pPr>
      <w:r>
        <w:t>Extensions to the two-year shadow pricing period</w:t>
      </w:r>
    </w:p>
    <w:p w14:paraId="6BAAA568" w14:textId="134077F3" w:rsidR="00C84B56" w:rsidRDefault="0027734B" w:rsidP="0027734B">
      <w:r>
        <w:t xml:space="preserve">There may be circumstances where an extension to the prescribed two-year shadow pricing period is required, in consultation with JAC and TAC. </w:t>
      </w:r>
      <w:r w:rsidR="00C84B56">
        <w:t>Factors that may warrant an extension to the two-year shadow pricing period may include that the:</w:t>
      </w:r>
    </w:p>
    <w:p w14:paraId="4EAFA9D3" w14:textId="47E3F1F6" w:rsidR="00C84B56" w:rsidRPr="00423FDE" w:rsidRDefault="0027734B" w:rsidP="00423FDE">
      <w:pPr>
        <w:pStyle w:val="ListParagraph"/>
        <w:numPr>
          <w:ilvl w:val="0"/>
          <w:numId w:val="45"/>
        </w:numPr>
        <w:rPr>
          <w:rFonts w:cs="Arial"/>
          <w:lang w:val="en-AU"/>
        </w:rPr>
      </w:pPr>
      <w:r>
        <w:t>data collection</w:t>
      </w:r>
      <w:r w:rsidR="00C84B56">
        <w:t>, volume or quality</w:t>
      </w:r>
      <w:r>
        <w:t xml:space="preserve"> is determined to be insufficiently mature or too variable across the two-year shadow pricing period to progress to pricing</w:t>
      </w:r>
    </w:p>
    <w:p w14:paraId="102A03D3" w14:textId="1A9E7265" w:rsidR="00C84B56" w:rsidRPr="00423FDE" w:rsidRDefault="00C84B56" w:rsidP="00423FDE">
      <w:pPr>
        <w:pStyle w:val="ListParagraph"/>
        <w:numPr>
          <w:ilvl w:val="0"/>
          <w:numId w:val="45"/>
        </w:numPr>
        <w:rPr>
          <w:rFonts w:cs="Arial"/>
          <w:lang w:val="en-AU"/>
        </w:rPr>
      </w:pPr>
      <w:r>
        <w:t>performance of shadow pricing in modelling costs is insufficient or demonstrates significant variability over the two-year shadow pricing period</w:t>
      </w:r>
      <w:r w:rsidR="00AF6179">
        <w:t xml:space="preserve"> to the extent there is a high likelihood that performance </w:t>
      </w:r>
      <w:r w:rsidR="009A7357">
        <w:t>w</w:t>
      </w:r>
      <w:r w:rsidR="00AF6179">
        <w:t xml:space="preserve">ould decrease substantially following the progression to pricing, noting that all shadow pricing models would be expected to demonstrate variability as they are </w:t>
      </w:r>
      <w:proofErr w:type="gramStart"/>
      <w:r w:rsidR="00AF6179">
        <w:t>refined</w:t>
      </w:r>
      <w:proofErr w:type="gramEnd"/>
      <w:r w:rsidR="00AF6179">
        <w:t xml:space="preserve"> and underlying data quality improves</w:t>
      </w:r>
    </w:p>
    <w:p w14:paraId="34878BC4" w14:textId="287C81E6" w:rsidR="00C84B56" w:rsidRPr="00423FDE" w:rsidRDefault="00C84B56" w:rsidP="00423FDE">
      <w:pPr>
        <w:pStyle w:val="ListParagraph"/>
        <w:numPr>
          <w:ilvl w:val="0"/>
          <w:numId w:val="45"/>
        </w:numPr>
        <w:rPr>
          <w:rFonts w:cs="Arial"/>
          <w:lang w:val="en-AU"/>
        </w:rPr>
      </w:pPr>
      <w:r>
        <w:t xml:space="preserve">impact of progression to pricing presents a significant </w:t>
      </w:r>
      <w:r w:rsidR="00423FDE">
        <w:t xml:space="preserve">and unacceptable </w:t>
      </w:r>
      <w:r>
        <w:t>risk to funding that cannot be sufficiently mitigated</w:t>
      </w:r>
      <w:r w:rsidR="0027734B">
        <w:t xml:space="preserve">. </w:t>
      </w:r>
    </w:p>
    <w:p w14:paraId="399940DF" w14:textId="11366643" w:rsidR="0027734B" w:rsidRDefault="0027734B">
      <w:pPr>
        <w:spacing w:line="259" w:lineRule="auto"/>
        <w:rPr>
          <w:rFonts w:cs="Arial"/>
          <w:lang w:val="en-AU"/>
        </w:rPr>
      </w:pPr>
      <w:r>
        <w:rPr>
          <w:rFonts w:cs="Arial"/>
          <w:lang w:val="en-AU"/>
        </w:rPr>
        <w:br w:type="page"/>
      </w:r>
    </w:p>
    <w:p w14:paraId="69740BFF" w14:textId="5FDCC56B" w:rsidR="00101439" w:rsidRPr="00137504" w:rsidRDefault="00101439" w:rsidP="00101439">
      <w:pPr>
        <w:pStyle w:val="Heading1"/>
        <w:numPr>
          <w:ilvl w:val="0"/>
          <w:numId w:val="0"/>
        </w:numPr>
        <w:rPr>
          <w:rFonts w:cs="Arial"/>
          <w:sz w:val="56"/>
          <w:szCs w:val="56"/>
        </w:rPr>
      </w:pPr>
      <w:bookmarkStart w:id="24" w:name="_Toc130759327"/>
      <w:r w:rsidRPr="00137504">
        <w:rPr>
          <w:rFonts w:cs="Arial"/>
          <w:sz w:val="56"/>
          <w:szCs w:val="56"/>
        </w:rPr>
        <w:lastRenderedPageBreak/>
        <w:t xml:space="preserve">Appendix A: </w:t>
      </w:r>
      <w:r w:rsidR="00ED0A65" w:rsidRPr="00ED0A65">
        <w:rPr>
          <w:rFonts w:cs="Arial"/>
          <w:sz w:val="56"/>
          <w:szCs w:val="56"/>
          <w:lang w:val="en-PH"/>
        </w:rPr>
        <w:t>Extracts from the Addendum</w:t>
      </w:r>
      <w:bookmarkEnd w:id="24"/>
    </w:p>
    <w:tbl>
      <w:tblPr>
        <w:tblW w:w="5095"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Description w:val="This table sets out the latest data collections held by IHPA and which were used for the National Efficient Price and National Efficient Cost Determinations for 2016-17. The first column is the data held by IHPA. The second column is the specific name of the data collection and related documents."/>
      </w:tblPr>
      <w:tblGrid>
        <w:gridCol w:w="986"/>
        <w:gridCol w:w="8929"/>
      </w:tblGrid>
      <w:tr w:rsidR="00932F2A" w:rsidRPr="00137504" w14:paraId="2E2124A8" w14:textId="77777777" w:rsidTr="00AE67A5">
        <w:tc>
          <w:tcPr>
            <w:tcW w:w="497" w:type="pct"/>
            <w:tcBorders>
              <w:top w:val="single" w:sz="6" w:space="0" w:color="DDDDDD"/>
              <w:left w:val="single" w:sz="6" w:space="0" w:color="DDDDDD"/>
              <w:bottom w:val="single" w:sz="6" w:space="0" w:color="DDDDDD"/>
              <w:right w:val="single" w:sz="6" w:space="0" w:color="DDDDDD"/>
            </w:tcBorders>
            <w:shd w:val="clear" w:color="auto" w:fill="104F99" w:themeFill="accent2"/>
            <w:tcMar>
              <w:top w:w="120" w:type="dxa"/>
              <w:left w:w="120" w:type="dxa"/>
              <w:bottom w:w="120" w:type="dxa"/>
              <w:right w:w="120" w:type="dxa"/>
            </w:tcMar>
            <w:hideMark/>
          </w:tcPr>
          <w:p w14:paraId="6937F810" w14:textId="02C2872C" w:rsidR="00932F2A" w:rsidRPr="00932F2A" w:rsidRDefault="00932F2A" w:rsidP="00AE67A5">
            <w:pPr>
              <w:pStyle w:val="NormalWeb"/>
              <w:spacing w:before="90" w:after="90" w:line="240" w:lineRule="auto"/>
              <w:rPr>
                <w:color w:val="FFFFFF" w:themeColor="accent6"/>
              </w:rPr>
            </w:pPr>
            <w:r w:rsidRPr="00932F2A">
              <w:rPr>
                <w:b/>
                <w:color w:val="FFFFFF" w:themeColor="accent6"/>
              </w:rPr>
              <w:t>Clause</w:t>
            </w:r>
          </w:p>
        </w:tc>
        <w:tc>
          <w:tcPr>
            <w:tcW w:w="4503" w:type="pct"/>
            <w:tcBorders>
              <w:top w:val="single" w:sz="6" w:space="0" w:color="DDDDDD"/>
              <w:left w:val="single" w:sz="6" w:space="0" w:color="DDDDDD"/>
              <w:bottom w:val="single" w:sz="6" w:space="0" w:color="DDDDDD"/>
              <w:right w:val="single" w:sz="6" w:space="0" w:color="DDDDDD"/>
            </w:tcBorders>
            <w:shd w:val="clear" w:color="auto" w:fill="104F99" w:themeFill="accent2"/>
            <w:tcMar>
              <w:top w:w="120" w:type="dxa"/>
              <w:left w:w="120" w:type="dxa"/>
              <w:bottom w:w="120" w:type="dxa"/>
              <w:right w:w="120" w:type="dxa"/>
            </w:tcMar>
            <w:hideMark/>
          </w:tcPr>
          <w:p w14:paraId="233472B4" w14:textId="4CFABD73" w:rsidR="00932F2A" w:rsidRPr="00932F2A" w:rsidRDefault="00932F2A" w:rsidP="00AE67A5">
            <w:pPr>
              <w:pStyle w:val="NormalWeb"/>
              <w:spacing w:before="90" w:after="90" w:line="240" w:lineRule="auto"/>
              <w:rPr>
                <w:color w:val="FFFFFF" w:themeColor="accent6"/>
              </w:rPr>
            </w:pPr>
            <w:r w:rsidRPr="00932F2A">
              <w:rPr>
                <w:b/>
                <w:color w:val="FFFFFF" w:themeColor="accent6"/>
              </w:rPr>
              <w:t>Detail</w:t>
            </w:r>
          </w:p>
        </w:tc>
      </w:tr>
      <w:tr w:rsidR="00932F2A" w:rsidRPr="00137504" w14:paraId="3683C33F" w14:textId="77777777" w:rsidTr="00AE67A5">
        <w:trPr>
          <w:trHeight w:val="1378"/>
        </w:trPr>
        <w:tc>
          <w:tcPr>
            <w:tcW w:w="4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87FC86" w14:textId="573E1508" w:rsidR="00932F2A" w:rsidRPr="00137504" w:rsidRDefault="00932F2A" w:rsidP="00AE67A5">
            <w:pPr>
              <w:pStyle w:val="NormalWeb"/>
              <w:spacing w:before="0" w:after="90" w:line="240" w:lineRule="auto"/>
            </w:pPr>
            <w:r w:rsidRPr="00DA7173">
              <w:t>A37</w:t>
            </w:r>
          </w:p>
        </w:tc>
        <w:tc>
          <w:tcPr>
            <w:tcW w:w="45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3EF8310" w14:textId="2D1259F5" w:rsidR="00932F2A" w:rsidRPr="00137504" w:rsidRDefault="00932F2A" w:rsidP="00454873">
            <w:pPr>
              <w:pStyle w:val="NormalWeb"/>
              <w:spacing w:before="0" w:after="0" w:line="240" w:lineRule="auto"/>
            </w:pPr>
            <w:r w:rsidRPr="00932F2A">
              <w:rPr>
                <w:rFonts w:cs="Times New Roman"/>
                <w:szCs w:val="24"/>
              </w:rPr>
              <w:t>All parties will participate in the development of parameters of the national funding model each year, through the IHPA</w:t>
            </w:r>
            <w:r w:rsidR="00943C37">
              <w:rPr>
                <w:rStyle w:val="FootnoteReference"/>
                <w:rFonts w:cs="Times New Roman"/>
                <w:szCs w:val="24"/>
              </w:rPr>
              <w:footnoteReference w:id="1"/>
            </w:r>
            <w:r w:rsidRPr="00932F2A">
              <w:rPr>
                <w:rFonts w:cs="Times New Roman"/>
                <w:szCs w:val="24"/>
              </w:rPr>
              <w:t xml:space="preserve"> process outlined in clauses B21 to B40, including efficient price, </w:t>
            </w:r>
            <w:proofErr w:type="gramStart"/>
            <w:r w:rsidRPr="00932F2A">
              <w:rPr>
                <w:rFonts w:cs="Times New Roman"/>
                <w:szCs w:val="24"/>
              </w:rPr>
              <w:t>classifications</w:t>
            </w:r>
            <w:proofErr w:type="gramEnd"/>
            <w:r w:rsidRPr="00932F2A">
              <w:rPr>
                <w:rFonts w:cs="Times New Roman"/>
                <w:szCs w:val="24"/>
              </w:rPr>
              <w:t xml:space="preserve"> and cost weights. This process will rely on transparent sharing of analysis, commissioned costing data, and shadow pricing and reporting (where appropriate) to support robust decision making</w:t>
            </w:r>
            <w:r>
              <w:rPr>
                <w:rFonts w:cs="Times New Roman"/>
                <w:szCs w:val="24"/>
              </w:rPr>
              <w:t>.</w:t>
            </w:r>
          </w:p>
        </w:tc>
      </w:tr>
      <w:tr w:rsidR="00932F2A" w:rsidRPr="00137504" w14:paraId="4FE2C07F" w14:textId="77777777" w:rsidTr="00AE67A5">
        <w:tc>
          <w:tcPr>
            <w:tcW w:w="49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7E617D5" w14:textId="3EF0648C" w:rsidR="00932F2A" w:rsidRPr="00137504" w:rsidRDefault="00932F2A" w:rsidP="00AE67A5">
            <w:pPr>
              <w:pStyle w:val="NormalWeb"/>
              <w:spacing w:before="0" w:after="90" w:line="240" w:lineRule="auto"/>
            </w:pPr>
            <w:r w:rsidRPr="00F96912">
              <w:t>A42</w:t>
            </w:r>
          </w:p>
        </w:tc>
        <w:tc>
          <w:tcPr>
            <w:tcW w:w="450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FE3B61C" w14:textId="77777777" w:rsidR="00932F2A" w:rsidRPr="00932F2A" w:rsidRDefault="00932F2A" w:rsidP="00AE67A5">
            <w:pPr>
              <w:pStyle w:val="NormalWeb"/>
              <w:spacing w:before="0" w:after="90"/>
              <w:rPr>
                <w:lang w:val="en-US"/>
              </w:rPr>
            </w:pPr>
            <w:r w:rsidRPr="00932F2A">
              <w:rPr>
                <w:lang w:val="en-US"/>
              </w:rPr>
              <w:t xml:space="preserve">The IHPA will use transitional arrangements when developing new ABF classification systems or costing methodologies, including shadow pricing classification system changes and pricing based on a costing study, for two years or a period agreed with the Commonwealth and </w:t>
            </w:r>
            <w:proofErr w:type="gramStart"/>
            <w:r w:rsidRPr="00932F2A">
              <w:rPr>
                <w:lang w:val="en-US"/>
              </w:rPr>
              <w:t>a majority of</w:t>
            </w:r>
            <w:proofErr w:type="gramEnd"/>
            <w:r w:rsidRPr="00932F2A">
              <w:rPr>
                <w:lang w:val="en-US"/>
              </w:rPr>
              <w:t xml:space="preserve"> States to ensure robust data collection and reporting to accurately model the financial and counting impact of changes on the National Funding Model.</w:t>
            </w:r>
          </w:p>
          <w:p w14:paraId="7DCE0C43" w14:textId="77777777" w:rsidR="00932F2A" w:rsidRPr="00932F2A" w:rsidRDefault="00932F2A" w:rsidP="00AE67A5">
            <w:pPr>
              <w:pStyle w:val="NormalWeb"/>
              <w:numPr>
                <w:ilvl w:val="0"/>
                <w:numId w:val="47"/>
              </w:numPr>
              <w:spacing w:before="0" w:after="90"/>
              <w:rPr>
                <w:lang w:val="en-US"/>
              </w:rPr>
            </w:pPr>
            <w:r w:rsidRPr="00932F2A">
              <w:rPr>
                <w:lang w:val="en-US"/>
              </w:rPr>
              <w:t xml:space="preserve">Where a jurisdiction participates fully in the shadow pricing, including the provision of the best available data over the shadow period to support the implementation of the new ABF classification systems or costing methodologies, the Parties agree there will be no retrospective adjustments to the National Funding Model, excluding adjustments to Commonwealth contributions </w:t>
            </w:r>
            <w:proofErr w:type="gramStart"/>
            <w:r w:rsidRPr="00932F2A">
              <w:rPr>
                <w:lang w:val="en-US"/>
              </w:rPr>
              <w:t>as a result of</w:t>
            </w:r>
            <w:proofErr w:type="gramEnd"/>
            <w:r w:rsidRPr="00932F2A">
              <w:rPr>
                <w:lang w:val="en-US"/>
              </w:rPr>
              <w:t xml:space="preserve"> service volume reconciliations as set out in clauses A63, A65 and A73.</w:t>
            </w:r>
          </w:p>
          <w:p w14:paraId="64B95A1A" w14:textId="77777777" w:rsidR="00932F2A" w:rsidRPr="00932F2A" w:rsidRDefault="00932F2A" w:rsidP="00AE67A5">
            <w:pPr>
              <w:pStyle w:val="NormalWeb"/>
              <w:numPr>
                <w:ilvl w:val="0"/>
                <w:numId w:val="47"/>
              </w:numPr>
              <w:spacing w:before="0" w:after="90"/>
              <w:rPr>
                <w:lang w:val="en-US"/>
              </w:rPr>
            </w:pPr>
            <w:r w:rsidRPr="00932F2A">
              <w:rPr>
                <w:lang w:val="en-US"/>
              </w:rPr>
              <w:t xml:space="preserve">Business rules will be developed by the national bodies in consultation with Parties, addressing significance of changes, </w:t>
            </w:r>
            <w:proofErr w:type="gramStart"/>
            <w:r w:rsidRPr="00932F2A">
              <w:rPr>
                <w:lang w:val="en-US"/>
              </w:rPr>
              <w:t>process</w:t>
            </w:r>
            <w:proofErr w:type="gramEnd"/>
            <w:r w:rsidRPr="00932F2A">
              <w:rPr>
                <w:lang w:val="en-US"/>
              </w:rPr>
              <w:t xml:space="preserve"> and consultation around retrospective adjustments where appropriate.</w:t>
            </w:r>
          </w:p>
          <w:p w14:paraId="35C289B6" w14:textId="77777777" w:rsidR="00932F2A" w:rsidRPr="00932F2A" w:rsidRDefault="00932F2A" w:rsidP="00AE67A5">
            <w:pPr>
              <w:pStyle w:val="NormalWeb"/>
              <w:numPr>
                <w:ilvl w:val="1"/>
                <w:numId w:val="47"/>
              </w:numPr>
              <w:spacing w:before="40" w:after="40"/>
              <w:rPr>
                <w:lang w:val="en-US"/>
              </w:rPr>
            </w:pPr>
            <w:r w:rsidRPr="00932F2A">
              <w:rPr>
                <w:lang w:val="en-US"/>
              </w:rPr>
              <w:t xml:space="preserve">If the national bodies consider there is a potential need for a retrospective adjustment to the national funding model, national bodies will communicate, </w:t>
            </w:r>
            <w:proofErr w:type="gramStart"/>
            <w:r w:rsidRPr="00932F2A">
              <w:rPr>
                <w:lang w:val="en-US"/>
              </w:rPr>
              <w:t>consult</w:t>
            </w:r>
            <w:proofErr w:type="gramEnd"/>
            <w:r w:rsidRPr="00932F2A">
              <w:rPr>
                <w:lang w:val="en-US"/>
              </w:rPr>
              <w:t xml:space="preserve"> and collaborate with Parties. The national bodies will hold a consultation period of 45 days to allow Parties an opportunity to provide submissions on the matter.</w:t>
            </w:r>
          </w:p>
          <w:p w14:paraId="0329E509" w14:textId="77777777" w:rsidR="00932F2A" w:rsidRPr="00932F2A" w:rsidRDefault="00932F2A" w:rsidP="00AE67A5">
            <w:pPr>
              <w:pStyle w:val="NormalWeb"/>
              <w:numPr>
                <w:ilvl w:val="1"/>
                <w:numId w:val="47"/>
              </w:numPr>
              <w:spacing w:before="0" w:after="90"/>
              <w:rPr>
                <w:lang w:val="en-US"/>
              </w:rPr>
            </w:pPr>
            <w:r w:rsidRPr="00932F2A">
              <w:rPr>
                <w:lang w:val="en-US"/>
              </w:rPr>
              <w:t>Within 45 days following the jurisdiction 45-day consultation period, national bodies will prepare a report to the Council of Australian Governments Health Council, advising them of the national bodies’ decision and the nature and circumstances of the recommended adjustment to the national funding model.</w:t>
            </w:r>
          </w:p>
          <w:p w14:paraId="79443C8B" w14:textId="77777777" w:rsidR="00932F2A" w:rsidRPr="00932F2A" w:rsidRDefault="00932F2A" w:rsidP="00AE67A5">
            <w:pPr>
              <w:pStyle w:val="NormalWeb"/>
              <w:numPr>
                <w:ilvl w:val="1"/>
                <w:numId w:val="47"/>
              </w:numPr>
              <w:spacing w:before="0" w:after="90"/>
              <w:rPr>
                <w:lang w:val="en-US"/>
              </w:rPr>
            </w:pPr>
            <w:r w:rsidRPr="00932F2A">
              <w:rPr>
                <w:lang w:val="en-US"/>
              </w:rPr>
              <w:t>Once the report is provided to the Council of Australian Governments Health Council, the national bodies will incorporate the decision regarding the retrospective adjustment into the national funding model and provide parties with an updated report on funding entitlements from the national model.</w:t>
            </w:r>
          </w:p>
          <w:p w14:paraId="512D3F50" w14:textId="5C9F1B69" w:rsidR="00932F2A" w:rsidRPr="00137504" w:rsidRDefault="00932F2A" w:rsidP="00AE67A5">
            <w:pPr>
              <w:pStyle w:val="NormalWeb"/>
              <w:numPr>
                <w:ilvl w:val="1"/>
                <w:numId w:val="47"/>
              </w:numPr>
              <w:spacing w:before="0" w:after="0" w:line="240" w:lineRule="auto"/>
            </w:pPr>
            <w:r w:rsidRPr="00932F2A">
              <w:rPr>
                <w:lang w:val="en-US"/>
              </w:rPr>
              <w:lastRenderedPageBreak/>
              <w:t>When providing payment advice to the Commonwealth Treasurer following the six-month or annual reconciliation, the Administrator will include a section that notes any matters or concerns raised by State Ministers in the 45-day consultation period in the formation of that advice</w:t>
            </w:r>
            <w:r w:rsidR="00AE67A5">
              <w:rPr>
                <w:lang w:val="en-US"/>
              </w:rPr>
              <w:t>.</w:t>
            </w:r>
          </w:p>
        </w:tc>
      </w:tr>
    </w:tbl>
    <w:p w14:paraId="31E6B32D" w14:textId="6CEE81D7" w:rsidR="00101439" w:rsidRPr="00137504" w:rsidRDefault="00101439" w:rsidP="00101439">
      <w:pPr>
        <w:rPr>
          <w:rFonts w:cs="Arial"/>
          <w:lang w:val="en-AU"/>
        </w:rPr>
      </w:pPr>
    </w:p>
    <w:p w14:paraId="1C3F5403" w14:textId="59A4AAD8" w:rsidR="00101439" w:rsidRPr="00137504" w:rsidRDefault="00101439" w:rsidP="00932F2A">
      <w:pPr>
        <w:spacing w:line="259" w:lineRule="auto"/>
        <w:rPr>
          <w:rFonts w:cs="Arial"/>
          <w:b/>
          <w:lang w:val="en-AU"/>
        </w:rPr>
      </w:pPr>
      <w:r w:rsidRPr="00137504">
        <w:rPr>
          <w:rFonts w:cs="Arial"/>
          <w:lang w:val="en-AU"/>
        </w:rPr>
        <w:br w:type="page"/>
      </w:r>
      <w:bookmarkStart w:id="25" w:name="_Toc484507698"/>
    </w:p>
    <w:bookmarkEnd w:id="25"/>
    <w:p w14:paraId="48B5FADC" w14:textId="21B0B283" w:rsidR="00FC072C" w:rsidRPr="00137504" w:rsidRDefault="00FC072C" w:rsidP="00FC072C">
      <w:pPr>
        <w:rPr>
          <w:rFonts w:cs="Arial"/>
          <w:lang w:val="en-AU"/>
        </w:rPr>
        <w:sectPr w:rsidR="00FC072C" w:rsidRPr="00137504" w:rsidSect="0094620A">
          <w:pgSz w:w="11906" w:h="16838" w:code="9"/>
          <w:pgMar w:top="1440" w:right="1080" w:bottom="1440" w:left="1080" w:header="708" w:footer="708" w:gutter="0"/>
          <w:cols w:space="720"/>
          <w:docGrid w:linePitch="360"/>
        </w:sectPr>
      </w:pPr>
    </w:p>
    <w:p w14:paraId="16A454E9" w14:textId="361F07FB" w:rsidR="00502A09" w:rsidRPr="00137504" w:rsidRDefault="00502A09" w:rsidP="00502A09">
      <w:pPr>
        <w:spacing w:after="360"/>
        <w:rPr>
          <w:rFonts w:cs="Arial"/>
          <w:color w:val="FFFFFF" w:themeColor="background2"/>
          <w:lang w:val="en-AU"/>
        </w:rPr>
      </w:pPr>
      <w:r w:rsidRPr="00137504">
        <w:rPr>
          <w:rFonts w:cs="Arial"/>
          <w:noProof/>
          <w:color w:val="FFFFFF" w:themeColor="background2"/>
          <w:lang w:val="en-AU"/>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137504" w:rsidRDefault="00502A09" w:rsidP="00502A09">
      <w:pPr>
        <w:spacing w:after="360"/>
        <w:rPr>
          <w:rFonts w:cs="Arial"/>
          <w:color w:val="FFFFFF" w:themeColor="background2"/>
          <w:lang w:val="en-AU"/>
        </w:rPr>
      </w:pPr>
      <w:r w:rsidRPr="00137504">
        <w:rPr>
          <w:rFonts w:cs="Arial"/>
          <w:color w:val="FFFFFF" w:themeColor="background2"/>
          <w:lang w:val="en-AU"/>
        </w:rPr>
        <w:t>Independent Health and Aged Care Pricing Authority</w:t>
      </w:r>
    </w:p>
    <w:p w14:paraId="6E4B7912" w14:textId="793805FD" w:rsidR="00502A09" w:rsidRPr="00137504" w:rsidRDefault="00183129" w:rsidP="00502A09">
      <w:pPr>
        <w:spacing w:after="360"/>
        <w:rPr>
          <w:rFonts w:cs="Arial"/>
          <w:color w:val="54C1AF" w:themeColor="background1"/>
          <w:lang w:val="en-AU"/>
        </w:rPr>
      </w:pPr>
      <w:r w:rsidRPr="00137504">
        <w:rPr>
          <w:rFonts w:cs="Arial"/>
          <w:color w:val="54C1AF" w:themeColor="background1"/>
          <w:lang w:val="en-AU"/>
        </w:rPr>
        <w:t xml:space="preserve">Eora Nation, </w:t>
      </w:r>
      <w:r w:rsidR="00502A09" w:rsidRPr="00137504">
        <w:rPr>
          <w:rFonts w:cs="Arial"/>
          <w:color w:val="54C1AF" w:themeColor="background1"/>
          <w:lang w:val="en-AU"/>
        </w:rPr>
        <w:t xml:space="preserve">Level </w:t>
      </w:r>
      <w:r w:rsidR="007403BC" w:rsidRPr="00137504">
        <w:rPr>
          <w:rFonts w:cs="Arial"/>
          <w:color w:val="54C1AF" w:themeColor="background1"/>
          <w:lang w:val="en-AU"/>
        </w:rPr>
        <w:t>12</w:t>
      </w:r>
      <w:r w:rsidR="00502A09" w:rsidRPr="00137504">
        <w:rPr>
          <w:rFonts w:cs="Arial"/>
          <w:color w:val="54C1AF" w:themeColor="background1"/>
          <w:lang w:val="en-AU"/>
        </w:rPr>
        <w:t>, 1 Oxford Street</w:t>
      </w:r>
      <w:r w:rsidR="00502A09" w:rsidRPr="00137504">
        <w:rPr>
          <w:rFonts w:cs="Arial"/>
          <w:color w:val="54C1AF" w:themeColor="background1"/>
          <w:lang w:val="en-AU"/>
        </w:rPr>
        <w:br/>
        <w:t>Sydney NSW 2000</w:t>
      </w:r>
    </w:p>
    <w:p w14:paraId="422F9348" w14:textId="0299EBA7" w:rsidR="00502A09" w:rsidRPr="00137504" w:rsidRDefault="00502A09" w:rsidP="00723269">
      <w:pPr>
        <w:tabs>
          <w:tab w:val="left" w:pos="851"/>
        </w:tabs>
        <w:spacing w:after="360"/>
        <w:rPr>
          <w:rFonts w:cs="Arial"/>
          <w:color w:val="FFFFFF" w:themeColor="background2"/>
          <w:lang w:val="en-AU"/>
        </w:rPr>
      </w:pPr>
      <w:r w:rsidRPr="00137504">
        <w:rPr>
          <w:rFonts w:cs="Arial"/>
          <w:color w:val="FFFFFF" w:themeColor="background2"/>
          <w:lang w:val="en-AU"/>
        </w:rPr>
        <w:t>Phone</w:t>
      </w:r>
      <w:r w:rsidR="00723269" w:rsidRPr="00137504">
        <w:rPr>
          <w:rFonts w:cs="Arial"/>
          <w:color w:val="FFFFFF" w:themeColor="background2"/>
          <w:lang w:val="en-AU"/>
        </w:rPr>
        <w:tab/>
      </w:r>
      <w:r w:rsidRPr="00137504">
        <w:rPr>
          <w:rFonts w:cs="Arial"/>
          <w:color w:val="54C1AF" w:themeColor="background1"/>
          <w:lang w:val="en-AU"/>
        </w:rPr>
        <w:t>02 8215 1100</w:t>
      </w:r>
      <w:r w:rsidRPr="00137504">
        <w:rPr>
          <w:rFonts w:cs="Arial"/>
          <w:color w:val="FFFFFF" w:themeColor="background2"/>
          <w:lang w:val="en-AU"/>
        </w:rPr>
        <w:br/>
        <w:t>Email</w:t>
      </w:r>
      <w:r w:rsidR="00723269" w:rsidRPr="00137504">
        <w:rPr>
          <w:rFonts w:cs="Arial"/>
          <w:color w:val="FFFFFF" w:themeColor="background2"/>
          <w:lang w:val="en-AU"/>
        </w:rPr>
        <w:tab/>
      </w:r>
      <w:hyperlink r:id="rId22" w:history="1">
        <w:r w:rsidR="00723269" w:rsidRPr="00137504">
          <w:rPr>
            <w:rStyle w:val="Hyperlink"/>
            <w:rFonts w:cs="Arial"/>
            <w:color w:val="54C1AF" w:themeColor="accent5"/>
            <w:lang w:val="en-AU"/>
          </w:rPr>
          <w:t>enquiries.ihacpa@ihacpa.gov.au</w:t>
        </w:r>
      </w:hyperlink>
      <w:r w:rsidRPr="00137504">
        <w:rPr>
          <w:rFonts w:cs="Arial"/>
          <w:color w:val="FFFFFF" w:themeColor="background2"/>
          <w:lang w:val="en-AU"/>
        </w:rPr>
        <w:br/>
        <w:t>Twitter</w:t>
      </w:r>
      <w:r w:rsidR="00723269" w:rsidRPr="00137504">
        <w:rPr>
          <w:rFonts w:cs="Arial"/>
          <w:color w:val="FFFFFF" w:themeColor="background2"/>
          <w:lang w:val="en-AU"/>
        </w:rPr>
        <w:tab/>
      </w:r>
      <w:hyperlink r:id="rId23" w:history="1">
        <w:r w:rsidRPr="00137504">
          <w:rPr>
            <w:rStyle w:val="Hyperlink"/>
            <w:rFonts w:cs="Arial"/>
            <w:color w:val="54C1AF" w:themeColor="accent5"/>
            <w:lang w:val="en-AU"/>
          </w:rPr>
          <w:t>@IH</w:t>
        </w:r>
        <w:r w:rsidR="007403BC" w:rsidRPr="00137504">
          <w:rPr>
            <w:rStyle w:val="Hyperlink"/>
            <w:rFonts w:cs="Arial"/>
            <w:color w:val="54C1AF" w:themeColor="accent5"/>
            <w:lang w:val="en-AU"/>
          </w:rPr>
          <w:t>AC</w:t>
        </w:r>
        <w:r w:rsidRPr="00137504">
          <w:rPr>
            <w:rStyle w:val="Hyperlink"/>
            <w:rFonts w:cs="Arial"/>
            <w:color w:val="54C1AF" w:themeColor="accent5"/>
            <w:lang w:val="en-AU"/>
          </w:rPr>
          <w:t>PA</w:t>
        </w:r>
      </w:hyperlink>
    </w:p>
    <w:p w14:paraId="55FBC7ED" w14:textId="21C5AF52" w:rsidR="00502A09" w:rsidRPr="00137504" w:rsidRDefault="002E7511" w:rsidP="00723269">
      <w:pPr>
        <w:spacing w:after="360"/>
        <w:rPr>
          <w:rFonts w:cs="Arial"/>
          <w:color w:val="54C1AF" w:themeColor="accent5"/>
          <w:lang w:val="en-AU"/>
        </w:rPr>
      </w:pPr>
      <w:hyperlink r:id="rId24" w:history="1">
        <w:r w:rsidR="00502A09" w:rsidRPr="00137504">
          <w:rPr>
            <w:rStyle w:val="Hyperlink"/>
            <w:rFonts w:cs="Arial"/>
            <w:color w:val="54C1AF" w:themeColor="accent5"/>
            <w:lang w:val="en-AU"/>
          </w:rPr>
          <w:t>www.ih</w:t>
        </w:r>
        <w:r w:rsidR="007403BC" w:rsidRPr="00137504">
          <w:rPr>
            <w:rStyle w:val="Hyperlink"/>
            <w:rFonts w:cs="Arial"/>
            <w:color w:val="54C1AF" w:themeColor="accent5"/>
            <w:lang w:val="en-AU"/>
          </w:rPr>
          <w:t>ac</w:t>
        </w:r>
        <w:r w:rsidR="00502A09" w:rsidRPr="00137504">
          <w:rPr>
            <w:rStyle w:val="Hyperlink"/>
            <w:rFonts w:cs="Arial"/>
            <w:color w:val="54C1AF" w:themeColor="accent5"/>
            <w:lang w:val="en-AU"/>
          </w:rPr>
          <w:t>pa.gov.au</w:t>
        </w:r>
      </w:hyperlink>
    </w:p>
    <w:sectPr w:rsidR="00502A09" w:rsidRPr="00137504" w:rsidSect="00C5503B">
      <w:headerReference w:type="default" r:id="rId25"/>
      <w:footerReference w:type="default" r:id="rId2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2BD8" w14:textId="77777777" w:rsidR="002E7511" w:rsidRDefault="002E7511" w:rsidP="00DC0458">
      <w:pPr>
        <w:spacing w:after="0" w:line="240" w:lineRule="auto"/>
      </w:pPr>
      <w:r>
        <w:separator/>
      </w:r>
    </w:p>
    <w:p w14:paraId="30CCDB6E" w14:textId="77777777" w:rsidR="002E7511" w:rsidRDefault="002E7511"/>
  </w:endnote>
  <w:endnote w:type="continuationSeparator" w:id="0">
    <w:p w14:paraId="41B0ACE3" w14:textId="77777777" w:rsidR="002E7511" w:rsidRDefault="002E7511" w:rsidP="00DC0458">
      <w:pPr>
        <w:spacing w:after="0" w:line="240" w:lineRule="auto"/>
      </w:pPr>
      <w:r>
        <w:continuationSeparator/>
      </w:r>
    </w:p>
    <w:p w14:paraId="31E5634C" w14:textId="77777777" w:rsidR="002E7511" w:rsidRDefault="002E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Josefin Sans Bold">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5DA9E5F5" w:rsidR="00493FE8" w:rsidRDefault="00493FE8" w:rsidP="00271FC1">
    <w:pPr>
      <w:pStyle w:val="Footer"/>
      <w:tabs>
        <w:tab w:val="clear" w:pos="4680"/>
        <w:tab w:val="clear" w:pos="9360"/>
        <w:tab w:val="center" w:pos="13750"/>
      </w:tabs>
    </w:pPr>
    <w:r w:rsidRPr="00D20B03">
      <w:rPr>
        <w:b/>
        <w:bCs/>
      </w:rPr>
      <w:t>IHACPA</w:t>
    </w:r>
    <w:r>
      <w:t xml:space="preserve"> </w:t>
    </w:r>
    <w:r w:rsidR="00D379AE">
      <w:t>Shadow Pricing Guidelines</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94C1" w14:textId="77777777" w:rsidR="002E7511" w:rsidRDefault="002E7511" w:rsidP="00DC0458">
      <w:pPr>
        <w:spacing w:after="0" w:line="240" w:lineRule="auto"/>
      </w:pPr>
      <w:r>
        <w:separator/>
      </w:r>
    </w:p>
  </w:footnote>
  <w:footnote w:type="continuationSeparator" w:id="0">
    <w:p w14:paraId="446F108D" w14:textId="77777777" w:rsidR="002E7511" w:rsidRDefault="002E7511" w:rsidP="00DC0458">
      <w:pPr>
        <w:spacing w:after="0" w:line="240" w:lineRule="auto"/>
      </w:pPr>
      <w:r>
        <w:continuationSeparator/>
      </w:r>
    </w:p>
    <w:p w14:paraId="73DACE35" w14:textId="77777777" w:rsidR="002E7511" w:rsidRDefault="002E7511"/>
  </w:footnote>
  <w:footnote w:id="1">
    <w:p w14:paraId="3411DF40" w14:textId="637EB17A" w:rsidR="00943C37" w:rsidRPr="00AE67A5" w:rsidRDefault="00943C37">
      <w:pPr>
        <w:pStyle w:val="FootnoteText"/>
        <w:rPr>
          <w:sz w:val="18"/>
          <w:szCs w:val="18"/>
        </w:rPr>
      </w:pPr>
      <w:r w:rsidRPr="00AE67A5">
        <w:rPr>
          <w:rStyle w:val="FootnoteReference"/>
          <w:sz w:val="18"/>
          <w:szCs w:val="18"/>
        </w:rPr>
        <w:footnoteRef/>
      </w:r>
      <w:r w:rsidRPr="00AE67A5">
        <w:rPr>
          <w:sz w:val="18"/>
          <w:szCs w:val="18"/>
        </w:rPr>
        <w:t xml:space="preserve"> On 12 August 2022 amendments to the NHR Act came into effect changing the Independent Hospital Pricing Authority’s </w:t>
      </w:r>
      <w:r w:rsidR="00AE67A5">
        <w:rPr>
          <w:sz w:val="18"/>
          <w:szCs w:val="18"/>
        </w:rPr>
        <w:t xml:space="preserve">name </w:t>
      </w:r>
      <w:r w:rsidRPr="00AE67A5">
        <w:rPr>
          <w:sz w:val="18"/>
          <w:szCs w:val="18"/>
        </w:rPr>
        <w:t>to the Independent Health and Aged Care Pricing Authority (IHACPA) and expanding its role to include the provision of costing and pricing advice on aged care to the Commonwealth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2"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6F066B"/>
    <w:multiLevelType w:val="hybridMultilevel"/>
    <w:tmpl w:val="EAF2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76A22"/>
    <w:multiLevelType w:val="hybridMultilevel"/>
    <w:tmpl w:val="E114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80CDA"/>
    <w:multiLevelType w:val="hybridMultilevel"/>
    <w:tmpl w:val="6218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C25BA"/>
    <w:multiLevelType w:val="multilevel"/>
    <w:tmpl w:val="78A27FC0"/>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524"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F14810"/>
    <w:multiLevelType w:val="hybridMultilevel"/>
    <w:tmpl w:val="3FAC1D6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C83AD2"/>
    <w:multiLevelType w:val="hybridMultilevel"/>
    <w:tmpl w:val="92D4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54AE7"/>
    <w:multiLevelType w:val="hybridMultilevel"/>
    <w:tmpl w:val="6A5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47B17"/>
    <w:multiLevelType w:val="hybridMultilevel"/>
    <w:tmpl w:val="5830B706"/>
    <w:lvl w:ilvl="0" w:tplc="D02EE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11B43"/>
    <w:multiLevelType w:val="hybridMultilevel"/>
    <w:tmpl w:val="43A2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84719"/>
    <w:multiLevelType w:val="hybridMultilevel"/>
    <w:tmpl w:val="92F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339A5"/>
    <w:multiLevelType w:val="hybridMultilevel"/>
    <w:tmpl w:val="42D6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D08B5"/>
    <w:multiLevelType w:val="hybridMultilevel"/>
    <w:tmpl w:val="7678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3C64DA"/>
    <w:multiLevelType w:val="hybridMultilevel"/>
    <w:tmpl w:val="9598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02340D"/>
    <w:multiLevelType w:val="hybridMultilevel"/>
    <w:tmpl w:val="E3CA5B62"/>
    <w:lvl w:ilvl="0" w:tplc="B20AB1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EF78CC"/>
    <w:multiLevelType w:val="hybridMultilevel"/>
    <w:tmpl w:val="0EE6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511C76"/>
    <w:multiLevelType w:val="hybridMultilevel"/>
    <w:tmpl w:val="2FD2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F1E89"/>
    <w:multiLevelType w:val="hybridMultilevel"/>
    <w:tmpl w:val="38184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9F12DE"/>
    <w:multiLevelType w:val="hybridMultilevel"/>
    <w:tmpl w:val="367EE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38749A"/>
    <w:multiLevelType w:val="hybridMultilevel"/>
    <w:tmpl w:val="F46A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A405E9"/>
    <w:multiLevelType w:val="hybridMultilevel"/>
    <w:tmpl w:val="CAFA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966F40"/>
    <w:multiLevelType w:val="hybridMultilevel"/>
    <w:tmpl w:val="378A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8FD4E38"/>
    <w:multiLevelType w:val="hybridMultilevel"/>
    <w:tmpl w:val="DB2E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2645DE"/>
    <w:multiLevelType w:val="hybridMultilevel"/>
    <w:tmpl w:val="19F0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7E03D2"/>
    <w:multiLevelType w:val="hybridMultilevel"/>
    <w:tmpl w:val="600E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0" w15:restartNumberingAfterBreak="0">
    <w:nsid w:val="55881006"/>
    <w:multiLevelType w:val="hybridMultilevel"/>
    <w:tmpl w:val="F73A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4E36DB"/>
    <w:multiLevelType w:val="hybridMultilevel"/>
    <w:tmpl w:val="456E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5B3A57"/>
    <w:multiLevelType w:val="hybridMultilevel"/>
    <w:tmpl w:val="AE4A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552220"/>
    <w:multiLevelType w:val="hybridMultilevel"/>
    <w:tmpl w:val="BD74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13362E"/>
    <w:multiLevelType w:val="hybridMultilevel"/>
    <w:tmpl w:val="86D6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B527D6"/>
    <w:multiLevelType w:val="hybridMultilevel"/>
    <w:tmpl w:val="FCE2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91251"/>
    <w:multiLevelType w:val="hybridMultilevel"/>
    <w:tmpl w:val="093C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821D4A"/>
    <w:multiLevelType w:val="hybridMultilevel"/>
    <w:tmpl w:val="8A36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F30772"/>
    <w:multiLevelType w:val="hybridMultilevel"/>
    <w:tmpl w:val="94FA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7F46D2"/>
    <w:multiLevelType w:val="hybridMultilevel"/>
    <w:tmpl w:val="6F66F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F662AD"/>
    <w:multiLevelType w:val="hybridMultilevel"/>
    <w:tmpl w:val="AEA4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337B9C"/>
    <w:multiLevelType w:val="hybridMultilevel"/>
    <w:tmpl w:val="DF26739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F53BB7"/>
    <w:multiLevelType w:val="hybridMultilevel"/>
    <w:tmpl w:val="4032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BB5900"/>
    <w:multiLevelType w:val="hybridMultilevel"/>
    <w:tmpl w:val="2188E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876AB6"/>
    <w:multiLevelType w:val="hybridMultilevel"/>
    <w:tmpl w:val="229C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
  </w:num>
  <w:num w:numId="4">
    <w:abstractNumId w:val="29"/>
  </w:num>
  <w:num w:numId="5">
    <w:abstractNumId w:val="2"/>
  </w:num>
  <w:num w:numId="6">
    <w:abstractNumId w:val="6"/>
  </w:num>
  <w:num w:numId="7">
    <w:abstractNumId w:val="5"/>
  </w:num>
  <w:num w:numId="8">
    <w:abstractNumId w:val="39"/>
  </w:num>
  <w:num w:numId="9">
    <w:abstractNumId w:val="4"/>
  </w:num>
  <w:num w:numId="10">
    <w:abstractNumId w:val="42"/>
  </w:num>
  <w:num w:numId="11">
    <w:abstractNumId w:val="3"/>
  </w:num>
  <w:num w:numId="12">
    <w:abstractNumId w:val="13"/>
  </w:num>
  <w:num w:numId="13">
    <w:abstractNumId w:val="30"/>
  </w:num>
  <w:num w:numId="14">
    <w:abstractNumId w:val="28"/>
  </w:num>
  <w:num w:numId="15">
    <w:abstractNumId w:val="11"/>
  </w:num>
  <w:num w:numId="16">
    <w:abstractNumId w:val="36"/>
  </w:num>
  <w:num w:numId="17">
    <w:abstractNumId w:val="21"/>
  </w:num>
  <w:num w:numId="18">
    <w:abstractNumId w:val="40"/>
  </w:num>
  <w:num w:numId="19">
    <w:abstractNumId w:val="19"/>
  </w:num>
  <w:num w:numId="20">
    <w:abstractNumId w:val="37"/>
  </w:num>
  <w:num w:numId="21">
    <w:abstractNumId w:val="23"/>
  </w:num>
  <w:num w:numId="22">
    <w:abstractNumId w:val="31"/>
  </w:num>
  <w:num w:numId="23">
    <w:abstractNumId w:val="27"/>
  </w:num>
  <w:num w:numId="24">
    <w:abstractNumId w:val="34"/>
  </w:num>
  <w:num w:numId="25">
    <w:abstractNumId w:val="17"/>
  </w:num>
  <w:num w:numId="26">
    <w:abstractNumId w:val="25"/>
  </w:num>
  <w:num w:numId="27">
    <w:abstractNumId w:val="0"/>
  </w:num>
  <w:num w:numId="28">
    <w:abstractNumId w:val="26"/>
  </w:num>
  <w:num w:numId="29">
    <w:abstractNumId w:val="41"/>
  </w:num>
  <w:num w:numId="30">
    <w:abstractNumId w:val="15"/>
  </w:num>
  <w:num w:numId="31">
    <w:abstractNumId w:val="32"/>
  </w:num>
  <w:num w:numId="32">
    <w:abstractNumId w:val="9"/>
  </w:num>
  <w:num w:numId="33">
    <w:abstractNumId w:val="16"/>
  </w:num>
  <w:num w:numId="34">
    <w:abstractNumId w:val="20"/>
  </w:num>
  <w:num w:numId="35">
    <w:abstractNumId w:val="14"/>
  </w:num>
  <w:num w:numId="36">
    <w:abstractNumId w:val="35"/>
  </w:num>
  <w:num w:numId="37">
    <w:abstractNumId w:val="44"/>
  </w:num>
  <w:num w:numId="38">
    <w:abstractNumId w:val="38"/>
  </w:num>
  <w:num w:numId="39">
    <w:abstractNumId w:val="12"/>
  </w:num>
  <w:num w:numId="40">
    <w:abstractNumId w:val="33"/>
  </w:num>
  <w:num w:numId="41">
    <w:abstractNumId w:val="18"/>
  </w:num>
  <w:num w:numId="42">
    <w:abstractNumId w:val="22"/>
  </w:num>
  <w:num w:numId="43">
    <w:abstractNumId w:val="8"/>
  </w:num>
  <w:num w:numId="44">
    <w:abstractNumId w:val="1"/>
  </w:num>
  <w:num w:numId="45">
    <w:abstractNumId w:val="10"/>
  </w:num>
  <w:num w:numId="46">
    <w:abstractNumId w:val="43"/>
  </w:num>
  <w:num w:numId="47">
    <w:abstractNumId w:val="7"/>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DBE"/>
    <w:rsid w:val="00014627"/>
    <w:rsid w:val="00020A8B"/>
    <w:rsid w:val="000247AA"/>
    <w:rsid w:val="00024D86"/>
    <w:rsid w:val="000328C3"/>
    <w:rsid w:val="00040667"/>
    <w:rsid w:val="0004211D"/>
    <w:rsid w:val="00047CE3"/>
    <w:rsid w:val="00051A7E"/>
    <w:rsid w:val="00062AB7"/>
    <w:rsid w:val="00070BD8"/>
    <w:rsid w:val="00077CF5"/>
    <w:rsid w:val="00090D76"/>
    <w:rsid w:val="000A1964"/>
    <w:rsid w:val="000A635A"/>
    <w:rsid w:val="000B5951"/>
    <w:rsid w:val="000C39D8"/>
    <w:rsid w:val="000E0BF3"/>
    <w:rsid w:val="000E25CC"/>
    <w:rsid w:val="000E6112"/>
    <w:rsid w:val="000F1C1F"/>
    <w:rsid w:val="000F444A"/>
    <w:rsid w:val="00101439"/>
    <w:rsid w:val="00102321"/>
    <w:rsid w:val="001035A0"/>
    <w:rsid w:val="00107591"/>
    <w:rsid w:val="001111D7"/>
    <w:rsid w:val="001152D4"/>
    <w:rsid w:val="00115614"/>
    <w:rsid w:val="00130A11"/>
    <w:rsid w:val="0013544E"/>
    <w:rsid w:val="00137504"/>
    <w:rsid w:val="00151838"/>
    <w:rsid w:val="0015783B"/>
    <w:rsid w:val="00164278"/>
    <w:rsid w:val="001650A8"/>
    <w:rsid w:val="00165D3D"/>
    <w:rsid w:val="001829AA"/>
    <w:rsid w:val="00183129"/>
    <w:rsid w:val="0019177C"/>
    <w:rsid w:val="00192F2F"/>
    <w:rsid w:val="001A08D9"/>
    <w:rsid w:val="001A43AC"/>
    <w:rsid w:val="001B29EE"/>
    <w:rsid w:val="001D3F15"/>
    <w:rsid w:val="001D58EE"/>
    <w:rsid w:val="001D5BBA"/>
    <w:rsid w:val="001D7EE8"/>
    <w:rsid w:val="001E2B0D"/>
    <w:rsid w:val="001E51CB"/>
    <w:rsid w:val="001F34B0"/>
    <w:rsid w:val="001F4298"/>
    <w:rsid w:val="001F7524"/>
    <w:rsid w:val="002169F9"/>
    <w:rsid w:val="00233D00"/>
    <w:rsid w:val="0024043A"/>
    <w:rsid w:val="002528A1"/>
    <w:rsid w:val="00257856"/>
    <w:rsid w:val="00257DF2"/>
    <w:rsid w:val="00264D19"/>
    <w:rsid w:val="002709C4"/>
    <w:rsid w:val="00271FC1"/>
    <w:rsid w:val="00274487"/>
    <w:rsid w:val="00276510"/>
    <w:rsid w:val="00276EBB"/>
    <w:rsid w:val="0027734B"/>
    <w:rsid w:val="00287CD5"/>
    <w:rsid w:val="00292ED9"/>
    <w:rsid w:val="002A50EE"/>
    <w:rsid w:val="002E7511"/>
    <w:rsid w:val="002F174B"/>
    <w:rsid w:val="0030315D"/>
    <w:rsid w:val="00312C78"/>
    <w:rsid w:val="003156D4"/>
    <w:rsid w:val="00317A1E"/>
    <w:rsid w:val="00320840"/>
    <w:rsid w:val="0032358C"/>
    <w:rsid w:val="0032660D"/>
    <w:rsid w:val="00327582"/>
    <w:rsid w:val="003416D6"/>
    <w:rsid w:val="00342D62"/>
    <w:rsid w:val="00350642"/>
    <w:rsid w:val="0035696B"/>
    <w:rsid w:val="0036017B"/>
    <w:rsid w:val="00371EAC"/>
    <w:rsid w:val="003773A8"/>
    <w:rsid w:val="003813A8"/>
    <w:rsid w:val="00384CF7"/>
    <w:rsid w:val="003972FA"/>
    <w:rsid w:val="003A41A0"/>
    <w:rsid w:val="003B01C8"/>
    <w:rsid w:val="003B24B2"/>
    <w:rsid w:val="003B646C"/>
    <w:rsid w:val="003B7A0C"/>
    <w:rsid w:val="003C360C"/>
    <w:rsid w:val="003C76F2"/>
    <w:rsid w:val="003D0C73"/>
    <w:rsid w:val="003D3EC5"/>
    <w:rsid w:val="003E2976"/>
    <w:rsid w:val="003F32CF"/>
    <w:rsid w:val="00413D01"/>
    <w:rsid w:val="00422063"/>
    <w:rsid w:val="00423FDE"/>
    <w:rsid w:val="0042475E"/>
    <w:rsid w:val="00430EA5"/>
    <w:rsid w:val="0043230B"/>
    <w:rsid w:val="004329B1"/>
    <w:rsid w:val="00440461"/>
    <w:rsid w:val="00450CA4"/>
    <w:rsid w:val="00451341"/>
    <w:rsid w:val="00454873"/>
    <w:rsid w:val="004606DD"/>
    <w:rsid w:val="004621A6"/>
    <w:rsid w:val="00465F58"/>
    <w:rsid w:val="004930EE"/>
    <w:rsid w:val="00493FE8"/>
    <w:rsid w:val="00494721"/>
    <w:rsid w:val="0049520A"/>
    <w:rsid w:val="004A41FB"/>
    <w:rsid w:val="004B6AA1"/>
    <w:rsid w:val="004C26D7"/>
    <w:rsid w:val="004D7DD4"/>
    <w:rsid w:val="00502A09"/>
    <w:rsid w:val="00525097"/>
    <w:rsid w:val="005318DB"/>
    <w:rsid w:val="00533885"/>
    <w:rsid w:val="00543703"/>
    <w:rsid w:val="005440D5"/>
    <w:rsid w:val="00545F2E"/>
    <w:rsid w:val="00565642"/>
    <w:rsid w:val="00567EAE"/>
    <w:rsid w:val="00582F4B"/>
    <w:rsid w:val="00592EE4"/>
    <w:rsid w:val="0059569F"/>
    <w:rsid w:val="005972D0"/>
    <w:rsid w:val="005E330F"/>
    <w:rsid w:val="005F15C4"/>
    <w:rsid w:val="005F2176"/>
    <w:rsid w:val="005F7854"/>
    <w:rsid w:val="006026DD"/>
    <w:rsid w:val="006047BF"/>
    <w:rsid w:val="006058CF"/>
    <w:rsid w:val="006117DF"/>
    <w:rsid w:val="00611EC0"/>
    <w:rsid w:val="006171CB"/>
    <w:rsid w:val="006213C4"/>
    <w:rsid w:val="0062598D"/>
    <w:rsid w:val="00636846"/>
    <w:rsid w:val="0064076A"/>
    <w:rsid w:val="00640F4A"/>
    <w:rsid w:val="00641DBF"/>
    <w:rsid w:val="00646715"/>
    <w:rsid w:val="006507A1"/>
    <w:rsid w:val="00671173"/>
    <w:rsid w:val="00683542"/>
    <w:rsid w:val="00685E62"/>
    <w:rsid w:val="00696592"/>
    <w:rsid w:val="006A4080"/>
    <w:rsid w:val="006B1031"/>
    <w:rsid w:val="006C13CE"/>
    <w:rsid w:val="006D0BA2"/>
    <w:rsid w:val="006D1E0E"/>
    <w:rsid w:val="006E351D"/>
    <w:rsid w:val="006F2EFC"/>
    <w:rsid w:val="00701984"/>
    <w:rsid w:val="00701FD0"/>
    <w:rsid w:val="007048DD"/>
    <w:rsid w:val="00707A91"/>
    <w:rsid w:val="00723269"/>
    <w:rsid w:val="007403BC"/>
    <w:rsid w:val="00750DC1"/>
    <w:rsid w:val="007622B9"/>
    <w:rsid w:val="007639EC"/>
    <w:rsid w:val="007667FC"/>
    <w:rsid w:val="00771747"/>
    <w:rsid w:val="0077245A"/>
    <w:rsid w:val="00774AA3"/>
    <w:rsid w:val="00775E50"/>
    <w:rsid w:val="007764C1"/>
    <w:rsid w:val="00781429"/>
    <w:rsid w:val="007876D2"/>
    <w:rsid w:val="00790C87"/>
    <w:rsid w:val="007B6A60"/>
    <w:rsid w:val="007C1BF1"/>
    <w:rsid w:val="007C5ED7"/>
    <w:rsid w:val="007F1B0A"/>
    <w:rsid w:val="007F3660"/>
    <w:rsid w:val="00801B78"/>
    <w:rsid w:val="00801C5C"/>
    <w:rsid w:val="0083269C"/>
    <w:rsid w:val="00834DC1"/>
    <w:rsid w:val="00872C1D"/>
    <w:rsid w:val="00882AB2"/>
    <w:rsid w:val="0089650D"/>
    <w:rsid w:val="008A617C"/>
    <w:rsid w:val="008B1300"/>
    <w:rsid w:val="008B39F8"/>
    <w:rsid w:val="008B6F58"/>
    <w:rsid w:val="008C6256"/>
    <w:rsid w:val="008D3054"/>
    <w:rsid w:val="008D4225"/>
    <w:rsid w:val="008F4E00"/>
    <w:rsid w:val="0091334F"/>
    <w:rsid w:val="009155E6"/>
    <w:rsid w:val="00917AF6"/>
    <w:rsid w:val="0092379F"/>
    <w:rsid w:val="00932F2A"/>
    <w:rsid w:val="0093534E"/>
    <w:rsid w:val="00943C37"/>
    <w:rsid w:val="0094620A"/>
    <w:rsid w:val="009511A5"/>
    <w:rsid w:val="00952D72"/>
    <w:rsid w:val="00966AF6"/>
    <w:rsid w:val="009721F9"/>
    <w:rsid w:val="00977E6D"/>
    <w:rsid w:val="009A7357"/>
    <w:rsid w:val="009B5C43"/>
    <w:rsid w:val="009C7909"/>
    <w:rsid w:val="009D1097"/>
    <w:rsid w:val="009D3D28"/>
    <w:rsid w:val="009D5FD8"/>
    <w:rsid w:val="009E1F85"/>
    <w:rsid w:val="009E386D"/>
    <w:rsid w:val="009E395C"/>
    <w:rsid w:val="009E5FB4"/>
    <w:rsid w:val="009F0034"/>
    <w:rsid w:val="009F1362"/>
    <w:rsid w:val="009F266F"/>
    <w:rsid w:val="00A229CD"/>
    <w:rsid w:val="00A36A90"/>
    <w:rsid w:val="00A47BBB"/>
    <w:rsid w:val="00A51E38"/>
    <w:rsid w:val="00A5626C"/>
    <w:rsid w:val="00A57B6A"/>
    <w:rsid w:val="00A71A25"/>
    <w:rsid w:val="00A74B2D"/>
    <w:rsid w:val="00A76CDF"/>
    <w:rsid w:val="00A77B94"/>
    <w:rsid w:val="00A83828"/>
    <w:rsid w:val="00A862CF"/>
    <w:rsid w:val="00A9781B"/>
    <w:rsid w:val="00AA0D3A"/>
    <w:rsid w:val="00AA2F42"/>
    <w:rsid w:val="00AB0449"/>
    <w:rsid w:val="00AB4078"/>
    <w:rsid w:val="00AC3066"/>
    <w:rsid w:val="00AC3DF7"/>
    <w:rsid w:val="00AC4038"/>
    <w:rsid w:val="00AD22E1"/>
    <w:rsid w:val="00AD7862"/>
    <w:rsid w:val="00AE1DFB"/>
    <w:rsid w:val="00AE50E1"/>
    <w:rsid w:val="00AE67A5"/>
    <w:rsid w:val="00AF1A53"/>
    <w:rsid w:val="00AF6179"/>
    <w:rsid w:val="00B00FA4"/>
    <w:rsid w:val="00B06392"/>
    <w:rsid w:val="00B11E69"/>
    <w:rsid w:val="00B31DDE"/>
    <w:rsid w:val="00B33F98"/>
    <w:rsid w:val="00B34999"/>
    <w:rsid w:val="00B70D33"/>
    <w:rsid w:val="00B70E39"/>
    <w:rsid w:val="00B73B9F"/>
    <w:rsid w:val="00B83510"/>
    <w:rsid w:val="00BC01D2"/>
    <w:rsid w:val="00BC3F16"/>
    <w:rsid w:val="00BD25FC"/>
    <w:rsid w:val="00BD6035"/>
    <w:rsid w:val="00BF3178"/>
    <w:rsid w:val="00BF41F8"/>
    <w:rsid w:val="00BF6BA3"/>
    <w:rsid w:val="00C21B3C"/>
    <w:rsid w:val="00C4675D"/>
    <w:rsid w:val="00C471F6"/>
    <w:rsid w:val="00C53B0E"/>
    <w:rsid w:val="00C54502"/>
    <w:rsid w:val="00C5503B"/>
    <w:rsid w:val="00C61A87"/>
    <w:rsid w:val="00C637F1"/>
    <w:rsid w:val="00C650F2"/>
    <w:rsid w:val="00C80268"/>
    <w:rsid w:val="00C84B56"/>
    <w:rsid w:val="00C86BFF"/>
    <w:rsid w:val="00C93CE9"/>
    <w:rsid w:val="00C9519B"/>
    <w:rsid w:val="00CA0437"/>
    <w:rsid w:val="00CA1505"/>
    <w:rsid w:val="00CA2692"/>
    <w:rsid w:val="00CA6E08"/>
    <w:rsid w:val="00CB4D04"/>
    <w:rsid w:val="00CB5F47"/>
    <w:rsid w:val="00CC2966"/>
    <w:rsid w:val="00CC4C1B"/>
    <w:rsid w:val="00CE753C"/>
    <w:rsid w:val="00CF26C0"/>
    <w:rsid w:val="00D06E04"/>
    <w:rsid w:val="00D20B03"/>
    <w:rsid w:val="00D2543C"/>
    <w:rsid w:val="00D379AE"/>
    <w:rsid w:val="00D413D3"/>
    <w:rsid w:val="00D418C6"/>
    <w:rsid w:val="00D810B9"/>
    <w:rsid w:val="00D8514A"/>
    <w:rsid w:val="00D86137"/>
    <w:rsid w:val="00D8680B"/>
    <w:rsid w:val="00D86D7C"/>
    <w:rsid w:val="00D9124B"/>
    <w:rsid w:val="00D94116"/>
    <w:rsid w:val="00D94B02"/>
    <w:rsid w:val="00D96EB8"/>
    <w:rsid w:val="00DA1178"/>
    <w:rsid w:val="00DB5706"/>
    <w:rsid w:val="00DC0458"/>
    <w:rsid w:val="00DC0C1B"/>
    <w:rsid w:val="00DC11EE"/>
    <w:rsid w:val="00DD0C04"/>
    <w:rsid w:val="00DD17BE"/>
    <w:rsid w:val="00DE6715"/>
    <w:rsid w:val="00DE78EE"/>
    <w:rsid w:val="00E04BDE"/>
    <w:rsid w:val="00E170FF"/>
    <w:rsid w:val="00E234C7"/>
    <w:rsid w:val="00E23664"/>
    <w:rsid w:val="00E24D0E"/>
    <w:rsid w:val="00E27E04"/>
    <w:rsid w:val="00E353BC"/>
    <w:rsid w:val="00E40CCE"/>
    <w:rsid w:val="00E426C6"/>
    <w:rsid w:val="00E456EF"/>
    <w:rsid w:val="00E559AC"/>
    <w:rsid w:val="00E55C8E"/>
    <w:rsid w:val="00E70327"/>
    <w:rsid w:val="00E763E3"/>
    <w:rsid w:val="00E77594"/>
    <w:rsid w:val="00E90C09"/>
    <w:rsid w:val="00EA070A"/>
    <w:rsid w:val="00EA48D2"/>
    <w:rsid w:val="00EA4BD2"/>
    <w:rsid w:val="00EB2A51"/>
    <w:rsid w:val="00EB40B0"/>
    <w:rsid w:val="00EC19B9"/>
    <w:rsid w:val="00EC370A"/>
    <w:rsid w:val="00EC4537"/>
    <w:rsid w:val="00ED0A65"/>
    <w:rsid w:val="00ED6165"/>
    <w:rsid w:val="00ED7AC4"/>
    <w:rsid w:val="00EE0A91"/>
    <w:rsid w:val="00EE4FDD"/>
    <w:rsid w:val="00EE517D"/>
    <w:rsid w:val="00F016EC"/>
    <w:rsid w:val="00F031F7"/>
    <w:rsid w:val="00F303A4"/>
    <w:rsid w:val="00F362B2"/>
    <w:rsid w:val="00F41B2F"/>
    <w:rsid w:val="00F50D93"/>
    <w:rsid w:val="00F51659"/>
    <w:rsid w:val="00F63519"/>
    <w:rsid w:val="00F67821"/>
    <w:rsid w:val="00F72C9E"/>
    <w:rsid w:val="00F7485C"/>
    <w:rsid w:val="00F74CE6"/>
    <w:rsid w:val="00F87F2B"/>
    <w:rsid w:val="00F95700"/>
    <w:rsid w:val="00FA0B55"/>
    <w:rsid w:val="00FA1958"/>
    <w:rsid w:val="00FA1EA6"/>
    <w:rsid w:val="00FA70CF"/>
    <w:rsid w:val="00FB2F89"/>
    <w:rsid w:val="00FB4322"/>
    <w:rsid w:val="00FC072C"/>
    <w:rsid w:val="00FC1EA2"/>
    <w:rsid w:val="00FC3951"/>
    <w:rsid w:val="00FC4B2D"/>
    <w:rsid w:val="00FC56D7"/>
    <w:rsid w:val="00FD0E17"/>
    <w:rsid w:val="00FD7A01"/>
    <w:rsid w:val="00FE194A"/>
    <w:rsid w:val="00FF0BEC"/>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606DD"/>
    <w:pPr>
      <w:keepNext/>
      <w:keepLines/>
      <w:numPr>
        <w:numId w:val="6"/>
      </w:numPr>
      <w:spacing w:after="480" w:line="240" w:lineRule="auto"/>
      <w:ind w:left="992" w:hanging="992"/>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3156D4"/>
    <w:pPr>
      <w:keepNext/>
      <w:keepLines/>
      <w:numPr>
        <w:ilvl w:val="1"/>
        <w:numId w:val="6"/>
      </w:numPr>
      <w:spacing w:before="240" w:after="240"/>
      <w:ind w:left="851" w:hanging="851"/>
      <w:outlineLvl w:val="1"/>
    </w:pPr>
    <w:rPr>
      <w:rFonts w:eastAsiaTheme="majorEastAsia" w:cstheme="majorBidi"/>
      <w:b/>
      <w:color w:val="104F99" w:themeColor="accent2"/>
      <w:sz w:val="36"/>
      <w:szCs w:val="26"/>
      <w:lang w:val="en-AU"/>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606DD"/>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3156D4"/>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28"/>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rsid w:val="004606DD"/>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rsid w:val="004606DD"/>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rsid w:val="004606DD"/>
    <w:rPr>
      <w:vertAlign w:val="superscript"/>
    </w:rPr>
  </w:style>
  <w:style w:type="paragraph" w:styleId="ListBullet4">
    <w:name w:val="List Bullet 4"/>
    <w:basedOn w:val="Normal"/>
    <w:autoRedefine/>
    <w:uiPriority w:val="3"/>
    <w:semiHidden/>
    <w:unhideWhenUsed/>
    <w:rsid w:val="004606DD"/>
    <w:pPr>
      <w:numPr>
        <w:numId w:val="27"/>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link w:val="ListParagraph"/>
    <w:uiPriority w:val="34"/>
    <w:locked/>
    <w:rsid w:val="00BF41F8"/>
    <w:rPr>
      <w:rFonts w:ascii="Arial" w:hAnsi="Arial"/>
      <w:color w:val="15272F"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 w:type="paragraph" w:styleId="ListNumber">
    <w:name w:val="List Number"/>
    <w:basedOn w:val="Normal"/>
    <w:autoRedefine/>
    <w:uiPriority w:val="3"/>
    <w:rsid w:val="00A862CF"/>
    <w:pPr>
      <w:numPr>
        <w:numId w:val="44"/>
      </w:numPr>
      <w:spacing w:before="120" w:after="120" w:line="260" w:lineRule="atLeast"/>
      <w:contextualSpacing/>
    </w:pPr>
    <w:rPr>
      <w:rFonts w:eastAsia="Times New Roman" w:cs="Times New Roman"/>
      <w:color w:val="auto"/>
      <w:szCs w:val="24"/>
      <w:lang w:val="en-AU" w:eastAsia="en-AU"/>
    </w:rPr>
  </w:style>
  <w:style w:type="paragraph" w:styleId="Quote">
    <w:name w:val="Quote"/>
    <w:basedOn w:val="Normal"/>
    <w:next w:val="Normal"/>
    <w:link w:val="QuoteChar"/>
    <w:uiPriority w:val="29"/>
    <w:rsid w:val="00932F2A"/>
    <w:pPr>
      <w:spacing w:before="200"/>
      <w:ind w:left="864" w:right="864"/>
      <w:jc w:val="center"/>
    </w:pPr>
    <w:rPr>
      <w:i/>
      <w:iCs/>
      <w:color w:val="37667B" w:themeColor="text1" w:themeTint="BF"/>
    </w:rPr>
  </w:style>
  <w:style w:type="character" w:customStyle="1" w:styleId="QuoteChar">
    <w:name w:val="Quote Char"/>
    <w:basedOn w:val="DefaultParagraphFont"/>
    <w:link w:val="Quote"/>
    <w:uiPriority w:val="29"/>
    <w:rsid w:val="00932F2A"/>
    <w:rPr>
      <w:rFonts w:ascii="Arial" w:hAnsi="Arial"/>
      <w:i/>
      <w:iCs/>
      <w:color w:val="37667B"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hacpa.gov.au/health-care/data/data-submission-porta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sv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ihacpa.gov.au/health-care/pricing/pricing-framework-australian-public-hospital-servic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hacpa.gov.au/publications/national-pricing-model-consultation-policy-v2"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3.0/au/" TargetMode="External"/><Relationship Id="rId24" Type="http://schemas.openxmlformats.org/officeDocument/2006/relationships/hyperlink" Target="http://www.ihacpa.gov.au/" TargetMode="External"/><Relationship Id="rId5" Type="http://schemas.openxmlformats.org/officeDocument/2006/relationships/webSettings" Target="webSettings.xml"/><Relationship Id="rId15" Type="http://schemas.openxmlformats.org/officeDocument/2006/relationships/hyperlink" Target="https://www.ihacpa.gov.au/health-care/pricing/national-pricing-model-technical-specifications" TargetMode="External"/><Relationship Id="rId23" Type="http://schemas.openxmlformats.org/officeDocument/2006/relationships/hyperlink" Target="https://twitter.com/IHACPA"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hacpa.gov.au/health-care/pricing/national-efficient-price-determinatio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 Id="rId22" Type="http://schemas.openxmlformats.org/officeDocument/2006/relationships/hyperlink" Target="mailto:enquiries.ihacpa@ihacpa.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3022</Words>
  <Characters>17620</Characters>
  <Application>Microsoft Office Word</Application>
  <DocSecurity>0</DocSecurity>
  <Lines>489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2023-06-19T07:30:00Z</dcterms:created>
  <dcterms:modified xsi:type="dcterms:W3CDTF">2023-06-19T07:30:00Z</dcterms:modified>
</cp:coreProperties>
</file>