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48F7" w14:textId="625F359A" w:rsidR="00FA3487" w:rsidRDefault="00FA3487">
      <w:pPr>
        <w:spacing w:line="259" w:lineRule="auto"/>
        <w:rPr>
          <w:lang w:val="en-AU"/>
        </w:rPr>
      </w:pPr>
    </w:p>
    <w:p w14:paraId="33CAEBC3" w14:textId="071048BE" w:rsidR="00707A91" w:rsidRPr="002D2560" w:rsidRDefault="00707A91" w:rsidP="00AD22E1">
      <w:pPr>
        <w:spacing w:after="1320"/>
        <w:rPr>
          <w:lang w:val="en-AU"/>
        </w:rPr>
      </w:pPr>
      <w:r w:rsidRPr="002D2560">
        <w:rPr>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46C4B40D" w:rsidR="00707A91" w:rsidRPr="002D2560" w:rsidRDefault="00723269" w:rsidP="00723269">
      <w:pPr>
        <w:pStyle w:val="CoverTitle"/>
        <w:ind w:right="107"/>
        <w:rPr>
          <w:lang w:val="en-AU"/>
        </w:rPr>
      </w:pPr>
      <w:r w:rsidRPr="002D2560">
        <w:rPr>
          <w:lang w:val="en-AU"/>
        </w:rPr>
        <w:t xml:space="preserve">Three Year Data Plan </w:t>
      </w:r>
      <w:r w:rsidR="00D94116" w:rsidRPr="002D2560">
        <w:rPr>
          <w:lang w:val="en-AU"/>
        </w:rPr>
        <w:t>2023–24 to 2025–26</w:t>
      </w:r>
    </w:p>
    <w:p w14:paraId="5867E2AE" w14:textId="77777777" w:rsidR="00493FE8" w:rsidRPr="002D2560" w:rsidRDefault="00493FE8" w:rsidP="00257DF2">
      <w:pPr>
        <w:spacing w:after="1320"/>
        <w:rPr>
          <w:lang w:val="en-AU"/>
        </w:rPr>
        <w:sectPr w:rsidR="00493FE8" w:rsidRPr="002D2560" w:rsidSect="00E426C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080" w:bottom="1440" w:left="1080" w:header="708" w:footer="708" w:gutter="0"/>
          <w:cols w:space="720"/>
          <w:docGrid w:linePitch="360"/>
        </w:sectPr>
      </w:pPr>
    </w:p>
    <w:p w14:paraId="20BF2D79" w14:textId="38D4C254" w:rsidR="00276510" w:rsidRPr="002D2560" w:rsidRDefault="00723269" w:rsidP="00276510">
      <w:pPr>
        <w:pStyle w:val="Copyrightheading"/>
        <w:rPr>
          <w:lang w:val="en-AU"/>
        </w:rPr>
      </w:pPr>
      <w:r w:rsidRPr="002D2560">
        <w:rPr>
          <w:lang w:val="en-AU"/>
        </w:rPr>
        <w:lastRenderedPageBreak/>
        <w:t>IH</w:t>
      </w:r>
      <w:r w:rsidR="006D0BA2" w:rsidRPr="002D2560">
        <w:rPr>
          <w:lang w:val="en-AU"/>
        </w:rPr>
        <w:t>AC</w:t>
      </w:r>
      <w:r w:rsidRPr="002D2560">
        <w:rPr>
          <w:lang w:val="en-AU"/>
        </w:rPr>
        <w:t xml:space="preserve">PA Three Year Data Plan </w:t>
      </w:r>
      <w:r w:rsidR="007667FC" w:rsidRPr="002D2560">
        <w:rPr>
          <w:lang w:val="en-AU"/>
        </w:rPr>
        <w:t>2023–24 to 2025–26</w:t>
      </w:r>
    </w:p>
    <w:p w14:paraId="61404F53" w14:textId="77777777" w:rsidR="00276510" w:rsidRPr="002D2560" w:rsidRDefault="00276510" w:rsidP="00276510">
      <w:pPr>
        <w:pStyle w:val="Copyrightcopy"/>
        <w:rPr>
          <w:lang w:val="en-AU"/>
        </w:rPr>
      </w:pPr>
      <w:r w:rsidRPr="002D2560">
        <w:rPr>
          <w:lang w:val="en-AU"/>
        </w:rPr>
        <w:t>© Independent Health and Aged Care Pricing Authority 2022</w:t>
      </w:r>
    </w:p>
    <w:p w14:paraId="7B301138" w14:textId="77777777" w:rsidR="00276510" w:rsidRPr="002D2560" w:rsidRDefault="00276510" w:rsidP="00276510">
      <w:pPr>
        <w:pStyle w:val="Copyrightcopy"/>
        <w:rPr>
          <w:lang w:val="en-AU"/>
        </w:rPr>
      </w:pPr>
      <w:r w:rsidRPr="002D2560">
        <w:rPr>
          <w:lang w:val="en-AU"/>
        </w:rPr>
        <w:t>This publication is available for your use under a Creative Commons BY Attribution 3.0 Australia licence, with the exception of the Independent Health and Aged Care Pricing Authority logo, photographs, images, signatures and where otherwise stated. The full licence terms are available from the Creative Commons website.</w:t>
      </w:r>
    </w:p>
    <w:p w14:paraId="7E118B06" w14:textId="77777777" w:rsidR="00276510" w:rsidRPr="002D2560" w:rsidRDefault="00276510" w:rsidP="00276510">
      <w:pPr>
        <w:pStyle w:val="Copyrightcopy"/>
        <w:rPr>
          <w:lang w:val="en-AU"/>
        </w:rPr>
      </w:pPr>
      <w:r w:rsidRPr="002D2560">
        <w:rPr>
          <w:noProof/>
          <w:lang w:val="en-AU"/>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6">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2D2560">
        <w:rPr>
          <w:lang w:val="en-AU"/>
        </w:rPr>
        <w:t xml:space="preserve"> </w:t>
      </w:r>
    </w:p>
    <w:p w14:paraId="020F64C9" w14:textId="77777777" w:rsidR="00276510" w:rsidRPr="002D2560" w:rsidRDefault="00276510" w:rsidP="00276510">
      <w:pPr>
        <w:pStyle w:val="Copyrightcopy"/>
        <w:rPr>
          <w:lang w:val="en-AU"/>
        </w:rPr>
      </w:pPr>
      <w:r w:rsidRPr="002D2560">
        <w:rPr>
          <w:lang w:val="en-AU"/>
        </w:rPr>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 work).</w:t>
      </w:r>
    </w:p>
    <w:p w14:paraId="239A3363" w14:textId="2ED9F348" w:rsidR="00276510" w:rsidRPr="002D2560" w:rsidRDefault="00276510" w:rsidP="00276510">
      <w:pPr>
        <w:pStyle w:val="Copyrightcopy"/>
        <w:rPr>
          <w:lang w:val="en-AU"/>
        </w:rPr>
      </w:pPr>
      <w:r w:rsidRPr="002D2560">
        <w:rPr>
          <w:lang w:val="en-AU"/>
        </w:rPr>
        <w:t xml:space="preserve">Independent Health and Aged Care Pricing Authority material used </w:t>
      </w:r>
      <w:r w:rsidR="006D0BA2" w:rsidRPr="002D2560">
        <w:rPr>
          <w:lang w:val="en-AU"/>
        </w:rPr>
        <w:t>‘</w:t>
      </w:r>
      <w:r w:rsidRPr="002D2560">
        <w:rPr>
          <w:lang w:val="en-AU"/>
        </w:rPr>
        <w:t>as supplied</w:t>
      </w:r>
      <w:r w:rsidR="006D0BA2" w:rsidRPr="002D2560">
        <w:rPr>
          <w:lang w:val="en-AU"/>
        </w:rPr>
        <w:t>’</w:t>
      </w:r>
      <w:r w:rsidRPr="002D2560">
        <w:rPr>
          <w:lang w:val="en-AU"/>
        </w:rPr>
        <w:t>.</w:t>
      </w:r>
    </w:p>
    <w:p w14:paraId="6DB21190" w14:textId="77777777" w:rsidR="00276510" w:rsidRPr="002D2560" w:rsidRDefault="00276510" w:rsidP="00276510">
      <w:pPr>
        <w:pStyle w:val="Copyrightcopy"/>
        <w:rPr>
          <w:lang w:val="en-AU"/>
        </w:rPr>
      </w:pPr>
      <w:r w:rsidRPr="002D2560">
        <w:rPr>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18AA2E10" w14:textId="47D4E080" w:rsidR="00276510" w:rsidRPr="002D2560" w:rsidRDefault="00276510" w:rsidP="00276510">
      <w:pPr>
        <w:pStyle w:val="Copyrightcopy"/>
        <w:rPr>
          <w:lang w:val="en-AU"/>
        </w:rPr>
        <w:sectPr w:rsidR="00276510" w:rsidRPr="002D2560" w:rsidSect="00276510">
          <w:headerReference w:type="default" r:id="rId17"/>
          <w:footerReference w:type="default" r:id="rId18"/>
          <w:pgSz w:w="11906" w:h="16838" w:code="9"/>
          <w:pgMar w:top="7371" w:right="1077" w:bottom="1440" w:left="1077" w:header="709" w:footer="709" w:gutter="0"/>
          <w:cols w:space="720"/>
          <w:docGrid w:linePitch="360"/>
        </w:sectPr>
      </w:pPr>
      <w:r w:rsidRPr="002D2560">
        <w:rPr>
          <w:lang w:val="en-AU"/>
        </w:rPr>
        <w:t>Source: The Independent Health and Aged Care Pricing Authority</w:t>
      </w:r>
    </w:p>
    <w:p w14:paraId="0DB615F4" w14:textId="586A6DD3" w:rsidR="00723269" w:rsidRPr="002D2560" w:rsidRDefault="00723269" w:rsidP="00271FC1">
      <w:pPr>
        <w:pStyle w:val="Heading1"/>
        <w:numPr>
          <w:ilvl w:val="0"/>
          <w:numId w:val="0"/>
        </w:numPr>
        <w:ind w:left="993" w:hanging="993"/>
      </w:pPr>
      <w:bookmarkStart w:id="0" w:name="_Toc113568509"/>
      <w:bookmarkStart w:id="1" w:name="_Toc113579393"/>
      <w:bookmarkStart w:id="2" w:name="_Toc113632745"/>
      <w:bookmarkStart w:id="3" w:name="_Toc114170121"/>
      <w:bookmarkStart w:id="4" w:name="_Toc114236946"/>
      <w:bookmarkStart w:id="5" w:name="_Toc114498844"/>
      <w:bookmarkStart w:id="6" w:name="_Toc115952574"/>
      <w:bookmarkStart w:id="7" w:name="_Toc121927348"/>
      <w:r w:rsidRPr="002D2560">
        <w:lastRenderedPageBreak/>
        <w:t>Table of contents</w:t>
      </w:r>
      <w:bookmarkEnd w:id="0"/>
      <w:bookmarkEnd w:id="1"/>
      <w:bookmarkEnd w:id="2"/>
      <w:bookmarkEnd w:id="3"/>
      <w:bookmarkEnd w:id="4"/>
      <w:bookmarkEnd w:id="5"/>
      <w:bookmarkEnd w:id="6"/>
      <w:bookmarkEnd w:id="7"/>
    </w:p>
    <w:p w14:paraId="0E34FB83" w14:textId="169E220A" w:rsidR="00725C3A" w:rsidRDefault="00725C3A">
      <w:pPr>
        <w:pStyle w:val="TOC1"/>
        <w:tabs>
          <w:tab w:val="right" w:leader="dot" w:pos="9736"/>
        </w:tabs>
        <w:rPr>
          <w:rFonts w:asciiTheme="minorHAnsi" w:eastAsiaTheme="minorEastAsia" w:hAnsiTheme="minorHAnsi"/>
          <w:b w:val="0"/>
          <w:noProof/>
          <w:color w:val="auto"/>
          <w:sz w:val="22"/>
          <w:lang w:val="en-AU" w:eastAsia="en-AU"/>
        </w:rPr>
      </w:pPr>
      <w:r>
        <w:rPr>
          <w:b w:val="0"/>
          <w:lang w:val="en-AU"/>
        </w:rPr>
        <w:fldChar w:fldCharType="begin"/>
      </w:r>
      <w:r>
        <w:rPr>
          <w:b w:val="0"/>
          <w:lang w:val="en-AU"/>
        </w:rPr>
        <w:instrText xml:space="preserve"> TOC \o "1-1" \h \z \u </w:instrText>
      </w:r>
      <w:r>
        <w:rPr>
          <w:b w:val="0"/>
          <w:lang w:val="en-AU"/>
        </w:rPr>
        <w:fldChar w:fldCharType="separate"/>
      </w:r>
      <w:hyperlink w:anchor="_Toc121927349" w:history="1">
        <w:r w:rsidRPr="00627AAC">
          <w:rPr>
            <w:rStyle w:val="Hyperlink"/>
            <w:noProof/>
          </w:rPr>
          <w:t>Glossary</w:t>
        </w:r>
        <w:r>
          <w:rPr>
            <w:noProof/>
            <w:webHidden/>
          </w:rPr>
          <w:tab/>
        </w:r>
        <w:r>
          <w:rPr>
            <w:noProof/>
            <w:webHidden/>
          </w:rPr>
          <w:fldChar w:fldCharType="begin"/>
        </w:r>
        <w:r>
          <w:rPr>
            <w:noProof/>
            <w:webHidden/>
          </w:rPr>
          <w:instrText xml:space="preserve"> PAGEREF _Toc121927349 \h </w:instrText>
        </w:r>
        <w:r>
          <w:rPr>
            <w:noProof/>
            <w:webHidden/>
          </w:rPr>
        </w:r>
        <w:r>
          <w:rPr>
            <w:noProof/>
            <w:webHidden/>
          </w:rPr>
          <w:fldChar w:fldCharType="separate"/>
        </w:r>
        <w:r>
          <w:rPr>
            <w:noProof/>
            <w:webHidden/>
          </w:rPr>
          <w:t>4</w:t>
        </w:r>
        <w:r>
          <w:rPr>
            <w:noProof/>
            <w:webHidden/>
          </w:rPr>
          <w:fldChar w:fldCharType="end"/>
        </w:r>
      </w:hyperlink>
    </w:p>
    <w:p w14:paraId="21A18365" w14:textId="2F57C979" w:rsidR="00725C3A" w:rsidRDefault="00450820">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1927350" w:history="1">
        <w:r w:rsidR="00725C3A" w:rsidRPr="00627AAC">
          <w:rPr>
            <w:rStyle w:val="Hyperlink"/>
            <w:noProof/>
          </w:rPr>
          <w:t>1.</w:t>
        </w:r>
        <w:r w:rsidR="00725C3A">
          <w:rPr>
            <w:rFonts w:asciiTheme="minorHAnsi" w:eastAsiaTheme="minorEastAsia" w:hAnsiTheme="minorHAnsi"/>
            <w:b w:val="0"/>
            <w:noProof/>
            <w:color w:val="auto"/>
            <w:sz w:val="22"/>
            <w:lang w:val="en-AU" w:eastAsia="en-AU"/>
          </w:rPr>
          <w:tab/>
        </w:r>
        <w:r w:rsidR="00725C3A" w:rsidRPr="00627AAC">
          <w:rPr>
            <w:rStyle w:val="Hyperlink"/>
            <w:noProof/>
          </w:rPr>
          <w:t>Executive summary</w:t>
        </w:r>
        <w:r w:rsidR="00725C3A">
          <w:rPr>
            <w:noProof/>
            <w:webHidden/>
          </w:rPr>
          <w:tab/>
        </w:r>
        <w:r w:rsidR="00725C3A">
          <w:rPr>
            <w:noProof/>
            <w:webHidden/>
          </w:rPr>
          <w:fldChar w:fldCharType="begin"/>
        </w:r>
        <w:r w:rsidR="00725C3A">
          <w:rPr>
            <w:noProof/>
            <w:webHidden/>
          </w:rPr>
          <w:instrText xml:space="preserve"> PAGEREF _Toc121927350 \h </w:instrText>
        </w:r>
        <w:r w:rsidR="00725C3A">
          <w:rPr>
            <w:noProof/>
            <w:webHidden/>
          </w:rPr>
        </w:r>
        <w:r w:rsidR="00725C3A">
          <w:rPr>
            <w:noProof/>
            <w:webHidden/>
          </w:rPr>
          <w:fldChar w:fldCharType="separate"/>
        </w:r>
        <w:r w:rsidR="00725C3A">
          <w:rPr>
            <w:noProof/>
            <w:webHidden/>
          </w:rPr>
          <w:t>6</w:t>
        </w:r>
        <w:r w:rsidR="00725C3A">
          <w:rPr>
            <w:noProof/>
            <w:webHidden/>
          </w:rPr>
          <w:fldChar w:fldCharType="end"/>
        </w:r>
      </w:hyperlink>
    </w:p>
    <w:p w14:paraId="4C3A7303" w14:textId="03292874" w:rsidR="00725C3A" w:rsidRDefault="00450820">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1927351" w:history="1">
        <w:r w:rsidR="00725C3A" w:rsidRPr="00627AAC">
          <w:rPr>
            <w:rStyle w:val="Hyperlink"/>
            <w:noProof/>
          </w:rPr>
          <w:t>2.</w:t>
        </w:r>
        <w:r w:rsidR="00725C3A">
          <w:rPr>
            <w:rFonts w:asciiTheme="minorHAnsi" w:eastAsiaTheme="minorEastAsia" w:hAnsiTheme="minorHAnsi"/>
            <w:b w:val="0"/>
            <w:noProof/>
            <w:color w:val="auto"/>
            <w:sz w:val="22"/>
            <w:lang w:val="en-AU" w:eastAsia="en-AU"/>
          </w:rPr>
          <w:tab/>
        </w:r>
        <w:r w:rsidR="00725C3A" w:rsidRPr="00627AAC">
          <w:rPr>
            <w:rStyle w:val="Hyperlink"/>
            <w:noProof/>
          </w:rPr>
          <w:t>Overview</w:t>
        </w:r>
        <w:r w:rsidR="00725C3A">
          <w:rPr>
            <w:noProof/>
            <w:webHidden/>
          </w:rPr>
          <w:tab/>
        </w:r>
        <w:r w:rsidR="00725C3A">
          <w:rPr>
            <w:noProof/>
            <w:webHidden/>
          </w:rPr>
          <w:fldChar w:fldCharType="begin"/>
        </w:r>
        <w:r w:rsidR="00725C3A">
          <w:rPr>
            <w:noProof/>
            <w:webHidden/>
          </w:rPr>
          <w:instrText xml:space="preserve"> PAGEREF _Toc121927351 \h </w:instrText>
        </w:r>
        <w:r w:rsidR="00725C3A">
          <w:rPr>
            <w:noProof/>
            <w:webHidden/>
          </w:rPr>
        </w:r>
        <w:r w:rsidR="00725C3A">
          <w:rPr>
            <w:noProof/>
            <w:webHidden/>
          </w:rPr>
          <w:fldChar w:fldCharType="separate"/>
        </w:r>
        <w:r w:rsidR="00725C3A">
          <w:rPr>
            <w:noProof/>
            <w:webHidden/>
          </w:rPr>
          <w:t>8</w:t>
        </w:r>
        <w:r w:rsidR="00725C3A">
          <w:rPr>
            <w:noProof/>
            <w:webHidden/>
          </w:rPr>
          <w:fldChar w:fldCharType="end"/>
        </w:r>
      </w:hyperlink>
    </w:p>
    <w:p w14:paraId="795B1234" w14:textId="7DA52071" w:rsidR="00725C3A" w:rsidRDefault="00450820">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1927352" w:history="1">
        <w:r w:rsidR="00725C3A" w:rsidRPr="00627AAC">
          <w:rPr>
            <w:rStyle w:val="Hyperlink"/>
            <w:noProof/>
          </w:rPr>
          <w:t>3.</w:t>
        </w:r>
        <w:r w:rsidR="00725C3A">
          <w:rPr>
            <w:rFonts w:asciiTheme="minorHAnsi" w:eastAsiaTheme="minorEastAsia" w:hAnsiTheme="minorHAnsi"/>
            <w:b w:val="0"/>
            <w:noProof/>
            <w:color w:val="auto"/>
            <w:sz w:val="22"/>
            <w:lang w:val="en-AU" w:eastAsia="en-AU"/>
          </w:rPr>
          <w:tab/>
        </w:r>
        <w:r w:rsidR="00725C3A" w:rsidRPr="00627AAC">
          <w:rPr>
            <w:rStyle w:val="Hyperlink"/>
            <w:noProof/>
          </w:rPr>
          <w:t>Security and privacy</w:t>
        </w:r>
        <w:r w:rsidR="00725C3A">
          <w:rPr>
            <w:noProof/>
            <w:webHidden/>
          </w:rPr>
          <w:tab/>
        </w:r>
        <w:r w:rsidR="00725C3A">
          <w:rPr>
            <w:noProof/>
            <w:webHidden/>
          </w:rPr>
          <w:fldChar w:fldCharType="begin"/>
        </w:r>
        <w:r w:rsidR="00725C3A">
          <w:rPr>
            <w:noProof/>
            <w:webHidden/>
          </w:rPr>
          <w:instrText xml:space="preserve"> PAGEREF _Toc121927352 \h </w:instrText>
        </w:r>
        <w:r w:rsidR="00725C3A">
          <w:rPr>
            <w:noProof/>
            <w:webHidden/>
          </w:rPr>
        </w:r>
        <w:r w:rsidR="00725C3A">
          <w:rPr>
            <w:noProof/>
            <w:webHidden/>
          </w:rPr>
          <w:fldChar w:fldCharType="separate"/>
        </w:r>
        <w:r w:rsidR="00725C3A">
          <w:rPr>
            <w:noProof/>
            <w:webHidden/>
          </w:rPr>
          <w:t>11</w:t>
        </w:r>
        <w:r w:rsidR="00725C3A">
          <w:rPr>
            <w:noProof/>
            <w:webHidden/>
          </w:rPr>
          <w:fldChar w:fldCharType="end"/>
        </w:r>
      </w:hyperlink>
    </w:p>
    <w:p w14:paraId="35D6461C" w14:textId="0BED85DE" w:rsidR="00725C3A" w:rsidRDefault="00450820">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1927353" w:history="1">
        <w:r w:rsidR="00725C3A" w:rsidRPr="00627AAC">
          <w:rPr>
            <w:rStyle w:val="Hyperlink"/>
            <w:noProof/>
          </w:rPr>
          <w:t>4.</w:t>
        </w:r>
        <w:r w:rsidR="00725C3A">
          <w:rPr>
            <w:rFonts w:asciiTheme="minorHAnsi" w:eastAsiaTheme="minorEastAsia" w:hAnsiTheme="minorHAnsi"/>
            <w:b w:val="0"/>
            <w:noProof/>
            <w:color w:val="auto"/>
            <w:sz w:val="22"/>
            <w:lang w:val="en-AU" w:eastAsia="en-AU"/>
          </w:rPr>
          <w:tab/>
        </w:r>
        <w:r w:rsidR="00725C3A" w:rsidRPr="00627AAC">
          <w:rPr>
            <w:rStyle w:val="Hyperlink"/>
            <w:noProof/>
          </w:rPr>
          <w:t>Compliance with the National Health Reform Agreement</w:t>
        </w:r>
        <w:r w:rsidR="00725C3A">
          <w:rPr>
            <w:noProof/>
            <w:webHidden/>
          </w:rPr>
          <w:tab/>
        </w:r>
        <w:r w:rsidR="00725C3A">
          <w:rPr>
            <w:noProof/>
            <w:webHidden/>
          </w:rPr>
          <w:fldChar w:fldCharType="begin"/>
        </w:r>
        <w:r w:rsidR="00725C3A">
          <w:rPr>
            <w:noProof/>
            <w:webHidden/>
          </w:rPr>
          <w:instrText xml:space="preserve"> PAGEREF _Toc121927353 \h </w:instrText>
        </w:r>
        <w:r w:rsidR="00725C3A">
          <w:rPr>
            <w:noProof/>
            <w:webHidden/>
          </w:rPr>
        </w:r>
        <w:r w:rsidR="00725C3A">
          <w:rPr>
            <w:noProof/>
            <w:webHidden/>
          </w:rPr>
          <w:fldChar w:fldCharType="separate"/>
        </w:r>
        <w:r w:rsidR="00725C3A">
          <w:rPr>
            <w:noProof/>
            <w:webHidden/>
          </w:rPr>
          <w:t>13</w:t>
        </w:r>
        <w:r w:rsidR="00725C3A">
          <w:rPr>
            <w:noProof/>
            <w:webHidden/>
          </w:rPr>
          <w:fldChar w:fldCharType="end"/>
        </w:r>
      </w:hyperlink>
    </w:p>
    <w:p w14:paraId="784C6554" w14:textId="07C7BCB1" w:rsidR="00725C3A" w:rsidRDefault="00450820">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1927354" w:history="1">
        <w:r w:rsidR="00725C3A" w:rsidRPr="00627AAC">
          <w:rPr>
            <w:rStyle w:val="Hyperlink"/>
            <w:noProof/>
          </w:rPr>
          <w:t>5.</w:t>
        </w:r>
        <w:r w:rsidR="00725C3A">
          <w:rPr>
            <w:rFonts w:asciiTheme="minorHAnsi" w:eastAsiaTheme="minorEastAsia" w:hAnsiTheme="minorHAnsi"/>
            <w:b w:val="0"/>
            <w:noProof/>
            <w:color w:val="auto"/>
            <w:sz w:val="22"/>
            <w:lang w:val="en-AU" w:eastAsia="en-AU"/>
          </w:rPr>
          <w:tab/>
        </w:r>
        <w:r w:rsidR="00725C3A" w:rsidRPr="00627AAC">
          <w:rPr>
            <w:rStyle w:val="Hyperlink"/>
            <w:noProof/>
          </w:rPr>
          <w:t>Hospital data requirements</w:t>
        </w:r>
        <w:r w:rsidR="00725C3A">
          <w:rPr>
            <w:noProof/>
            <w:webHidden/>
          </w:rPr>
          <w:tab/>
        </w:r>
        <w:r w:rsidR="00725C3A">
          <w:rPr>
            <w:noProof/>
            <w:webHidden/>
          </w:rPr>
          <w:fldChar w:fldCharType="begin"/>
        </w:r>
        <w:r w:rsidR="00725C3A">
          <w:rPr>
            <w:noProof/>
            <w:webHidden/>
          </w:rPr>
          <w:instrText xml:space="preserve"> PAGEREF _Toc121927354 \h </w:instrText>
        </w:r>
        <w:r w:rsidR="00725C3A">
          <w:rPr>
            <w:noProof/>
            <w:webHidden/>
          </w:rPr>
        </w:r>
        <w:r w:rsidR="00725C3A">
          <w:rPr>
            <w:noProof/>
            <w:webHidden/>
          </w:rPr>
          <w:fldChar w:fldCharType="separate"/>
        </w:r>
        <w:r w:rsidR="00725C3A">
          <w:rPr>
            <w:noProof/>
            <w:webHidden/>
          </w:rPr>
          <w:t>14</w:t>
        </w:r>
        <w:r w:rsidR="00725C3A">
          <w:rPr>
            <w:noProof/>
            <w:webHidden/>
          </w:rPr>
          <w:fldChar w:fldCharType="end"/>
        </w:r>
      </w:hyperlink>
    </w:p>
    <w:p w14:paraId="25D83A75" w14:textId="464B04D7" w:rsidR="00725C3A" w:rsidRDefault="00450820">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1927355" w:history="1">
        <w:r w:rsidR="00725C3A" w:rsidRPr="00627AAC">
          <w:rPr>
            <w:rStyle w:val="Hyperlink"/>
            <w:noProof/>
          </w:rPr>
          <w:t>6.</w:t>
        </w:r>
        <w:r w:rsidR="00725C3A">
          <w:rPr>
            <w:rFonts w:asciiTheme="minorHAnsi" w:eastAsiaTheme="minorEastAsia" w:hAnsiTheme="minorHAnsi"/>
            <w:b w:val="0"/>
            <w:noProof/>
            <w:color w:val="auto"/>
            <w:sz w:val="22"/>
            <w:lang w:val="en-AU" w:eastAsia="en-AU"/>
          </w:rPr>
          <w:tab/>
        </w:r>
        <w:r w:rsidR="00725C3A" w:rsidRPr="00627AAC">
          <w:rPr>
            <w:rStyle w:val="Hyperlink"/>
            <w:noProof/>
          </w:rPr>
          <w:t>Hospital data submission and collection schedule</w:t>
        </w:r>
        <w:r w:rsidR="00725C3A">
          <w:rPr>
            <w:noProof/>
            <w:webHidden/>
          </w:rPr>
          <w:tab/>
        </w:r>
        <w:r w:rsidR="00725C3A">
          <w:rPr>
            <w:noProof/>
            <w:webHidden/>
          </w:rPr>
          <w:fldChar w:fldCharType="begin"/>
        </w:r>
        <w:r w:rsidR="00725C3A">
          <w:rPr>
            <w:noProof/>
            <w:webHidden/>
          </w:rPr>
          <w:instrText xml:space="preserve"> PAGEREF _Toc121927355 \h </w:instrText>
        </w:r>
        <w:r w:rsidR="00725C3A">
          <w:rPr>
            <w:noProof/>
            <w:webHidden/>
          </w:rPr>
        </w:r>
        <w:r w:rsidR="00725C3A">
          <w:rPr>
            <w:noProof/>
            <w:webHidden/>
          </w:rPr>
          <w:fldChar w:fldCharType="separate"/>
        </w:r>
        <w:r w:rsidR="00725C3A">
          <w:rPr>
            <w:noProof/>
            <w:webHidden/>
          </w:rPr>
          <w:t>20</w:t>
        </w:r>
        <w:r w:rsidR="00725C3A">
          <w:rPr>
            <w:noProof/>
            <w:webHidden/>
          </w:rPr>
          <w:fldChar w:fldCharType="end"/>
        </w:r>
      </w:hyperlink>
    </w:p>
    <w:p w14:paraId="7347668E" w14:textId="00069E92" w:rsidR="00725C3A" w:rsidRDefault="00450820">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1927356" w:history="1">
        <w:r w:rsidR="00725C3A" w:rsidRPr="00627AAC">
          <w:rPr>
            <w:rStyle w:val="Hyperlink"/>
            <w:noProof/>
          </w:rPr>
          <w:t>7.</w:t>
        </w:r>
        <w:r w:rsidR="00725C3A">
          <w:rPr>
            <w:rFonts w:asciiTheme="minorHAnsi" w:eastAsiaTheme="minorEastAsia" w:hAnsiTheme="minorHAnsi"/>
            <w:b w:val="0"/>
            <w:noProof/>
            <w:color w:val="auto"/>
            <w:sz w:val="22"/>
            <w:lang w:val="en-AU" w:eastAsia="en-AU"/>
          </w:rPr>
          <w:tab/>
        </w:r>
        <w:r w:rsidR="00725C3A" w:rsidRPr="00627AAC">
          <w:rPr>
            <w:rStyle w:val="Hyperlink"/>
            <w:noProof/>
          </w:rPr>
          <w:t>Aged care data requirements</w:t>
        </w:r>
        <w:r w:rsidR="00725C3A">
          <w:rPr>
            <w:noProof/>
            <w:webHidden/>
          </w:rPr>
          <w:tab/>
        </w:r>
        <w:r w:rsidR="00725C3A">
          <w:rPr>
            <w:noProof/>
            <w:webHidden/>
          </w:rPr>
          <w:fldChar w:fldCharType="begin"/>
        </w:r>
        <w:r w:rsidR="00725C3A">
          <w:rPr>
            <w:noProof/>
            <w:webHidden/>
          </w:rPr>
          <w:instrText xml:space="preserve"> PAGEREF _Toc121927356 \h </w:instrText>
        </w:r>
        <w:r w:rsidR="00725C3A">
          <w:rPr>
            <w:noProof/>
            <w:webHidden/>
          </w:rPr>
        </w:r>
        <w:r w:rsidR="00725C3A">
          <w:rPr>
            <w:noProof/>
            <w:webHidden/>
          </w:rPr>
          <w:fldChar w:fldCharType="separate"/>
        </w:r>
        <w:r w:rsidR="00725C3A">
          <w:rPr>
            <w:noProof/>
            <w:webHidden/>
          </w:rPr>
          <w:t>25</w:t>
        </w:r>
        <w:r w:rsidR="00725C3A">
          <w:rPr>
            <w:noProof/>
            <w:webHidden/>
          </w:rPr>
          <w:fldChar w:fldCharType="end"/>
        </w:r>
      </w:hyperlink>
    </w:p>
    <w:p w14:paraId="15363D71" w14:textId="23A5E17F" w:rsidR="00725C3A" w:rsidRDefault="00450820">
      <w:pPr>
        <w:pStyle w:val="TOC1"/>
        <w:tabs>
          <w:tab w:val="right" w:leader="dot" w:pos="9736"/>
        </w:tabs>
        <w:rPr>
          <w:rFonts w:asciiTheme="minorHAnsi" w:eastAsiaTheme="minorEastAsia" w:hAnsiTheme="minorHAnsi"/>
          <w:b w:val="0"/>
          <w:noProof/>
          <w:color w:val="auto"/>
          <w:sz w:val="22"/>
          <w:lang w:val="en-AU" w:eastAsia="en-AU"/>
        </w:rPr>
      </w:pPr>
      <w:hyperlink w:anchor="_Toc121927357" w:history="1">
        <w:r w:rsidR="00725C3A" w:rsidRPr="00627AAC">
          <w:rPr>
            <w:rStyle w:val="Hyperlink"/>
            <w:noProof/>
          </w:rPr>
          <w:t>Appendix A – IHACPA and the Administrator</w:t>
        </w:r>
        <w:r w:rsidR="00725C3A">
          <w:rPr>
            <w:noProof/>
            <w:webHidden/>
          </w:rPr>
          <w:tab/>
        </w:r>
        <w:r w:rsidR="00725C3A">
          <w:rPr>
            <w:noProof/>
            <w:webHidden/>
          </w:rPr>
          <w:fldChar w:fldCharType="begin"/>
        </w:r>
        <w:r w:rsidR="00725C3A">
          <w:rPr>
            <w:noProof/>
            <w:webHidden/>
          </w:rPr>
          <w:instrText xml:space="preserve"> PAGEREF _Toc121927357 \h </w:instrText>
        </w:r>
        <w:r w:rsidR="00725C3A">
          <w:rPr>
            <w:noProof/>
            <w:webHidden/>
          </w:rPr>
        </w:r>
        <w:r w:rsidR="00725C3A">
          <w:rPr>
            <w:noProof/>
            <w:webHidden/>
          </w:rPr>
          <w:fldChar w:fldCharType="separate"/>
        </w:r>
        <w:r w:rsidR="00725C3A">
          <w:rPr>
            <w:noProof/>
            <w:webHidden/>
          </w:rPr>
          <w:t>27</w:t>
        </w:r>
        <w:r w:rsidR="00725C3A">
          <w:rPr>
            <w:noProof/>
            <w:webHidden/>
          </w:rPr>
          <w:fldChar w:fldCharType="end"/>
        </w:r>
      </w:hyperlink>
    </w:p>
    <w:p w14:paraId="06041AB6" w14:textId="2DC89310" w:rsidR="00723269" w:rsidRPr="002D2560" w:rsidRDefault="00725C3A" w:rsidP="00723269">
      <w:pPr>
        <w:rPr>
          <w:lang w:val="en-AU"/>
        </w:rPr>
      </w:pPr>
      <w:r>
        <w:rPr>
          <w:b/>
          <w:lang w:val="en-AU"/>
        </w:rPr>
        <w:fldChar w:fldCharType="end"/>
      </w:r>
    </w:p>
    <w:p w14:paraId="03E9E655" w14:textId="77777777" w:rsidR="00723269" w:rsidRPr="002D2560" w:rsidRDefault="00723269">
      <w:pPr>
        <w:spacing w:line="259" w:lineRule="auto"/>
        <w:rPr>
          <w:rFonts w:eastAsiaTheme="majorEastAsia" w:cstheme="majorBidi"/>
          <w:b/>
          <w:sz w:val="72"/>
          <w:szCs w:val="32"/>
          <w:lang w:val="en-AU"/>
        </w:rPr>
      </w:pPr>
      <w:r w:rsidRPr="002D2560">
        <w:rPr>
          <w:lang w:val="en-AU"/>
        </w:rPr>
        <w:br w:type="page"/>
      </w:r>
    </w:p>
    <w:p w14:paraId="7E24FFFB" w14:textId="0EE34AF3" w:rsidR="00723269" w:rsidRPr="002D2560" w:rsidRDefault="00723269" w:rsidP="00271FC1">
      <w:pPr>
        <w:pStyle w:val="Heading1"/>
        <w:numPr>
          <w:ilvl w:val="0"/>
          <w:numId w:val="0"/>
        </w:numPr>
        <w:ind w:left="993" w:hanging="993"/>
      </w:pPr>
      <w:bookmarkStart w:id="8" w:name="_Toc121927349"/>
      <w:r w:rsidRPr="002D2560">
        <w:lastRenderedPageBreak/>
        <w:t>Glossary</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468"/>
      </w:tblGrid>
      <w:tr w:rsidR="00271FC1" w:rsidRPr="002D2560" w14:paraId="02970A7B" w14:textId="77777777" w:rsidTr="006D0BA2">
        <w:tc>
          <w:tcPr>
            <w:tcW w:w="2268" w:type="dxa"/>
          </w:tcPr>
          <w:p w14:paraId="3784DEC2" w14:textId="1CD1DB2D" w:rsidR="00271FC1" w:rsidRPr="002D2560" w:rsidRDefault="00271FC1" w:rsidP="00271FC1">
            <w:pPr>
              <w:spacing w:before="60" w:after="60"/>
              <w:rPr>
                <w:b/>
                <w:bCs/>
                <w:lang w:val="en-AU"/>
              </w:rPr>
            </w:pPr>
            <w:r w:rsidRPr="002D2560">
              <w:rPr>
                <w:b/>
                <w:bCs/>
                <w:lang w:val="en-AU"/>
              </w:rPr>
              <w:t>ABF</w:t>
            </w:r>
          </w:p>
        </w:tc>
        <w:tc>
          <w:tcPr>
            <w:tcW w:w="7468" w:type="dxa"/>
          </w:tcPr>
          <w:p w14:paraId="7F628BB8" w14:textId="39D1FF8D" w:rsidR="00271FC1" w:rsidRPr="002D2560" w:rsidRDefault="00271FC1" w:rsidP="00271FC1">
            <w:pPr>
              <w:spacing w:before="60" w:after="60"/>
              <w:rPr>
                <w:lang w:val="en-AU"/>
              </w:rPr>
            </w:pPr>
            <w:r w:rsidRPr="002D2560">
              <w:rPr>
                <w:lang w:val="en-AU"/>
              </w:rPr>
              <w:t>Activity based funding</w:t>
            </w:r>
          </w:p>
        </w:tc>
      </w:tr>
      <w:tr w:rsidR="00B33F98" w:rsidRPr="002D2560" w14:paraId="7F708EEC" w14:textId="77777777" w:rsidTr="006D0BA2">
        <w:tc>
          <w:tcPr>
            <w:tcW w:w="2268" w:type="dxa"/>
          </w:tcPr>
          <w:p w14:paraId="5FC81503" w14:textId="0327AFAB" w:rsidR="00B33F98" w:rsidRPr="002D2560" w:rsidRDefault="00B33F98" w:rsidP="00271FC1">
            <w:pPr>
              <w:spacing w:before="60" w:after="60"/>
              <w:rPr>
                <w:b/>
                <w:bCs/>
                <w:lang w:val="en-AU"/>
              </w:rPr>
            </w:pPr>
            <w:r w:rsidRPr="002D2560">
              <w:rPr>
                <w:b/>
                <w:bCs/>
                <w:lang w:val="en-AU"/>
              </w:rPr>
              <w:t>ACFI</w:t>
            </w:r>
          </w:p>
        </w:tc>
        <w:tc>
          <w:tcPr>
            <w:tcW w:w="7468" w:type="dxa"/>
          </w:tcPr>
          <w:p w14:paraId="19DAF187" w14:textId="2951C8BC" w:rsidR="00B33F98" w:rsidRPr="002D2560" w:rsidRDefault="00B33F98" w:rsidP="00271FC1">
            <w:pPr>
              <w:spacing w:before="60" w:after="60"/>
              <w:rPr>
                <w:lang w:val="en-AU"/>
              </w:rPr>
            </w:pPr>
            <w:r w:rsidRPr="002D2560">
              <w:rPr>
                <w:lang w:val="en-AU"/>
              </w:rPr>
              <w:t>Aged Care Funding Instrument</w:t>
            </w:r>
          </w:p>
        </w:tc>
      </w:tr>
      <w:tr w:rsidR="00B33F98" w:rsidRPr="002D2560" w14:paraId="505A4846" w14:textId="77777777" w:rsidTr="006D0BA2">
        <w:tc>
          <w:tcPr>
            <w:tcW w:w="2268" w:type="dxa"/>
          </w:tcPr>
          <w:p w14:paraId="254475DA" w14:textId="32DC7F95" w:rsidR="00B33F98" w:rsidRPr="002D2560" w:rsidRDefault="00B33F98" w:rsidP="00271FC1">
            <w:pPr>
              <w:spacing w:before="60" w:after="60"/>
              <w:rPr>
                <w:b/>
                <w:bCs/>
                <w:lang w:val="en-AU"/>
              </w:rPr>
            </w:pPr>
            <w:r w:rsidRPr="002D2560">
              <w:rPr>
                <w:b/>
                <w:bCs/>
                <w:lang w:val="en-AU"/>
              </w:rPr>
              <w:t>ACFR</w:t>
            </w:r>
          </w:p>
        </w:tc>
        <w:tc>
          <w:tcPr>
            <w:tcW w:w="7468" w:type="dxa"/>
          </w:tcPr>
          <w:p w14:paraId="4E69EA9C" w14:textId="0A8EFEB6" w:rsidR="00B33F98" w:rsidRPr="002D2560" w:rsidRDefault="00B33F98" w:rsidP="00271FC1">
            <w:pPr>
              <w:spacing w:before="60" w:after="60"/>
              <w:rPr>
                <w:lang w:val="en-AU"/>
              </w:rPr>
            </w:pPr>
            <w:r w:rsidRPr="002D2560">
              <w:rPr>
                <w:lang w:val="en-AU"/>
              </w:rPr>
              <w:t>Aged Care Financial Report</w:t>
            </w:r>
          </w:p>
        </w:tc>
      </w:tr>
      <w:tr w:rsidR="006D0BA2" w:rsidRPr="002D2560" w14:paraId="6B0E1575" w14:textId="77777777" w:rsidTr="006D0BA2">
        <w:tc>
          <w:tcPr>
            <w:tcW w:w="2268" w:type="dxa"/>
          </w:tcPr>
          <w:p w14:paraId="23E5FF10" w14:textId="389B9CF3" w:rsidR="006D0BA2" w:rsidRPr="002D2560" w:rsidRDefault="006D0BA2" w:rsidP="00271FC1">
            <w:pPr>
              <w:spacing w:before="60" w:after="60"/>
              <w:rPr>
                <w:b/>
                <w:bCs/>
                <w:lang w:val="en-AU"/>
              </w:rPr>
            </w:pPr>
            <w:r w:rsidRPr="002D2560">
              <w:rPr>
                <w:b/>
                <w:bCs/>
                <w:lang w:val="en-AU"/>
              </w:rPr>
              <w:t>AECC</w:t>
            </w:r>
          </w:p>
        </w:tc>
        <w:tc>
          <w:tcPr>
            <w:tcW w:w="7468" w:type="dxa"/>
          </w:tcPr>
          <w:p w14:paraId="4976BBC3" w14:textId="76242C53" w:rsidR="006D0BA2" w:rsidRPr="002D2560" w:rsidRDefault="006D0BA2" w:rsidP="00271FC1">
            <w:pPr>
              <w:spacing w:before="60" w:after="60"/>
              <w:rPr>
                <w:lang w:val="en-AU"/>
              </w:rPr>
            </w:pPr>
            <w:r w:rsidRPr="002D2560">
              <w:rPr>
                <w:lang w:val="en-AU"/>
              </w:rPr>
              <w:t>Australian Emergency Care Classification</w:t>
            </w:r>
          </w:p>
        </w:tc>
      </w:tr>
      <w:tr w:rsidR="00271FC1" w:rsidRPr="002D2560" w14:paraId="5A072E72" w14:textId="77777777" w:rsidTr="006D0BA2">
        <w:tc>
          <w:tcPr>
            <w:tcW w:w="2268" w:type="dxa"/>
          </w:tcPr>
          <w:p w14:paraId="2942BE5D" w14:textId="55772E2A" w:rsidR="00271FC1" w:rsidRPr="002D2560" w:rsidRDefault="00271FC1" w:rsidP="00271FC1">
            <w:pPr>
              <w:spacing w:before="60" w:after="60"/>
              <w:rPr>
                <w:b/>
                <w:bCs/>
                <w:lang w:val="en-AU"/>
              </w:rPr>
            </w:pPr>
            <w:r w:rsidRPr="002D2560">
              <w:rPr>
                <w:b/>
                <w:bCs/>
                <w:lang w:val="en-AU"/>
              </w:rPr>
              <w:t>AIHW</w:t>
            </w:r>
          </w:p>
        </w:tc>
        <w:tc>
          <w:tcPr>
            <w:tcW w:w="7468" w:type="dxa"/>
          </w:tcPr>
          <w:p w14:paraId="008DC690" w14:textId="5832D3D4" w:rsidR="00271FC1" w:rsidRPr="002D2560" w:rsidRDefault="00271FC1" w:rsidP="00271FC1">
            <w:pPr>
              <w:spacing w:before="60" w:after="60"/>
              <w:rPr>
                <w:lang w:val="en-AU"/>
              </w:rPr>
            </w:pPr>
            <w:r w:rsidRPr="002D2560">
              <w:rPr>
                <w:lang w:val="en-AU"/>
              </w:rPr>
              <w:t>Australian Institute of Health and Welfare</w:t>
            </w:r>
          </w:p>
        </w:tc>
      </w:tr>
      <w:tr w:rsidR="00271FC1" w:rsidRPr="002D2560" w14:paraId="465630E3" w14:textId="77777777" w:rsidTr="006D0BA2">
        <w:tc>
          <w:tcPr>
            <w:tcW w:w="2268" w:type="dxa"/>
          </w:tcPr>
          <w:p w14:paraId="608DA4BA" w14:textId="30F54C4D" w:rsidR="00271FC1" w:rsidRPr="002D2560" w:rsidRDefault="00271FC1" w:rsidP="00271FC1">
            <w:pPr>
              <w:spacing w:before="60" w:after="60"/>
              <w:rPr>
                <w:b/>
                <w:bCs/>
                <w:lang w:val="en-AU"/>
              </w:rPr>
            </w:pPr>
            <w:r w:rsidRPr="002D2560">
              <w:rPr>
                <w:b/>
                <w:bCs/>
                <w:lang w:val="en-AU"/>
              </w:rPr>
              <w:t>AMHCC</w:t>
            </w:r>
          </w:p>
        </w:tc>
        <w:tc>
          <w:tcPr>
            <w:tcW w:w="7468" w:type="dxa"/>
          </w:tcPr>
          <w:p w14:paraId="34F56CA8" w14:textId="4D7CE91C" w:rsidR="00271FC1" w:rsidRPr="002D2560" w:rsidRDefault="00271FC1" w:rsidP="00271FC1">
            <w:pPr>
              <w:spacing w:before="60" w:after="60"/>
              <w:rPr>
                <w:lang w:val="en-AU"/>
              </w:rPr>
            </w:pPr>
            <w:r w:rsidRPr="002D2560">
              <w:rPr>
                <w:lang w:val="en-AU"/>
              </w:rPr>
              <w:t>Australian Mental Health Care Classification</w:t>
            </w:r>
          </w:p>
        </w:tc>
      </w:tr>
      <w:tr w:rsidR="005E330F" w:rsidRPr="002D2560" w14:paraId="5A2EF8B8" w14:textId="77777777" w:rsidTr="006D0BA2">
        <w:tc>
          <w:tcPr>
            <w:tcW w:w="2268" w:type="dxa"/>
          </w:tcPr>
          <w:p w14:paraId="1C5EDB0F" w14:textId="0F865047" w:rsidR="005E330F" w:rsidRPr="002D2560" w:rsidRDefault="005E330F" w:rsidP="00271FC1">
            <w:pPr>
              <w:spacing w:before="60" w:after="60"/>
              <w:rPr>
                <w:b/>
                <w:bCs/>
                <w:lang w:val="en-AU"/>
              </w:rPr>
            </w:pPr>
            <w:r w:rsidRPr="002D2560">
              <w:rPr>
                <w:b/>
                <w:bCs/>
                <w:lang w:val="en-AU"/>
              </w:rPr>
              <w:t>AN-ACC</w:t>
            </w:r>
          </w:p>
        </w:tc>
        <w:tc>
          <w:tcPr>
            <w:tcW w:w="7468" w:type="dxa"/>
          </w:tcPr>
          <w:p w14:paraId="7E067E7A" w14:textId="606BD9B4" w:rsidR="005E330F" w:rsidRPr="002D2560" w:rsidRDefault="005E330F" w:rsidP="00271FC1">
            <w:pPr>
              <w:spacing w:before="60" w:after="60"/>
              <w:rPr>
                <w:lang w:val="en-AU"/>
              </w:rPr>
            </w:pPr>
            <w:r w:rsidRPr="002D2560">
              <w:rPr>
                <w:lang w:val="en-AU"/>
              </w:rPr>
              <w:t>Australian National Aged Care Classification</w:t>
            </w:r>
          </w:p>
        </w:tc>
      </w:tr>
      <w:tr w:rsidR="00271FC1" w:rsidRPr="002D2560" w14:paraId="145C915F" w14:textId="77777777" w:rsidTr="006D0BA2">
        <w:tc>
          <w:tcPr>
            <w:tcW w:w="2268" w:type="dxa"/>
          </w:tcPr>
          <w:p w14:paraId="739E55B8" w14:textId="4C07A76B" w:rsidR="00271FC1" w:rsidRPr="002D2560" w:rsidRDefault="00271FC1" w:rsidP="00271FC1">
            <w:pPr>
              <w:spacing w:before="60" w:after="60"/>
              <w:rPr>
                <w:b/>
                <w:bCs/>
                <w:lang w:val="en-AU"/>
              </w:rPr>
            </w:pPr>
            <w:r w:rsidRPr="002D2560">
              <w:rPr>
                <w:b/>
                <w:bCs/>
                <w:lang w:val="en-AU"/>
              </w:rPr>
              <w:t>AN-SNAP</w:t>
            </w:r>
          </w:p>
        </w:tc>
        <w:tc>
          <w:tcPr>
            <w:tcW w:w="7468" w:type="dxa"/>
          </w:tcPr>
          <w:p w14:paraId="1C4B6B35" w14:textId="6E279650" w:rsidR="00271FC1" w:rsidRPr="002D2560" w:rsidRDefault="00271FC1" w:rsidP="00271FC1">
            <w:pPr>
              <w:spacing w:before="60" w:after="60"/>
              <w:rPr>
                <w:lang w:val="en-AU"/>
              </w:rPr>
            </w:pPr>
            <w:r w:rsidRPr="002D2560">
              <w:rPr>
                <w:lang w:val="en-AU"/>
              </w:rPr>
              <w:t xml:space="preserve">Australian National Subacute and Non-Acute Patient </w:t>
            </w:r>
            <w:r w:rsidR="006D0BA2" w:rsidRPr="002D2560">
              <w:rPr>
                <w:lang w:val="en-AU"/>
              </w:rPr>
              <w:t>C</w:t>
            </w:r>
            <w:r w:rsidRPr="002D2560">
              <w:rPr>
                <w:lang w:val="en-AU"/>
              </w:rPr>
              <w:t>lassification</w:t>
            </w:r>
          </w:p>
        </w:tc>
      </w:tr>
      <w:tr w:rsidR="00271FC1" w:rsidRPr="002D2560" w14:paraId="219B3C2C" w14:textId="77777777" w:rsidTr="006D0BA2">
        <w:tc>
          <w:tcPr>
            <w:tcW w:w="2268" w:type="dxa"/>
          </w:tcPr>
          <w:p w14:paraId="2F82CC4D" w14:textId="3295CD3A" w:rsidR="00271FC1" w:rsidRPr="002D2560" w:rsidRDefault="00271FC1" w:rsidP="00271FC1">
            <w:pPr>
              <w:spacing w:before="60" w:after="60"/>
              <w:rPr>
                <w:b/>
                <w:bCs/>
                <w:lang w:val="en-AU"/>
              </w:rPr>
            </w:pPr>
            <w:r w:rsidRPr="002D2560">
              <w:rPr>
                <w:b/>
                <w:bCs/>
                <w:lang w:val="en-AU"/>
              </w:rPr>
              <w:t>AR-DRG</w:t>
            </w:r>
          </w:p>
        </w:tc>
        <w:tc>
          <w:tcPr>
            <w:tcW w:w="7468" w:type="dxa"/>
          </w:tcPr>
          <w:p w14:paraId="47E46FA1" w14:textId="7FBE6023" w:rsidR="00271FC1" w:rsidRPr="002D2560" w:rsidRDefault="00271FC1" w:rsidP="00271FC1">
            <w:pPr>
              <w:spacing w:before="60" w:after="60"/>
              <w:rPr>
                <w:lang w:val="en-AU"/>
              </w:rPr>
            </w:pPr>
            <w:r w:rsidRPr="002D2560">
              <w:rPr>
                <w:lang w:val="en-AU"/>
              </w:rPr>
              <w:t>Australian Refined Diagnosis Related Groups</w:t>
            </w:r>
          </w:p>
        </w:tc>
      </w:tr>
      <w:tr w:rsidR="008F44BA" w:rsidRPr="002D2560" w14:paraId="36FDC886" w14:textId="77777777" w:rsidTr="006D0BA2">
        <w:tc>
          <w:tcPr>
            <w:tcW w:w="2268" w:type="dxa"/>
          </w:tcPr>
          <w:p w14:paraId="137312A6" w14:textId="3E64E8A4" w:rsidR="008F44BA" w:rsidRPr="002D2560" w:rsidRDefault="008F44BA" w:rsidP="00271FC1">
            <w:pPr>
              <w:spacing w:before="60" w:after="60"/>
              <w:rPr>
                <w:b/>
                <w:bCs/>
                <w:lang w:val="en-AU"/>
              </w:rPr>
            </w:pPr>
            <w:r w:rsidRPr="002D2560">
              <w:rPr>
                <w:b/>
                <w:bCs/>
                <w:lang w:val="en-AU"/>
              </w:rPr>
              <w:t>ATTC</w:t>
            </w:r>
          </w:p>
        </w:tc>
        <w:tc>
          <w:tcPr>
            <w:tcW w:w="7468" w:type="dxa"/>
          </w:tcPr>
          <w:p w14:paraId="409F3695" w14:textId="539D06C5" w:rsidR="008F44BA" w:rsidRPr="002D2560" w:rsidRDefault="008F44BA" w:rsidP="00271FC1">
            <w:pPr>
              <w:spacing w:before="60" w:after="60"/>
              <w:rPr>
                <w:lang w:val="en-AU"/>
              </w:rPr>
            </w:pPr>
            <w:r w:rsidRPr="002D2560">
              <w:rPr>
                <w:lang w:val="en-AU"/>
              </w:rPr>
              <w:t>Australian Teaching and Training Classification</w:t>
            </w:r>
          </w:p>
        </w:tc>
      </w:tr>
      <w:tr w:rsidR="006D0BA2" w:rsidRPr="002D2560" w14:paraId="56EC4969" w14:textId="77777777" w:rsidTr="006D0BA2">
        <w:tc>
          <w:tcPr>
            <w:tcW w:w="2268" w:type="dxa"/>
          </w:tcPr>
          <w:p w14:paraId="3E36942A" w14:textId="684186BD" w:rsidR="006D0BA2" w:rsidRPr="002D2560" w:rsidRDefault="006D0BA2" w:rsidP="00271FC1">
            <w:pPr>
              <w:spacing w:before="60" w:after="60"/>
              <w:rPr>
                <w:b/>
                <w:bCs/>
                <w:lang w:val="en-AU"/>
              </w:rPr>
            </w:pPr>
            <w:r w:rsidRPr="002D2560">
              <w:rPr>
                <w:b/>
                <w:bCs/>
                <w:lang w:val="en-AU"/>
              </w:rPr>
              <w:t>COVID-19</w:t>
            </w:r>
          </w:p>
        </w:tc>
        <w:tc>
          <w:tcPr>
            <w:tcW w:w="7468" w:type="dxa"/>
          </w:tcPr>
          <w:p w14:paraId="4EDEDDB5" w14:textId="72DCE51F" w:rsidR="006D0BA2" w:rsidRPr="002D2560" w:rsidRDefault="006D0BA2" w:rsidP="00271FC1">
            <w:pPr>
              <w:spacing w:before="60" w:after="60"/>
              <w:rPr>
                <w:lang w:val="en-AU"/>
              </w:rPr>
            </w:pPr>
            <w:r w:rsidRPr="002D2560">
              <w:rPr>
                <w:lang w:val="en-AU"/>
              </w:rPr>
              <w:t>Coronavirus disease 2019</w:t>
            </w:r>
          </w:p>
        </w:tc>
      </w:tr>
      <w:tr w:rsidR="005318DB" w:rsidRPr="002D2560" w14:paraId="2DE629B7" w14:textId="77777777" w:rsidTr="006D0BA2">
        <w:tc>
          <w:tcPr>
            <w:tcW w:w="2268" w:type="dxa"/>
          </w:tcPr>
          <w:p w14:paraId="080744B0" w14:textId="0DB6A816" w:rsidR="005318DB" w:rsidRPr="002D2560" w:rsidRDefault="005318DB" w:rsidP="00271FC1">
            <w:pPr>
              <w:spacing w:before="60" w:after="60"/>
              <w:rPr>
                <w:b/>
                <w:bCs/>
                <w:lang w:val="en-AU"/>
              </w:rPr>
            </w:pPr>
            <w:r w:rsidRPr="002D2560">
              <w:rPr>
                <w:b/>
                <w:bCs/>
                <w:lang w:val="en-AU"/>
              </w:rPr>
              <w:t>HCP</w:t>
            </w:r>
          </w:p>
        </w:tc>
        <w:tc>
          <w:tcPr>
            <w:tcW w:w="7468" w:type="dxa"/>
          </w:tcPr>
          <w:p w14:paraId="19E2D3DB" w14:textId="6CC08135" w:rsidR="005318DB" w:rsidRPr="002D2560" w:rsidRDefault="005318DB" w:rsidP="00271FC1">
            <w:pPr>
              <w:spacing w:before="60" w:after="60"/>
              <w:rPr>
                <w:lang w:val="en-AU"/>
              </w:rPr>
            </w:pPr>
            <w:r w:rsidRPr="002D2560">
              <w:rPr>
                <w:lang w:val="en-AU"/>
              </w:rPr>
              <w:t xml:space="preserve">Hospital </w:t>
            </w:r>
            <w:proofErr w:type="spellStart"/>
            <w:r w:rsidRPr="002D2560">
              <w:rPr>
                <w:lang w:val="en-AU"/>
              </w:rPr>
              <w:t>Casemix</w:t>
            </w:r>
            <w:proofErr w:type="spellEnd"/>
            <w:r w:rsidRPr="002D2560">
              <w:rPr>
                <w:lang w:val="en-AU"/>
              </w:rPr>
              <w:t xml:space="preserve"> Protocol</w:t>
            </w:r>
          </w:p>
        </w:tc>
      </w:tr>
      <w:tr w:rsidR="00271FC1" w:rsidRPr="002D2560" w14:paraId="0B979FD0" w14:textId="77777777" w:rsidTr="006D0BA2">
        <w:tc>
          <w:tcPr>
            <w:tcW w:w="2268" w:type="dxa"/>
          </w:tcPr>
          <w:p w14:paraId="5B601ECD" w14:textId="644857EA" w:rsidR="00271FC1" w:rsidRPr="002D2560" w:rsidRDefault="00271FC1" w:rsidP="00271FC1">
            <w:pPr>
              <w:spacing w:before="60" w:after="60"/>
              <w:rPr>
                <w:b/>
                <w:bCs/>
                <w:lang w:val="en-AU"/>
              </w:rPr>
            </w:pPr>
            <w:r w:rsidRPr="002D2560">
              <w:rPr>
                <w:b/>
                <w:bCs/>
                <w:lang w:val="en-AU"/>
              </w:rPr>
              <w:t>ICD-10-AM</w:t>
            </w:r>
          </w:p>
        </w:tc>
        <w:tc>
          <w:tcPr>
            <w:tcW w:w="7468" w:type="dxa"/>
          </w:tcPr>
          <w:p w14:paraId="118A8EDE" w14:textId="1F91ACCB" w:rsidR="00271FC1" w:rsidRPr="002D2560" w:rsidRDefault="00271FC1" w:rsidP="00271FC1">
            <w:pPr>
              <w:spacing w:before="60" w:after="60"/>
              <w:rPr>
                <w:lang w:val="en-AU"/>
              </w:rPr>
            </w:pPr>
            <w:r w:rsidRPr="002D2560">
              <w:rPr>
                <w:lang w:val="en-AU"/>
              </w:rPr>
              <w:t>International Statistical Classification of Diseases and Related Health Problems</w:t>
            </w:r>
            <w:r w:rsidR="006D0BA2" w:rsidRPr="002D2560">
              <w:rPr>
                <w:lang w:val="en-AU"/>
              </w:rPr>
              <w:t>,</w:t>
            </w:r>
            <w:r w:rsidRPr="002D2560">
              <w:rPr>
                <w:lang w:val="en-AU"/>
              </w:rPr>
              <w:t xml:space="preserve"> Tenth Revision</w:t>
            </w:r>
            <w:r w:rsidR="006D0BA2" w:rsidRPr="002D2560">
              <w:rPr>
                <w:lang w:val="en-AU"/>
              </w:rPr>
              <w:t>,</w:t>
            </w:r>
            <w:r w:rsidRPr="002D2560">
              <w:rPr>
                <w:lang w:val="en-AU"/>
              </w:rPr>
              <w:t xml:space="preserve"> Australian Modification</w:t>
            </w:r>
          </w:p>
        </w:tc>
      </w:tr>
      <w:tr w:rsidR="005318DB" w:rsidRPr="002D2560" w14:paraId="227C1EC4" w14:textId="77777777" w:rsidTr="006D0BA2">
        <w:tc>
          <w:tcPr>
            <w:tcW w:w="2268" w:type="dxa"/>
          </w:tcPr>
          <w:p w14:paraId="432F5A2A" w14:textId="1B3B9766" w:rsidR="005318DB" w:rsidRPr="002D2560" w:rsidRDefault="005318DB" w:rsidP="005318DB">
            <w:pPr>
              <w:spacing w:before="60" w:after="60"/>
              <w:rPr>
                <w:b/>
                <w:bCs/>
                <w:lang w:val="en-AU"/>
              </w:rPr>
            </w:pPr>
            <w:r w:rsidRPr="002D2560">
              <w:rPr>
                <w:b/>
                <w:bCs/>
                <w:lang w:val="en-AU"/>
              </w:rPr>
              <w:t>IHACPA</w:t>
            </w:r>
          </w:p>
        </w:tc>
        <w:tc>
          <w:tcPr>
            <w:tcW w:w="7468" w:type="dxa"/>
          </w:tcPr>
          <w:p w14:paraId="0AA2CC16" w14:textId="582BD2E2" w:rsidR="005318DB" w:rsidRPr="002D2560" w:rsidRDefault="005318DB" w:rsidP="005318DB">
            <w:pPr>
              <w:spacing w:before="60" w:after="60"/>
              <w:rPr>
                <w:lang w:val="en-AU"/>
              </w:rPr>
            </w:pPr>
            <w:r w:rsidRPr="002D2560">
              <w:rPr>
                <w:lang w:val="en-AU"/>
              </w:rPr>
              <w:t>Independent Health and Aged Care Pricing Authority</w:t>
            </w:r>
          </w:p>
        </w:tc>
      </w:tr>
      <w:tr w:rsidR="005318DB" w:rsidRPr="002D2560" w14:paraId="25E5F214" w14:textId="77777777" w:rsidTr="006D0BA2">
        <w:tc>
          <w:tcPr>
            <w:tcW w:w="2268" w:type="dxa"/>
          </w:tcPr>
          <w:p w14:paraId="52DA94C6" w14:textId="17CBFD93" w:rsidR="005318DB" w:rsidRPr="002D2560" w:rsidRDefault="005318DB" w:rsidP="005318DB">
            <w:pPr>
              <w:spacing w:before="60" w:after="60"/>
              <w:rPr>
                <w:b/>
                <w:bCs/>
                <w:lang w:val="en-AU"/>
              </w:rPr>
            </w:pPr>
            <w:r w:rsidRPr="002D2560">
              <w:rPr>
                <w:b/>
                <w:bCs/>
                <w:lang w:val="en-AU"/>
              </w:rPr>
              <w:t>IHI</w:t>
            </w:r>
          </w:p>
        </w:tc>
        <w:tc>
          <w:tcPr>
            <w:tcW w:w="7468" w:type="dxa"/>
          </w:tcPr>
          <w:p w14:paraId="268A6232" w14:textId="19374673" w:rsidR="005318DB" w:rsidRPr="002D2560" w:rsidRDefault="005318DB" w:rsidP="005318DB">
            <w:pPr>
              <w:spacing w:before="60" w:after="60"/>
              <w:rPr>
                <w:lang w:val="en-AU"/>
              </w:rPr>
            </w:pPr>
            <w:r w:rsidRPr="002D2560">
              <w:rPr>
                <w:lang w:val="en-AU"/>
              </w:rPr>
              <w:t>Individual Healthcare Identifier</w:t>
            </w:r>
          </w:p>
        </w:tc>
      </w:tr>
      <w:tr w:rsidR="005318DB" w:rsidRPr="002D2560" w14:paraId="3EDB0DD3" w14:textId="77777777" w:rsidTr="006D0BA2">
        <w:tc>
          <w:tcPr>
            <w:tcW w:w="2268" w:type="dxa"/>
          </w:tcPr>
          <w:p w14:paraId="0184C1E9" w14:textId="78966E69" w:rsidR="005318DB" w:rsidRPr="002D2560" w:rsidRDefault="005318DB" w:rsidP="005318DB">
            <w:pPr>
              <w:spacing w:before="60" w:after="60"/>
              <w:rPr>
                <w:b/>
                <w:bCs/>
                <w:lang w:val="en-AU"/>
              </w:rPr>
            </w:pPr>
            <w:r w:rsidRPr="002D2560">
              <w:rPr>
                <w:b/>
                <w:bCs/>
                <w:lang w:val="en-AU"/>
              </w:rPr>
              <w:t>IHPA</w:t>
            </w:r>
          </w:p>
        </w:tc>
        <w:tc>
          <w:tcPr>
            <w:tcW w:w="7468" w:type="dxa"/>
          </w:tcPr>
          <w:p w14:paraId="5D0FB68C" w14:textId="3E16A62C" w:rsidR="005318DB" w:rsidRPr="002D2560" w:rsidRDefault="005318DB" w:rsidP="005318DB">
            <w:pPr>
              <w:spacing w:before="60" w:after="60"/>
              <w:rPr>
                <w:lang w:val="en-AU"/>
              </w:rPr>
            </w:pPr>
            <w:r w:rsidRPr="002D2560">
              <w:rPr>
                <w:lang w:val="en-AU"/>
              </w:rPr>
              <w:t>Independent Hospital Pricing Authority</w:t>
            </w:r>
          </w:p>
        </w:tc>
      </w:tr>
      <w:tr w:rsidR="005318DB" w:rsidRPr="002D2560" w14:paraId="1D9783C6" w14:textId="77777777" w:rsidTr="006D0BA2">
        <w:tc>
          <w:tcPr>
            <w:tcW w:w="2268" w:type="dxa"/>
          </w:tcPr>
          <w:p w14:paraId="74AE2B58" w14:textId="05F1B723" w:rsidR="005318DB" w:rsidRPr="002D2560" w:rsidRDefault="005318DB" w:rsidP="005318DB">
            <w:pPr>
              <w:spacing w:before="60" w:after="60"/>
              <w:rPr>
                <w:b/>
                <w:bCs/>
                <w:lang w:val="en-AU"/>
              </w:rPr>
            </w:pPr>
            <w:r w:rsidRPr="002D2560">
              <w:rPr>
                <w:b/>
                <w:bCs/>
                <w:lang w:val="en-AU"/>
              </w:rPr>
              <w:t>LHN</w:t>
            </w:r>
          </w:p>
        </w:tc>
        <w:tc>
          <w:tcPr>
            <w:tcW w:w="7468" w:type="dxa"/>
          </w:tcPr>
          <w:p w14:paraId="58C1CB0C" w14:textId="0B117BBC" w:rsidR="005318DB" w:rsidRPr="002D2560" w:rsidRDefault="005318DB" w:rsidP="005318DB">
            <w:pPr>
              <w:spacing w:before="60" w:after="60"/>
              <w:rPr>
                <w:lang w:val="en-AU"/>
              </w:rPr>
            </w:pPr>
            <w:r w:rsidRPr="002D2560">
              <w:rPr>
                <w:lang w:val="en-AU"/>
              </w:rPr>
              <w:t>Local hospital network</w:t>
            </w:r>
          </w:p>
        </w:tc>
      </w:tr>
      <w:tr w:rsidR="00D2543C" w:rsidRPr="002D2560" w14:paraId="5D599087" w14:textId="77777777" w:rsidTr="006D0BA2">
        <w:tc>
          <w:tcPr>
            <w:tcW w:w="2268" w:type="dxa"/>
          </w:tcPr>
          <w:p w14:paraId="30BF4930" w14:textId="770D1C38" w:rsidR="00D2543C" w:rsidRPr="002D2560" w:rsidRDefault="00D2543C" w:rsidP="005318DB">
            <w:pPr>
              <w:spacing w:before="60" w:after="60"/>
              <w:rPr>
                <w:b/>
                <w:bCs/>
                <w:lang w:val="en-AU"/>
              </w:rPr>
            </w:pPr>
            <w:r w:rsidRPr="002D2560">
              <w:rPr>
                <w:b/>
                <w:bCs/>
                <w:lang w:val="en-AU"/>
              </w:rPr>
              <w:t>MBS</w:t>
            </w:r>
          </w:p>
        </w:tc>
        <w:tc>
          <w:tcPr>
            <w:tcW w:w="7468" w:type="dxa"/>
          </w:tcPr>
          <w:p w14:paraId="35677754" w14:textId="51C0D4E7" w:rsidR="00D2543C" w:rsidRPr="002D2560" w:rsidRDefault="00D2543C" w:rsidP="005318DB">
            <w:pPr>
              <w:spacing w:before="60" w:after="60"/>
              <w:rPr>
                <w:lang w:val="en-AU"/>
              </w:rPr>
            </w:pPr>
            <w:r w:rsidRPr="002D2560">
              <w:rPr>
                <w:lang w:val="en-AU"/>
              </w:rPr>
              <w:t>Medicare Benefits Schedule</w:t>
            </w:r>
          </w:p>
        </w:tc>
      </w:tr>
      <w:tr w:rsidR="005318DB" w:rsidRPr="002D2560" w14:paraId="3FDAE053" w14:textId="77777777" w:rsidTr="006D0BA2">
        <w:tc>
          <w:tcPr>
            <w:tcW w:w="2268" w:type="dxa"/>
          </w:tcPr>
          <w:p w14:paraId="58A6F26F" w14:textId="38C48E66" w:rsidR="005318DB" w:rsidRPr="002D2560" w:rsidRDefault="005318DB" w:rsidP="005318DB">
            <w:pPr>
              <w:spacing w:before="60" w:after="60"/>
              <w:rPr>
                <w:b/>
                <w:bCs/>
                <w:lang w:val="en-AU"/>
              </w:rPr>
            </w:pPr>
            <w:r w:rsidRPr="002D2560">
              <w:rPr>
                <w:b/>
                <w:bCs/>
                <w:lang w:val="en-AU"/>
              </w:rPr>
              <w:t>MET</w:t>
            </w:r>
            <w:r w:rsidR="00641DBF" w:rsidRPr="002D2560">
              <w:rPr>
                <w:b/>
                <w:bCs/>
                <w:lang w:val="en-AU"/>
              </w:rPr>
              <w:t>E</w:t>
            </w:r>
            <w:r w:rsidRPr="002D2560">
              <w:rPr>
                <w:b/>
                <w:bCs/>
                <w:lang w:val="en-AU"/>
              </w:rPr>
              <w:t>OR</w:t>
            </w:r>
          </w:p>
        </w:tc>
        <w:tc>
          <w:tcPr>
            <w:tcW w:w="7468" w:type="dxa"/>
          </w:tcPr>
          <w:p w14:paraId="17AF6C4F" w14:textId="6797B43F" w:rsidR="005318DB" w:rsidRPr="002D2560" w:rsidRDefault="005318DB" w:rsidP="005318DB">
            <w:pPr>
              <w:spacing w:before="60" w:after="60"/>
              <w:rPr>
                <w:lang w:val="en-AU"/>
              </w:rPr>
            </w:pPr>
            <w:r w:rsidRPr="002D2560">
              <w:rPr>
                <w:lang w:val="en-AU"/>
              </w:rPr>
              <w:t>Australian Institute of Health and Welfare’s Metadata Online Registry</w:t>
            </w:r>
          </w:p>
        </w:tc>
      </w:tr>
      <w:tr w:rsidR="005318DB" w:rsidRPr="002D2560" w14:paraId="7266993E" w14:textId="77777777" w:rsidTr="006D0BA2">
        <w:tc>
          <w:tcPr>
            <w:tcW w:w="2268" w:type="dxa"/>
          </w:tcPr>
          <w:p w14:paraId="4ADCB0E2" w14:textId="69DE3827" w:rsidR="005318DB" w:rsidRPr="002D2560" w:rsidRDefault="005318DB" w:rsidP="005318DB">
            <w:pPr>
              <w:spacing w:before="60" w:after="60"/>
              <w:rPr>
                <w:b/>
                <w:bCs/>
                <w:lang w:val="en-AU"/>
              </w:rPr>
            </w:pPr>
            <w:r w:rsidRPr="002D2560">
              <w:rPr>
                <w:b/>
                <w:bCs/>
                <w:lang w:val="en-AU"/>
              </w:rPr>
              <w:t>NBEDS</w:t>
            </w:r>
          </w:p>
        </w:tc>
        <w:tc>
          <w:tcPr>
            <w:tcW w:w="7468" w:type="dxa"/>
          </w:tcPr>
          <w:p w14:paraId="0F7ABB0D" w14:textId="2AC23BC7" w:rsidR="005318DB" w:rsidRPr="002D2560" w:rsidRDefault="005318DB" w:rsidP="005318DB">
            <w:pPr>
              <w:spacing w:before="60" w:after="60"/>
              <w:rPr>
                <w:lang w:val="en-AU"/>
              </w:rPr>
            </w:pPr>
            <w:r w:rsidRPr="002D2560">
              <w:rPr>
                <w:lang w:val="en-AU"/>
              </w:rPr>
              <w:t>National Best Endeavours Data Set</w:t>
            </w:r>
          </w:p>
        </w:tc>
      </w:tr>
      <w:tr w:rsidR="005318DB" w:rsidRPr="002D2560" w14:paraId="45DFE88C" w14:textId="77777777" w:rsidTr="006D0BA2">
        <w:tc>
          <w:tcPr>
            <w:tcW w:w="2268" w:type="dxa"/>
          </w:tcPr>
          <w:p w14:paraId="6511D037" w14:textId="52DEE754" w:rsidR="005318DB" w:rsidRPr="002D2560" w:rsidRDefault="005318DB" w:rsidP="005318DB">
            <w:pPr>
              <w:spacing w:before="60" w:after="60"/>
              <w:rPr>
                <w:b/>
                <w:bCs/>
                <w:lang w:val="en-AU"/>
              </w:rPr>
            </w:pPr>
            <w:r w:rsidRPr="002D2560">
              <w:rPr>
                <w:b/>
                <w:bCs/>
                <w:lang w:val="en-AU"/>
              </w:rPr>
              <w:t xml:space="preserve">NEC </w:t>
            </w:r>
          </w:p>
        </w:tc>
        <w:tc>
          <w:tcPr>
            <w:tcW w:w="7468" w:type="dxa"/>
          </w:tcPr>
          <w:p w14:paraId="776DAF02" w14:textId="4C5D5F53" w:rsidR="005318DB" w:rsidRPr="002D2560" w:rsidRDefault="005318DB" w:rsidP="005318DB">
            <w:pPr>
              <w:spacing w:before="60" w:after="60"/>
              <w:rPr>
                <w:lang w:val="en-AU"/>
              </w:rPr>
            </w:pPr>
            <w:r w:rsidRPr="002D2560">
              <w:rPr>
                <w:lang w:val="en-AU"/>
              </w:rPr>
              <w:t>National efficient cost</w:t>
            </w:r>
          </w:p>
        </w:tc>
      </w:tr>
      <w:tr w:rsidR="005318DB" w:rsidRPr="002D2560" w14:paraId="3CE3ECAB" w14:textId="77777777" w:rsidTr="006D0BA2">
        <w:tc>
          <w:tcPr>
            <w:tcW w:w="2268" w:type="dxa"/>
          </w:tcPr>
          <w:p w14:paraId="58314F93" w14:textId="351EDCE1" w:rsidR="005318DB" w:rsidRPr="002D2560" w:rsidRDefault="005318DB" w:rsidP="005318DB">
            <w:pPr>
              <w:spacing w:before="60" w:after="60"/>
              <w:rPr>
                <w:b/>
                <w:bCs/>
                <w:lang w:val="en-AU"/>
              </w:rPr>
            </w:pPr>
            <w:r w:rsidRPr="002D2560">
              <w:rPr>
                <w:b/>
                <w:bCs/>
                <w:lang w:val="en-AU"/>
              </w:rPr>
              <w:t>NEP</w:t>
            </w:r>
          </w:p>
        </w:tc>
        <w:tc>
          <w:tcPr>
            <w:tcW w:w="7468" w:type="dxa"/>
          </w:tcPr>
          <w:p w14:paraId="76C69F8D" w14:textId="7C0C6286" w:rsidR="005318DB" w:rsidRPr="002D2560" w:rsidRDefault="005318DB" w:rsidP="005318DB">
            <w:pPr>
              <w:spacing w:before="60" w:after="60"/>
              <w:rPr>
                <w:lang w:val="en-AU"/>
              </w:rPr>
            </w:pPr>
            <w:r w:rsidRPr="002D2560">
              <w:rPr>
                <w:lang w:val="en-AU"/>
              </w:rPr>
              <w:t>National efficient price</w:t>
            </w:r>
          </w:p>
        </w:tc>
      </w:tr>
      <w:tr w:rsidR="005318DB" w:rsidRPr="002D2560" w14:paraId="4BFDB9EC" w14:textId="77777777" w:rsidTr="006D0BA2">
        <w:tc>
          <w:tcPr>
            <w:tcW w:w="2268" w:type="dxa"/>
          </w:tcPr>
          <w:p w14:paraId="0EFB2D1F" w14:textId="022CB721" w:rsidR="005318DB" w:rsidRPr="002D2560" w:rsidRDefault="005318DB" w:rsidP="005318DB">
            <w:pPr>
              <w:spacing w:before="60" w:after="60"/>
              <w:rPr>
                <w:b/>
                <w:bCs/>
                <w:lang w:val="en-AU"/>
              </w:rPr>
            </w:pPr>
            <w:r w:rsidRPr="002D2560">
              <w:rPr>
                <w:b/>
                <w:bCs/>
                <w:lang w:val="en-AU"/>
              </w:rPr>
              <w:t>NHCDC</w:t>
            </w:r>
          </w:p>
        </w:tc>
        <w:tc>
          <w:tcPr>
            <w:tcW w:w="7468" w:type="dxa"/>
          </w:tcPr>
          <w:p w14:paraId="54FEBF4C" w14:textId="087A17A0" w:rsidR="005318DB" w:rsidRPr="002D2560" w:rsidRDefault="005318DB" w:rsidP="005318DB">
            <w:pPr>
              <w:spacing w:before="60" w:after="60"/>
              <w:rPr>
                <w:lang w:val="en-AU"/>
              </w:rPr>
            </w:pPr>
            <w:r w:rsidRPr="002D2560">
              <w:rPr>
                <w:lang w:val="en-AU"/>
              </w:rPr>
              <w:t>National Hospital Cost Data Collection</w:t>
            </w:r>
          </w:p>
        </w:tc>
      </w:tr>
      <w:tr w:rsidR="005318DB" w:rsidRPr="002D2560" w14:paraId="7B9EBAC9" w14:textId="77777777" w:rsidTr="006D0BA2">
        <w:tc>
          <w:tcPr>
            <w:tcW w:w="2268" w:type="dxa"/>
          </w:tcPr>
          <w:p w14:paraId="5FD2817A" w14:textId="4EE9162A" w:rsidR="005318DB" w:rsidRPr="002D2560" w:rsidRDefault="005318DB" w:rsidP="005318DB">
            <w:pPr>
              <w:spacing w:before="60" w:after="60"/>
              <w:rPr>
                <w:b/>
                <w:bCs/>
                <w:lang w:val="en-AU"/>
              </w:rPr>
            </w:pPr>
            <w:r w:rsidRPr="002D2560">
              <w:rPr>
                <w:b/>
                <w:bCs/>
                <w:lang w:val="en-AU"/>
              </w:rPr>
              <w:t>NHDISC</w:t>
            </w:r>
          </w:p>
        </w:tc>
        <w:tc>
          <w:tcPr>
            <w:tcW w:w="7468" w:type="dxa"/>
          </w:tcPr>
          <w:p w14:paraId="29BE10FE" w14:textId="5F042D34" w:rsidR="005318DB" w:rsidRPr="002D2560" w:rsidRDefault="005318DB" w:rsidP="005318DB">
            <w:pPr>
              <w:spacing w:before="60" w:after="60"/>
              <w:rPr>
                <w:lang w:val="en-AU"/>
              </w:rPr>
            </w:pPr>
            <w:r w:rsidRPr="002D2560">
              <w:rPr>
                <w:lang w:val="en-AU"/>
              </w:rPr>
              <w:t>National Health Data and Information Standards Committee</w:t>
            </w:r>
          </w:p>
        </w:tc>
      </w:tr>
      <w:tr w:rsidR="005318DB" w:rsidRPr="002D2560" w14:paraId="3E9C6E9D" w14:textId="77777777" w:rsidTr="006D0BA2">
        <w:tc>
          <w:tcPr>
            <w:tcW w:w="2268" w:type="dxa"/>
          </w:tcPr>
          <w:p w14:paraId="4FD3425A" w14:textId="58484BFC" w:rsidR="005318DB" w:rsidRPr="002D2560" w:rsidRDefault="005318DB" w:rsidP="005318DB">
            <w:pPr>
              <w:spacing w:before="60" w:after="60"/>
              <w:rPr>
                <w:b/>
                <w:bCs/>
                <w:lang w:val="en-AU"/>
              </w:rPr>
            </w:pPr>
            <w:r w:rsidRPr="002D2560">
              <w:rPr>
                <w:b/>
                <w:bCs/>
                <w:lang w:val="en-AU"/>
              </w:rPr>
              <w:t>NHIA</w:t>
            </w:r>
          </w:p>
        </w:tc>
        <w:tc>
          <w:tcPr>
            <w:tcW w:w="7468" w:type="dxa"/>
          </w:tcPr>
          <w:p w14:paraId="76A54D89" w14:textId="5AE68C11" w:rsidR="005318DB" w:rsidRPr="002D2560" w:rsidRDefault="005318DB" w:rsidP="005318DB">
            <w:pPr>
              <w:spacing w:before="60" w:after="60"/>
              <w:rPr>
                <w:lang w:val="en-AU"/>
              </w:rPr>
            </w:pPr>
            <w:r w:rsidRPr="002D2560">
              <w:rPr>
                <w:lang w:val="en-AU"/>
              </w:rPr>
              <w:t>National Health Information Agreement</w:t>
            </w:r>
          </w:p>
        </w:tc>
      </w:tr>
      <w:tr w:rsidR="005318DB" w:rsidRPr="002D2560" w14:paraId="214637DD" w14:textId="77777777" w:rsidTr="006D0BA2">
        <w:tc>
          <w:tcPr>
            <w:tcW w:w="2268" w:type="dxa"/>
          </w:tcPr>
          <w:p w14:paraId="13709B0C" w14:textId="3E46FA49" w:rsidR="005318DB" w:rsidRPr="002D2560" w:rsidRDefault="005318DB" w:rsidP="005318DB">
            <w:pPr>
              <w:spacing w:before="60" w:after="60"/>
              <w:rPr>
                <w:b/>
                <w:bCs/>
                <w:lang w:val="en-AU"/>
              </w:rPr>
            </w:pPr>
            <w:r w:rsidRPr="002D2560">
              <w:rPr>
                <w:b/>
                <w:bCs/>
                <w:lang w:val="en-AU"/>
              </w:rPr>
              <w:t>NHRA</w:t>
            </w:r>
          </w:p>
        </w:tc>
        <w:tc>
          <w:tcPr>
            <w:tcW w:w="7468" w:type="dxa"/>
          </w:tcPr>
          <w:p w14:paraId="61F8CFBC" w14:textId="43FC868E" w:rsidR="005318DB" w:rsidRPr="002D2560" w:rsidRDefault="005318DB" w:rsidP="005318DB">
            <w:pPr>
              <w:spacing w:before="60" w:after="60"/>
              <w:rPr>
                <w:lang w:val="en-AU"/>
              </w:rPr>
            </w:pPr>
            <w:r w:rsidRPr="002D2560">
              <w:rPr>
                <w:lang w:val="en-AU"/>
              </w:rPr>
              <w:t>National Health Reform Agreement</w:t>
            </w:r>
          </w:p>
        </w:tc>
      </w:tr>
      <w:tr w:rsidR="005318DB" w:rsidRPr="002D2560" w14:paraId="5CF75DD6" w14:textId="77777777" w:rsidTr="006D0BA2">
        <w:tc>
          <w:tcPr>
            <w:tcW w:w="2268" w:type="dxa"/>
          </w:tcPr>
          <w:p w14:paraId="1DD9E796" w14:textId="74519DC2" w:rsidR="005318DB" w:rsidRPr="002D2560" w:rsidRDefault="005318DB" w:rsidP="005318DB">
            <w:pPr>
              <w:spacing w:before="60" w:after="60"/>
              <w:rPr>
                <w:b/>
                <w:bCs/>
                <w:lang w:val="en-AU"/>
              </w:rPr>
            </w:pPr>
            <w:r w:rsidRPr="002D2560">
              <w:rPr>
                <w:b/>
                <w:bCs/>
                <w:lang w:val="en-AU"/>
              </w:rPr>
              <w:t>NMDS</w:t>
            </w:r>
          </w:p>
        </w:tc>
        <w:tc>
          <w:tcPr>
            <w:tcW w:w="7468" w:type="dxa"/>
          </w:tcPr>
          <w:p w14:paraId="4B963836" w14:textId="1D252209" w:rsidR="005318DB" w:rsidRPr="002D2560" w:rsidRDefault="005318DB" w:rsidP="005318DB">
            <w:pPr>
              <w:spacing w:before="60" w:after="60"/>
              <w:rPr>
                <w:lang w:val="en-AU"/>
              </w:rPr>
            </w:pPr>
            <w:r w:rsidRPr="002D2560">
              <w:rPr>
                <w:lang w:val="en-AU"/>
              </w:rPr>
              <w:t>National Minimum Data Set</w:t>
            </w:r>
          </w:p>
        </w:tc>
      </w:tr>
      <w:tr w:rsidR="005318DB" w:rsidRPr="002D2560" w14:paraId="72EB382B" w14:textId="77777777" w:rsidTr="006D0BA2">
        <w:tc>
          <w:tcPr>
            <w:tcW w:w="2268" w:type="dxa"/>
          </w:tcPr>
          <w:p w14:paraId="2AF5B035" w14:textId="72335B57" w:rsidR="005318DB" w:rsidRPr="002D2560" w:rsidRDefault="005318DB" w:rsidP="005318DB">
            <w:pPr>
              <w:spacing w:before="60" w:after="60"/>
              <w:rPr>
                <w:b/>
                <w:bCs/>
                <w:lang w:val="en-AU"/>
              </w:rPr>
            </w:pPr>
            <w:r w:rsidRPr="002D2560">
              <w:rPr>
                <w:b/>
                <w:bCs/>
                <w:lang w:val="en-AU"/>
              </w:rPr>
              <w:t>NPA</w:t>
            </w:r>
          </w:p>
        </w:tc>
        <w:tc>
          <w:tcPr>
            <w:tcW w:w="7468" w:type="dxa"/>
          </w:tcPr>
          <w:p w14:paraId="2E75A943" w14:textId="47EC73AC" w:rsidR="005318DB" w:rsidRPr="002D2560" w:rsidRDefault="005318DB" w:rsidP="005318DB">
            <w:pPr>
              <w:spacing w:before="60" w:after="60"/>
              <w:rPr>
                <w:lang w:val="en-AU"/>
              </w:rPr>
            </w:pPr>
            <w:r w:rsidRPr="002D2560">
              <w:rPr>
                <w:lang w:val="en-AU"/>
              </w:rPr>
              <w:t>National Partnership on COVID-19 Response</w:t>
            </w:r>
          </w:p>
        </w:tc>
      </w:tr>
      <w:tr w:rsidR="00D2543C" w:rsidRPr="002D2560" w14:paraId="7311A7FF" w14:textId="77777777" w:rsidTr="006D0BA2">
        <w:tc>
          <w:tcPr>
            <w:tcW w:w="2268" w:type="dxa"/>
          </w:tcPr>
          <w:p w14:paraId="28874D14" w14:textId="4FD4D9E2" w:rsidR="00D2543C" w:rsidRPr="002D2560" w:rsidRDefault="00D2543C" w:rsidP="005318DB">
            <w:pPr>
              <w:spacing w:before="60" w:after="60"/>
              <w:rPr>
                <w:b/>
                <w:bCs/>
                <w:lang w:val="en-AU"/>
              </w:rPr>
            </w:pPr>
            <w:r w:rsidRPr="002D2560">
              <w:rPr>
                <w:b/>
                <w:bCs/>
                <w:lang w:val="en-AU"/>
              </w:rPr>
              <w:t>PHDB</w:t>
            </w:r>
          </w:p>
        </w:tc>
        <w:tc>
          <w:tcPr>
            <w:tcW w:w="7468" w:type="dxa"/>
          </w:tcPr>
          <w:p w14:paraId="69A4D1CD" w14:textId="2DB3D251" w:rsidR="00D2543C" w:rsidRPr="002D2560" w:rsidRDefault="00D2543C" w:rsidP="005318DB">
            <w:pPr>
              <w:spacing w:before="60" w:after="60"/>
              <w:rPr>
                <w:lang w:val="en-AU"/>
              </w:rPr>
            </w:pPr>
            <w:r w:rsidRPr="002D2560">
              <w:rPr>
                <w:lang w:val="en-AU"/>
              </w:rPr>
              <w:t>Private Hospital Data Bureau</w:t>
            </w:r>
          </w:p>
        </w:tc>
      </w:tr>
      <w:tr w:rsidR="005318DB" w:rsidRPr="002D2560" w14:paraId="577D6ED5" w14:textId="77777777" w:rsidTr="006D0BA2">
        <w:tc>
          <w:tcPr>
            <w:tcW w:w="2268" w:type="dxa"/>
          </w:tcPr>
          <w:p w14:paraId="70CA2E95" w14:textId="19516781" w:rsidR="005318DB" w:rsidRPr="002D2560" w:rsidRDefault="005318DB" w:rsidP="005318DB">
            <w:pPr>
              <w:spacing w:before="60" w:after="60"/>
              <w:rPr>
                <w:b/>
                <w:bCs/>
                <w:lang w:val="en-AU"/>
              </w:rPr>
            </w:pPr>
            <w:r w:rsidRPr="002D2560">
              <w:rPr>
                <w:b/>
                <w:bCs/>
                <w:lang w:val="en-AU"/>
              </w:rPr>
              <w:lastRenderedPageBreak/>
              <w:t>SDMS</w:t>
            </w:r>
          </w:p>
        </w:tc>
        <w:tc>
          <w:tcPr>
            <w:tcW w:w="7468" w:type="dxa"/>
          </w:tcPr>
          <w:p w14:paraId="1769F8E0" w14:textId="62FC8F6F" w:rsidR="005318DB" w:rsidRPr="002D2560" w:rsidRDefault="005318DB" w:rsidP="005318DB">
            <w:pPr>
              <w:spacing w:before="60" w:after="60"/>
              <w:rPr>
                <w:lang w:val="en-AU"/>
              </w:rPr>
            </w:pPr>
            <w:r w:rsidRPr="002D2560">
              <w:rPr>
                <w:lang w:val="en-AU"/>
              </w:rPr>
              <w:t>Secure Data Management System</w:t>
            </w:r>
          </w:p>
        </w:tc>
      </w:tr>
      <w:tr w:rsidR="005318DB" w:rsidRPr="002D2560" w14:paraId="7B81B170" w14:textId="77777777" w:rsidTr="006D0BA2">
        <w:tc>
          <w:tcPr>
            <w:tcW w:w="2268" w:type="dxa"/>
          </w:tcPr>
          <w:p w14:paraId="74D35D15" w14:textId="0098E227" w:rsidR="005318DB" w:rsidRPr="002D2560" w:rsidRDefault="005318DB" w:rsidP="005318DB">
            <w:pPr>
              <w:spacing w:before="60" w:after="60"/>
              <w:rPr>
                <w:b/>
                <w:bCs/>
                <w:lang w:val="en-AU"/>
              </w:rPr>
            </w:pPr>
            <w:r w:rsidRPr="002D2560">
              <w:rPr>
                <w:b/>
                <w:bCs/>
                <w:lang w:val="en-AU"/>
              </w:rPr>
              <w:t>The Addendum</w:t>
            </w:r>
          </w:p>
        </w:tc>
        <w:tc>
          <w:tcPr>
            <w:tcW w:w="7468" w:type="dxa"/>
          </w:tcPr>
          <w:p w14:paraId="6BA6DD39" w14:textId="4F71455C" w:rsidR="005318DB" w:rsidRPr="002D2560" w:rsidRDefault="005318DB" w:rsidP="005318DB">
            <w:pPr>
              <w:spacing w:before="60" w:after="60"/>
              <w:rPr>
                <w:lang w:val="en-AU"/>
              </w:rPr>
            </w:pPr>
            <w:r w:rsidRPr="002D2560">
              <w:rPr>
                <w:lang w:val="en-AU"/>
              </w:rPr>
              <w:t>Addendum to National Health Reform Agreement 2020–25</w:t>
            </w:r>
          </w:p>
        </w:tc>
      </w:tr>
      <w:tr w:rsidR="005318DB" w:rsidRPr="002D2560" w14:paraId="3498E92B" w14:textId="77777777" w:rsidTr="006D0BA2">
        <w:tc>
          <w:tcPr>
            <w:tcW w:w="2268" w:type="dxa"/>
          </w:tcPr>
          <w:p w14:paraId="2CF4A8FA" w14:textId="41DD3D04" w:rsidR="005318DB" w:rsidRPr="002D2560" w:rsidRDefault="005318DB" w:rsidP="005318DB">
            <w:pPr>
              <w:spacing w:before="60" w:after="60"/>
              <w:rPr>
                <w:b/>
                <w:bCs/>
                <w:lang w:val="en-AU"/>
              </w:rPr>
            </w:pPr>
            <w:r w:rsidRPr="002D2560">
              <w:rPr>
                <w:b/>
                <w:bCs/>
                <w:lang w:val="en-AU"/>
              </w:rPr>
              <w:t>The Administrator</w:t>
            </w:r>
          </w:p>
        </w:tc>
        <w:tc>
          <w:tcPr>
            <w:tcW w:w="7468" w:type="dxa"/>
          </w:tcPr>
          <w:p w14:paraId="41033F1C" w14:textId="68AC58C3" w:rsidR="005318DB" w:rsidRPr="002D2560" w:rsidRDefault="005318DB" w:rsidP="005318DB">
            <w:pPr>
              <w:spacing w:before="60" w:after="60"/>
              <w:rPr>
                <w:lang w:val="en-AU"/>
              </w:rPr>
            </w:pPr>
            <w:r w:rsidRPr="002D2560">
              <w:rPr>
                <w:lang w:val="en-AU"/>
              </w:rPr>
              <w:t>Administrator of the National Health Funding Pool</w:t>
            </w:r>
          </w:p>
        </w:tc>
      </w:tr>
      <w:tr w:rsidR="005318DB" w:rsidRPr="002D2560" w14:paraId="66176824" w14:textId="77777777" w:rsidTr="006D0BA2">
        <w:tc>
          <w:tcPr>
            <w:tcW w:w="2268" w:type="dxa"/>
          </w:tcPr>
          <w:p w14:paraId="2DCD60EE" w14:textId="78D6BB6D" w:rsidR="005318DB" w:rsidRPr="002D2560" w:rsidRDefault="005318DB" w:rsidP="005318DB">
            <w:pPr>
              <w:spacing w:before="60" w:after="60"/>
              <w:rPr>
                <w:b/>
                <w:bCs/>
                <w:lang w:val="en-AU"/>
              </w:rPr>
            </w:pPr>
            <w:r w:rsidRPr="002D2560">
              <w:rPr>
                <w:b/>
                <w:bCs/>
                <w:lang w:val="en-AU"/>
              </w:rPr>
              <w:t>The NHR Act</w:t>
            </w:r>
          </w:p>
        </w:tc>
        <w:tc>
          <w:tcPr>
            <w:tcW w:w="7468" w:type="dxa"/>
          </w:tcPr>
          <w:p w14:paraId="3B0C68A5" w14:textId="3D0B963F" w:rsidR="005318DB" w:rsidRPr="002D2560" w:rsidRDefault="005318DB" w:rsidP="005318DB">
            <w:pPr>
              <w:spacing w:before="60" w:after="60"/>
              <w:rPr>
                <w:i/>
                <w:iCs/>
                <w:lang w:val="en-AU"/>
              </w:rPr>
            </w:pPr>
            <w:r w:rsidRPr="002D2560">
              <w:rPr>
                <w:i/>
                <w:iCs/>
                <w:lang w:val="en-AU"/>
              </w:rPr>
              <w:t>National Health Reform Act 2011</w:t>
            </w:r>
          </w:p>
        </w:tc>
      </w:tr>
      <w:tr w:rsidR="009A42FC" w:rsidRPr="002D2560" w14:paraId="74420CFA" w14:textId="77777777" w:rsidTr="006D0BA2">
        <w:tc>
          <w:tcPr>
            <w:tcW w:w="2268" w:type="dxa"/>
          </w:tcPr>
          <w:p w14:paraId="5FB4EA24" w14:textId="0A95B560" w:rsidR="009A42FC" w:rsidRPr="002D2560" w:rsidRDefault="009A42FC" w:rsidP="005318DB">
            <w:pPr>
              <w:spacing w:before="60" w:after="60"/>
              <w:rPr>
                <w:b/>
                <w:bCs/>
                <w:lang w:val="en-AU"/>
              </w:rPr>
            </w:pPr>
            <w:r w:rsidRPr="002D2560">
              <w:rPr>
                <w:b/>
                <w:bCs/>
                <w:lang w:val="en-AU"/>
              </w:rPr>
              <w:t>Tier 2</w:t>
            </w:r>
          </w:p>
        </w:tc>
        <w:tc>
          <w:tcPr>
            <w:tcW w:w="7468" w:type="dxa"/>
          </w:tcPr>
          <w:p w14:paraId="3A87512D" w14:textId="7DD636A2" w:rsidR="009A42FC" w:rsidRPr="002D2560" w:rsidRDefault="009A42FC" w:rsidP="005318DB">
            <w:pPr>
              <w:spacing w:before="60" w:after="60"/>
              <w:rPr>
                <w:lang w:val="en-AU"/>
              </w:rPr>
            </w:pPr>
            <w:r w:rsidRPr="002D2560">
              <w:rPr>
                <w:lang w:val="en-AU"/>
              </w:rPr>
              <w:t>Tier 2 Non-Admitted Services Classification</w:t>
            </w:r>
          </w:p>
        </w:tc>
      </w:tr>
      <w:tr w:rsidR="005318DB" w:rsidRPr="002D2560" w14:paraId="17EFC4EE" w14:textId="77777777" w:rsidTr="006D0BA2">
        <w:tc>
          <w:tcPr>
            <w:tcW w:w="2268" w:type="dxa"/>
          </w:tcPr>
          <w:p w14:paraId="2D12D250" w14:textId="78B5F055" w:rsidR="005318DB" w:rsidRPr="002D2560" w:rsidRDefault="005318DB" w:rsidP="005318DB">
            <w:pPr>
              <w:spacing w:before="60" w:after="60"/>
              <w:rPr>
                <w:b/>
                <w:bCs/>
                <w:lang w:val="en-AU"/>
              </w:rPr>
            </w:pPr>
            <w:r w:rsidRPr="002D2560">
              <w:rPr>
                <w:b/>
                <w:bCs/>
                <w:lang w:val="en-AU"/>
              </w:rPr>
              <w:t>UDG</w:t>
            </w:r>
          </w:p>
        </w:tc>
        <w:tc>
          <w:tcPr>
            <w:tcW w:w="7468" w:type="dxa"/>
          </w:tcPr>
          <w:p w14:paraId="461B148A" w14:textId="76D1F518" w:rsidR="005318DB" w:rsidRPr="002D2560" w:rsidRDefault="005318DB" w:rsidP="005318DB">
            <w:pPr>
              <w:spacing w:before="60" w:after="60"/>
              <w:rPr>
                <w:lang w:val="en-AU"/>
              </w:rPr>
            </w:pPr>
            <w:r w:rsidRPr="002D2560">
              <w:rPr>
                <w:lang w:val="en-AU"/>
              </w:rPr>
              <w:t>Urgency Disposition Groups</w:t>
            </w:r>
          </w:p>
        </w:tc>
      </w:tr>
    </w:tbl>
    <w:p w14:paraId="7970F99D" w14:textId="77777777" w:rsidR="00723269" w:rsidRPr="002D2560" w:rsidRDefault="00723269">
      <w:pPr>
        <w:spacing w:line="259" w:lineRule="auto"/>
        <w:rPr>
          <w:rFonts w:eastAsiaTheme="majorEastAsia" w:cstheme="majorBidi"/>
          <w:b/>
          <w:sz w:val="72"/>
          <w:szCs w:val="32"/>
          <w:lang w:val="en-AU"/>
        </w:rPr>
      </w:pPr>
      <w:r w:rsidRPr="002D2560">
        <w:rPr>
          <w:lang w:val="en-AU"/>
        </w:rPr>
        <w:br w:type="page"/>
      </w:r>
    </w:p>
    <w:p w14:paraId="38B1A695" w14:textId="5FFAAE2B" w:rsidR="009721F9" w:rsidRPr="002D2560" w:rsidRDefault="00723269" w:rsidP="00271FC1">
      <w:pPr>
        <w:pStyle w:val="Heading1"/>
      </w:pPr>
      <w:bookmarkStart w:id="9" w:name="_Toc121927350"/>
      <w:r w:rsidRPr="002D2560">
        <w:lastRenderedPageBreak/>
        <w:t>Executive summary</w:t>
      </w:r>
      <w:bookmarkEnd w:id="9"/>
    </w:p>
    <w:p w14:paraId="28741C29" w14:textId="1946E853" w:rsidR="0013544E" w:rsidRPr="002D2560" w:rsidRDefault="0013544E" w:rsidP="0013544E">
      <w:pPr>
        <w:pStyle w:val="Heading2"/>
      </w:pPr>
      <w:r w:rsidRPr="002D2560">
        <w:t>Background</w:t>
      </w:r>
    </w:p>
    <w:p w14:paraId="7B8AD70A" w14:textId="41780C96" w:rsidR="00CA6E08" w:rsidRPr="002D2560" w:rsidRDefault="00271FC1" w:rsidP="00C650F2">
      <w:pPr>
        <w:rPr>
          <w:lang w:val="en-AU"/>
        </w:rPr>
      </w:pPr>
      <w:r w:rsidRPr="002D2560">
        <w:rPr>
          <w:lang w:val="en-AU"/>
        </w:rPr>
        <w:t xml:space="preserve">The Independent Hospital Pricing Authority (IHPA) </w:t>
      </w:r>
      <w:r w:rsidR="0013544E" w:rsidRPr="002D2560">
        <w:rPr>
          <w:lang w:val="en-AU"/>
        </w:rPr>
        <w:t xml:space="preserve">was </w:t>
      </w:r>
      <w:r w:rsidR="007354FF">
        <w:rPr>
          <w:lang w:val="en-AU"/>
        </w:rPr>
        <w:t xml:space="preserve">established as </w:t>
      </w:r>
      <w:r w:rsidRPr="002D2560">
        <w:rPr>
          <w:lang w:val="en-AU"/>
        </w:rPr>
        <w:t xml:space="preserve">an independent government agency through the </w:t>
      </w:r>
      <w:hyperlink r:id="rId19" w:history="1">
        <w:r w:rsidRPr="002D2560">
          <w:rPr>
            <w:rStyle w:val="Hyperlink"/>
            <w:lang w:val="en-AU"/>
          </w:rPr>
          <w:t>National Health Reform Agreement</w:t>
        </w:r>
      </w:hyperlink>
      <w:r w:rsidRPr="002D2560">
        <w:rPr>
          <w:lang w:val="en-AU"/>
        </w:rPr>
        <w:t xml:space="preserve"> (NHRA) under the </w:t>
      </w:r>
      <w:hyperlink r:id="rId20" w:history="1">
        <w:r w:rsidRPr="002D2560">
          <w:rPr>
            <w:rStyle w:val="Hyperlink"/>
            <w:i/>
            <w:lang w:val="en-AU"/>
          </w:rPr>
          <w:t>National Health Reform Act 2011</w:t>
        </w:r>
      </w:hyperlink>
      <w:r w:rsidR="006D0BA2" w:rsidRPr="002D2560">
        <w:rPr>
          <w:lang w:val="en-AU"/>
        </w:rPr>
        <w:t xml:space="preserve"> (the NHR Act)</w:t>
      </w:r>
      <w:r w:rsidR="00CA6E08" w:rsidRPr="002D2560">
        <w:rPr>
          <w:lang w:val="en-AU"/>
        </w:rPr>
        <w:t xml:space="preserve"> to improve health outcomes for all Australians.</w:t>
      </w:r>
    </w:p>
    <w:p w14:paraId="5EFFD52E" w14:textId="7E4B29F9" w:rsidR="00CA6E08" w:rsidRPr="002D2560" w:rsidRDefault="00CA6E08" w:rsidP="00C650F2">
      <w:pPr>
        <w:rPr>
          <w:lang w:val="en-AU"/>
        </w:rPr>
      </w:pPr>
      <w:r w:rsidRPr="002D2560">
        <w:rPr>
          <w:lang w:val="en-AU"/>
        </w:rPr>
        <w:t>Its primary responsibility has been to enable the implementation of national activity based funding (ABF) of public hospital services through the annual determination of the national efficient price (NEP) and national efficient cost (NEC). These determinations play a crucial role in calculating the Commonwealth funding contribution to Australian public hospital services and offer a benchmark for the efficient cost of providing those services as outlined in the National Health Reform Agreement (NHRA).</w:t>
      </w:r>
    </w:p>
    <w:p w14:paraId="71FDC69A" w14:textId="7FA3713A" w:rsidR="00271FC1" w:rsidRPr="002D2560" w:rsidRDefault="00CA6E08" w:rsidP="00C650F2">
      <w:pPr>
        <w:rPr>
          <w:lang w:val="en-AU"/>
        </w:rPr>
      </w:pPr>
      <w:r w:rsidRPr="002D2560">
        <w:rPr>
          <w:lang w:val="en-AU"/>
        </w:rPr>
        <w:t xml:space="preserve">On 12 August 2022 amendments to the NHR Act came into effect changing IHPA’s name to the Independent Health and Aged Care Pricing Authority (IHACPA) and expanding its role to include the provision of </w:t>
      </w:r>
      <w:r w:rsidR="00CE753C" w:rsidRPr="002D2560">
        <w:rPr>
          <w:lang w:val="en-AU"/>
        </w:rPr>
        <w:t xml:space="preserve">aged care </w:t>
      </w:r>
      <w:r w:rsidRPr="002D2560">
        <w:rPr>
          <w:lang w:val="en-AU"/>
        </w:rPr>
        <w:t>costing and pricing advice to the Commonwealth Government</w:t>
      </w:r>
      <w:r w:rsidR="00271FC1" w:rsidRPr="002D2560">
        <w:rPr>
          <w:lang w:val="en-AU"/>
        </w:rPr>
        <w:t>.</w:t>
      </w:r>
    </w:p>
    <w:p w14:paraId="77B4D96F" w14:textId="63CAB099" w:rsidR="0013544E" w:rsidRPr="002D2560" w:rsidRDefault="0013544E" w:rsidP="0013544E">
      <w:pPr>
        <w:pStyle w:val="Heading2"/>
      </w:pPr>
      <w:r w:rsidRPr="002D2560">
        <w:t>Development of this Three Year Data Plan</w:t>
      </w:r>
    </w:p>
    <w:p w14:paraId="2FB907FE" w14:textId="35A2DC86" w:rsidR="00271FC1" w:rsidRPr="002D2560" w:rsidRDefault="00450CA4" w:rsidP="00C650F2">
      <w:pPr>
        <w:rPr>
          <w:lang w:val="en-AU"/>
        </w:rPr>
      </w:pPr>
      <w:r w:rsidRPr="002D2560">
        <w:rPr>
          <w:lang w:val="en-AU"/>
        </w:rPr>
        <w:t xml:space="preserve">The NHRA requires </w:t>
      </w:r>
      <w:r w:rsidR="00CA6E08" w:rsidRPr="002D2560">
        <w:rPr>
          <w:lang w:val="en-AU"/>
        </w:rPr>
        <w:t xml:space="preserve">IHACPA to develop </w:t>
      </w:r>
      <w:r w:rsidRPr="002D2560">
        <w:rPr>
          <w:lang w:val="en-AU"/>
        </w:rPr>
        <w:t xml:space="preserve">a rolling three year data plan each year to indicate its future data needs. </w:t>
      </w:r>
      <w:r w:rsidR="00271FC1" w:rsidRPr="002D2560">
        <w:rPr>
          <w:lang w:val="en-AU"/>
        </w:rPr>
        <w:t>IH</w:t>
      </w:r>
      <w:r w:rsidR="00CA6E08" w:rsidRPr="002D2560">
        <w:rPr>
          <w:lang w:val="en-AU"/>
        </w:rPr>
        <w:t>AC</w:t>
      </w:r>
      <w:r w:rsidR="00271FC1" w:rsidRPr="002D2560">
        <w:rPr>
          <w:lang w:val="en-AU"/>
        </w:rPr>
        <w:t xml:space="preserve">PA has prepared this </w:t>
      </w:r>
      <w:r w:rsidR="00CA6E08" w:rsidRPr="002D2560">
        <w:rPr>
          <w:lang w:val="en-AU"/>
        </w:rPr>
        <w:t xml:space="preserve">eleventh </w:t>
      </w:r>
      <w:r w:rsidR="00271FC1" w:rsidRPr="002D2560">
        <w:rPr>
          <w:lang w:val="en-AU"/>
        </w:rPr>
        <w:t xml:space="preserve">edition of the Three Year Data Plan to communicate </w:t>
      </w:r>
      <w:r w:rsidRPr="002D2560">
        <w:rPr>
          <w:lang w:val="en-AU"/>
        </w:rPr>
        <w:t>its data needs for 2023–24 to 2025–26</w:t>
      </w:r>
      <w:r w:rsidR="00271FC1" w:rsidRPr="002D2560">
        <w:rPr>
          <w:lang w:val="en-AU"/>
        </w:rPr>
        <w:t xml:space="preserve"> to the jurisdictions in accordance with clauses B66</w:t>
      </w:r>
      <w:r w:rsidRPr="002D2560">
        <w:rPr>
          <w:lang w:val="en-AU"/>
        </w:rPr>
        <w:t>–</w:t>
      </w:r>
      <w:r w:rsidR="00271FC1" w:rsidRPr="002D2560">
        <w:rPr>
          <w:lang w:val="en-AU"/>
        </w:rPr>
        <w:t>B83 of the Addendum to the NHRA 2020–25 (the Addendum).</w:t>
      </w:r>
    </w:p>
    <w:p w14:paraId="68747376" w14:textId="43F2D6D9" w:rsidR="00271FC1" w:rsidRPr="002D2560" w:rsidDel="00CA6E08" w:rsidRDefault="004C26D7" w:rsidP="00C650F2">
      <w:pPr>
        <w:rPr>
          <w:lang w:val="en-AU"/>
        </w:rPr>
      </w:pPr>
      <w:r w:rsidRPr="002D2560">
        <w:rPr>
          <w:lang w:val="en-AU"/>
        </w:rPr>
        <w:t xml:space="preserve">To determine </w:t>
      </w:r>
      <w:r w:rsidR="00450CA4" w:rsidRPr="002D2560">
        <w:rPr>
          <w:lang w:val="en-AU"/>
        </w:rPr>
        <w:t>the NEP and NEC for Australian public hospitals, IHACPA must specify the classifications, counting rules, data and coding standards as well as the methods and standards for the collection of costing data. This Three Year Data Plan sets out the requirements for the provision of timely, accurate and reliable data to fulfil IHACPA’s function of determining the NEP and NEC</w:t>
      </w:r>
      <w:r w:rsidR="00450CA4" w:rsidRPr="002D2560" w:rsidDel="00CA6E08">
        <w:rPr>
          <w:lang w:val="en-AU"/>
        </w:rPr>
        <w:t xml:space="preserve"> </w:t>
      </w:r>
      <w:r w:rsidR="00450CA4" w:rsidRPr="002D2560">
        <w:rPr>
          <w:lang w:val="en-AU"/>
        </w:rPr>
        <w:t>for Australian public hospital services</w:t>
      </w:r>
      <w:r w:rsidR="000E25CC" w:rsidRPr="002D2560">
        <w:rPr>
          <w:lang w:val="en-AU"/>
        </w:rPr>
        <w:t xml:space="preserve"> in </w:t>
      </w:r>
      <w:r w:rsidR="00966AF6" w:rsidRPr="002D2560">
        <w:rPr>
          <w:lang w:val="en-AU"/>
        </w:rPr>
        <w:t xml:space="preserve">Chapters </w:t>
      </w:r>
      <w:r w:rsidR="00AD7862" w:rsidRPr="002D2560">
        <w:rPr>
          <w:lang w:val="en-AU"/>
        </w:rPr>
        <w:t>4</w:t>
      </w:r>
      <w:r w:rsidR="00966AF6" w:rsidRPr="002D2560">
        <w:rPr>
          <w:lang w:val="en-AU"/>
        </w:rPr>
        <w:t>–</w:t>
      </w:r>
      <w:r w:rsidR="00872C1D" w:rsidRPr="002D2560">
        <w:rPr>
          <w:lang w:val="en-AU"/>
        </w:rPr>
        <w:t>6</w:t>
      </w:r>
      <w:r w:rsidR="00271FC1" w:rsidRPr="002D2560" w:rsidDel="00CA6E08">
        <w:rPr>
          <w:lang w:val="en-AU"/>
        </w:rPr>
        <w:t>.</w:t>
      </w:r>
    </w:p>
    <w:p w14:paraId="567E6E0D" w14:textId="01970BA9" w:rsidR="00271FC1" w:rsidRPr="002D2560" w:rsidRDefault="00271FC1" w:rsidP="00C650F2">
      <w:pPr>
        <w:rPr>
          <w:lang w:val="en-AU"/>
        </w:rPr>
      </w:pPr>
      <w:r w:rsidRPr="002D2560">
        <w:rPr>
          <w:lang w:val="en-AU"/>
        </w:rPr>
        <w:t>For this update</w:t>
      </w:r>
      <w:r w:rsidR="00BC3F16" w:rsidRPr="002D2560">
        <w:rPr>
          <w:lang w:val="en-AU"/>
        </w:rPr>
        <w:t xml:space="preserve"> to the Three Year Data Plan</w:t>
      </w:r>
      <w:r w:rsidRPr="002D2560">
        <w:rPr>
          <w:lang w:val="en-AU"/>
        </w:rPr>
        <w:t>, IH</w:t>
      </w:r>
      <w:r w:rsidR="00CA6E08" w:rsidRPr="002D2560">
        <w:rPr>
          <w:lang w:val="en-AU"/>
        </w:rPr>
        <w:t>AC</w:t>
      </w:r>
      <w:r w:rsidRPr="002D2560">
        <w:rPr>
          <w:lang w:val="en-AU"/>
        </w:rPr>
        <w:t xml:space="preserve">PA has worked collaboratively with the </w:t>
      </w:r>
      <w:hyperlink r:id="rId21" w:history="1">
        <w:r w:rsidRPr="002D2560">
          <w:rPr>
            <w:rStyle w:val="Hyperlink"/>
            <w:lang w:val="en-AU"/>
          </w:rPr>
          <w:t>Administrator of the National Health Funding Pool</w:t>
        </w:r>
      </w:hyperlink>
      <w:r w:rsidRPr="002D2560">
        <w:rPr>
          <w:lang w:val="en-AU"/>
        </w:rPr>
        <w:t xml:space="preserve"> (the Administrator) as part of IH</w:t>
      </w:r>
      <w:r w:rsidR="00CA6E08" w:rsidRPr="002D2560">
        <w:rPr>
          <w:lang w:val="en-AU"/>
        </w:rPr>
        <w:t>AC</w:t>
      </w:r>
      <w:r w:rsidRPr="002D2560">
        <w:rPr>
          <w:lang w:val="en-AU"/>
        </w:rPr>
        <w:t>PA’s commitment to the principle of data rationalisation expressed in the Addendum</w:t>
      </w:r>
      <w:r w:rsidR="00CA6E08" w:rsidRPr="002D2560">
        <w:rPr>
          <w:lang w:val="en-AU"/>
        </w:rPr>
        <w:t xml:space="preserve"> to support the concept of </w:t>
      </w:r>
      <w:r w:rsidRPr="002D2560">
        <w:rPr>
          <w:lang w:val="en-AU"/>
        </w:rPr>
        <w:t>‘single provision, multiple use’.</w:t>
      </w:r>
    </w:p>
    <w:p w14:paraId="6EC286D0" w14:textId="1AA70E44" w:rsidR="00723269" w:rsidRPr="002D2560" w:rsidRDefault="00271FC1" w:rsidP="00C650F2">
      <w:pPr>
        <w:rPr>
          <w:lang w:val="en-AU"/>
        </w:rPr>
      </w:pPr>
      <w:r w:rsidRPr="002D2560">
        <w:rPr>
          <w:lang w:val="en-AU"/>
        </w:rPr>
        <w:t>IH</w:t>
      </w:r>
      <w:r w:rsidR="00CA6E08" w:rsidRPr="002D2560">
        <w:rPr>
          <w:lang w:val="en-AU"/>
        </w:rPr>
        <w:t>AC</w:t>
      </w:r>
      <w:r w:rsidRPr="002D2560">
        <w:rPr>
          <w:lang w:val="en-AU"/>
        </w:rPr>
        <w:t>PA and the Administrator (collectively the national bodies) have collaborated on the standardisation of the documents and tables used to communicate each agency’s data requirements</w:t>
      </w:r>
      <w:r w:rsidR="00450CA4" w:rsidRPr="002D2560">
        <w:rPr>
          <w:lang w:val="en-AU"/>
        </w:rPr>
        <w:t xml:space="preserve"> for public hospital funding</w:t>
      </w:r>
      <w:r w:rsidR="004C26D7" w:rsidRPr="002D2560">
        <w:rPr>
          <w:lang w:val="en-AU"/>
        </w:rPr>
        <w:t xml:space="preserve"> to enable</w:t>
      </w:r>
      <w:r w:rsidRPr="002D2560">
        <w:rPr>
          <w:lang w:val="en-AU"/>
        </w:rPr>
        <w:t xml:space="preserve"> simultaneous consideration by all state, territory and Commonwealth governments.</w:t>
      </w:r>
    </w:p>
    <w:p w14:paraId="1A4C8375" w14:textId="3EBB12E7" w:rsidR="00A229CD" w:rsidRPr="002D2560" w:rsidRDefault="00A229CD" w:rsidP="00A229CD">
      <w:pPr>
        <w:rPr>
          <w:lang w:val="en-AU"/>
        </w:rPr>
      </w:pPr>
      <w:r w:rsidRPr="002D2560">
        <w:rPr>
          <w:lang w:val="en-AU"/>
        </w:rPr>
        <w:t>In order to undertake its expanded functions to provide aged care costing and pricing advice, IHACPA requires accurate classification and financial expenditure data regarding aged care facilities. Chapter 7 of this Three Year Data Plan sets out the classifications and data sets that will be used by IHACPA to prepare aged care costing and pricing advice.</w:t>
      </w:r>
    </w:p>
    <w:p w14:paraId="127F55EF" w14:textId="77777777" w:rsidR="000328C3" w:rsidRPr="002D2560" w:rsidRDefault="000328C3" w:rsidP="000328C3">
      <w:pPr>
        <w:pStyle w:val="Heading2"/>
      </w:pPr>
      <w:r w:rsidRPr="002D2560">
        <w:lastRenderedPageBreak/>
        <w:t>Purpose</w:t>
      </w:r>
    </w:p>
    <w:p w14:paraId="2199892A" w14:textId="2F038A4D" w:rsidR="00BC3F16" w:rsidRPr="002D2560" w:rsidRDefault="00BC3F16" w:rsidP="00C650F2">
      <w:pPr>
        <w:rPr>
          <w:lang w:val="en-AU"/>
        </w:rPr>
      </w:pPr>
      <w:r w:rsidRPr="002D2560">
        <w:rPr>
          <w:lang w:val="en-AU"/>
        </w:rPr>
        <w:t xml:space="preserve">The objectives of the Three Year Data Plan </w:t>
      </w:r>
      <w:r w:rsidR="00CB5F47" w:rsidRPr="002D2560">
        <w:rPr>
          <w:lang w:val="en-AU"/>
        </w:rPr>
        <w:t xml:space="preserve">for 2023–24 to 2025–26 </w:t>
      </w:r>
      <w:proofErr w:type="gramStart"/>
      <w:r w:rsidRPr="002D2560">
        <w:rPr>
          <w:lang w:val="en-AU"/>
        </w:rPr>
        <w:t>are</w:t>
      </w:r>
      <w:proofErr w:type="gramEnd"/>
      <w:r w:rsidRPr="002D2560">
        <w:rPr>
          <w:lang w:val="en-AU"/>
        </w:rPr>
        <w:t xml:space="preserve"> to:</w:t>
      </w:r>
    </w:p>
    <w:p w14:paraId="1A2FE23B" w14:textId="1AC575DF" w:rsidR="00BC3F16" w:rsidRPr="002D2560" w:rsidRDefault="00BC3F16" w:rsidP="00BC3F16">
      <w:pPr>
        <w:pStyle w:val="ListParagraph"/>
        <w:numPr>
          <w:ilvl w:val="0"/>
          <w:numId w:val="7"/>
        </w:numPr>
        <w:rPr>
          <w:lang w:val="en-AU"/>
        </w:rPr>
      </w:pPr>
      <w:r w:rsidRPr="002D2560">
        <w:rPr>
          <w:lang w:val="en-AU"/>
        </w:rPr>
        <w:t>communicate IHACPA’s data requirements in relation to public hospital funding over the next three years to jurisdictions and other government agencies in accordance with clause B66 of the Addendum</w:t>
      </w:r>
    </w:p>
    <w:p w14:paraId="67435A19" w14:textId="77777777" w:rsidR="00A229CD" w:rsidRPr="002D2560" w:rsidRDefault="00BC3F16" w:rsidP="000328C3">
      <w:pPr>
        <w:pStyle w:val="ListParagraph"/>
        <w:numPr>
          <w:ilvl w:val="0"/>
          <w:numId w:val="7"/>
        </w:numPr>
        <w:rPr>
          <w:lang w:val="en-AU"/>
        </w:rPr>
      </w:pPr>
      <w:r w:rsidRPr="002D2560">
        <w:rPr>
          <w:lang w:val="en-AU"/>
        </w:rPr>
        <w:t>describe the mechanisms and timelines IHACPA will use to collect data in relation to public hospital funding from the jurisdictions</w:t>
      </w:r>
    </w:p>
    <w:p w14:paraId="3A06C055" w14:textId="44E05C0A" w:rsidR="00BC3F16" w:rsidRPr="002D2560" w:rsidRDefault="00A229CD" w:rsidP="00A229CD">
      <w:pPr>
        <w:pStyle w:val="ListParagraph"/>
        <w:numPr>
          <w:ilvl w:val="0"/>
          <w:numId w:val="7"/>
        </w:numPr>
        <w:rPr>
          <w:lang w:val="en-AU"/>
        </w:rPr>
      </w:pPr>
      <w:r w:rsidRPr="002D2560">
        <w:rPr>
          <w:lang w:val="en-AU"/>
        </w:rPr>
        <w:t>outline the classifications and data underpinning IHACPA’s provision of aged care costing and pricing advice to the Commonwealth Government</w:t>
      </w:r>
      <w:r w:rsidR="00BC3F16" w:rsidRPr="002D2560">
        <w:rPr>
          <w:lang w:val="en-AU"/>
        </w:rPr>
        <w:t>.</w:t>
      </w:r>
    </w:p>
    <w:p w14:paraId="685FFAD5" w14:textId="108FCDAB" w:rsidR="00582F4B" w:rsidRPr="002D2560" w:rsidRDefault="000328C3" w:rsidP="00C650F2">
      <w:pPr>
        <w:rPr>
          <w:lang w:val="en-AU"/>
        </w:rPr>
      </w:pPr>
      <w:r w:rsidRPr="002D2560">
        <w:rPr>
          <w:lang w:val="en-AU"/>
        </w:rPr>
        <w:t xml:space="preserve">To undertake its function </w:t>
      </w:r>
      <w:r w:rsidR="004C26D7" w:rsidRPr="002D2560">
        <w:rPr>
          <w:lang w:val="en-AU"/>
        </w:rPr>
        <w:t xml:space="preserve">of developing the NEP and NEC for Australian public hospital services, </w:t>
      </w:r>
      <w:r w:rsidR="00271FC1" w:rsidRPr="002D2560">
        <w:rPr>
          <w:lang w:val="en-AU"/>
        </w:rPr>
        <w:t>IH</w:t>
      </w:r>
      <w:r w:rsidR="00CB5F47" w:rsidRPr="002D2560">
        <w:rPr>
          <w:lang w:val="en-AU"/>
        </w:rPr>
        <w:t>AC</w:t>
      </w:r>
      <w:r w:rsidR="00271FC1" w:rsidRPr="002D2560">
        <w:rPr>
          <w:lang w:val="en-AU"/>
        </w:rPr>
        <w:t xml:space="preserve">PA requires accurate </w:t>
      </w:r>
      <w:r w:rsidR="00582F4B" w:rsidRPr="002D2560">
        <w:rPr>
          <w:lang w:val="en-AU"/>
        </w:rPr>
        <w:t xml:space="preserve">public hospital </w:t>
      </w:r>
      <w:r w:rsidR="00271FC1" w:rsidRPr="002D2560">
        <w:rPr>
          <w:lang w:val="en-AU"/>
        </w:rPr>
        <w:t>activity, cost and expenditure data from jurisdictions on a timely basis.</w:t>
      </w:r>
      <w:r w:rsidR="00582F4B" w:rsidRPr="002D2560">
        <w:rPr>
          <w:lang w:val="en-AU"/>
        </w:rPr>
        <w:t xml:space="preserve"> Supply of the public hospital data outlined in this Three Year Data Plan is required under clause A8 of the Addendum, with details of jurisdiction</w:t>
      </w:r>
      <w:r w:rsidR="004C26D7" w:rsidRPr="002D2560">
        <w:rPr>
          <w:lang w:val="en-AU"/>
        </w:rPr>
        <w:t>al</w:t>
      </w:r>
      <w:r w:rsidR="00582F4B" w:rsidRPr="002D2560">
        <w:rPr>
          <w:lang w:val="en-AU"/>
        </w:rPr>
        <w:t xml:space="preserve"> compliance to be reported on a quarterly basis in line with clause B81.</w:t>
      </w:r>
    </w:p>
    <w:p w14:paraId="3EF10E3D" w14:textId="3BB23365" w:rsidR="00271FC1" w:rsidRPr="002D2560" w:rsidRDefault="00271FC1" w:rsidP="00C650F2">
      <w:pPr>
        <w:rPr>
          <w:lang w:val="en-AU"/>
        </w:rPr>
      </w:pPr>
      <w:r w:rsidRPr="002D2560">
        <w:rPr>
          <w:lang w:val="en-AU"/>
        </w:rPr>
        <w:t xml:space="preserve">The </w:t>
      </w:r>
      <w:r w:rsidR="004C26D7" w:rsidRPr="002D2560">
        <w:rPr>
          <w:lang w:val="en-AU"/>
        </w:rPr>
        <w:t xml:space="preserve">public hospital </w:t>
      </w:r>
      <w:r w:rsidRPr="002D2560">
        <w:rPr>
          <w:lang w:val="en-AU"/>
        </w:rPr>
        <w:t>data plans of the national bodies have been harmonised to provide a standard document structure and an appendix listing shared data collection.</w:t>
      </w:r>
    </w:p>
    <w:p w14:paraId="0C15A1A1" w14:textId="494C1C9A" w:rsidR="00271FC1" w:rsidRPr="002D2560" w:rsidRDefault="00271FC1" w:rsidP="00C650F2">
      <w:pPr>
        <w:rPr>
          <w:lang w:val="en-AU"/>
        </w:rPr>
      </w:pPr>
      <w:r w:rsidRPr="002D2560">
        <w:rPr>
          <w:lang w:val="en-AU"/>
        </w:rPr>
        <w:t>IH</w:t>
      </w:r>
      <w:r w:rsidR="00CB5F47" w:rsidRPr="002D2560">
        <w:rPr>
          <w:lang w:val="en-AU"/>
        </w:rPr>
        <w:t>AC</w:t>
      </w:r>
      <w:r w:rsidRPr="002D2560">
        <w:rPr>
          <w:lang w:val="en-AU"/>
        </w:rPr>
        <w:t xml:space="preserve">PA will also continue to make de-identified aggregate and patient-level </w:t>
      </w:r>
      <w:r w:rsidR="00582F4B" w:rsidRPr="002D2560">
        <w:rPr>
          <w:lang w:val="en-AU"/>
        </w:rPr>
        <w:t xml:space="preserve">public hospital </w:t>
      </w:r>
      <w:r w:rsidRPr="002D2560">
        <w:rPr>
          <w:lang w:val="en-AU"/>
        </w:rPr>
        <w:t xml:space="preserve">data available to the Commonwealth and states and territories consistent with clause B77 of the Addendum and section 220 of the </w:t>
      </w:r>
      <w:r w:rsidR="006D0BA2" w:rsidRPr="002D2560">
        <w:rPr>
          <w:lang w:val="en-AU"/>
        </w:rPr>
        <w:t>NHR Act</w:t>
      </w:r>
      <w:r w:rsidRPr="002D2560">
        <w:rPr>
          <w:lang w:val="en-AU"/>
        </w:rPr>
        <w:t>.</w:t>
      </w:r>
    </w:p>
    <w:p w14:paraId="2FD34D94" w14:textId="3EE35915" w:rsidR="00723269" w:rsidRPr="002D2560" w:rsidRDefault="00E170FF">
      <w:pPr>
        <w:spacing w:line="259" w:lineRule="auto"/>
        <w:rPr>
          <w:lang w:val="en-AU"/>
        </w:rPr>
      </w:pPr>
      <w:r w:rsidRPr="002D2560">
        <w:rPr>
          <w:lang w:val="en-AU"/>
        </w:rPr>
        <w:t>To fulfil its aged care costing and pricing functions, IHACPA will utilise financial and resident level data sets currently compiled by the Commonwealth Department of Health and Aged Care. IHACPA is in the process of creating new data sets containing costed information at a resident level. These data sets have not yet undergone development and will be added to the Three Year Data Plan in the future.</w:t>
      </w:r>
      <w:r w:rsidR="00723269" w:rsidRPr="002D2560">
        <w:rPr>
          <w:lang w:val="en-AU"/>
        </w:rPr>
        <w:br w:type="page"/>
      </w:r>
    </w:p>
    <w:p w14:paraId="780B0964" w14:textId="1889024D" w:rsidR="00723269" w:rsidRPr="002D2560" w:rsidRDefault="00582F4B" w:rsidP="00271FC1">
      <w:pPr>
        <w:pStyle w:val="Heading1"/>
      </w:pPr>
      <w:bookmarkStart w:id="10" w:name="_Toc121927351"/>
      <w:r w:rsidRPr="002D2560">
        <w:lastRenderedPageBreak/>
        <w:t>Overview</w:t>
      </w:r>
      <w:bookmarkEnd w:id="10"/>
    </w:p>
    <w:p w14:paraId="5A744593" w14:textId="79DE1103" w:rsidR="00723269" w:rsidRPr="002D2560" w:rsidRDefault="00271FC1" w:rsidP="003156D4">
      <w:pPr>
        <w:pStyle w:val="Heading2"/>
      </w:pPr>
      <w:r w:rsidRPr="002D2560">
        <w:t>Legislative basis</w:t>
      </w:r>
    </w:p>
    <w:p w14:paraId="05D21BEB" w14:textId="494A9DAC" w:rsidR="00E55C8E" w:rsidRPr="002D2560" w:rsidRDefault="00E55C8E" w:rsidP="00E55C8E">
      <w:pPr>
        <w:rPr>
          <w:lang w:val="en-AU"/>
        </w:rPr>
      </w:pPr>
      <w:r w:rsidRPr="002D2560">
        <w:rPr>
          <w:lang w:val="en-AU"/>
        </w:rPr>
        <w:t xml:space="preserve">IHACPA is an independent agency established under Commonwealth legislation as part of the </w:t>
      </w:r>
      <w:r w:rsidR="009E2EC2" w:rsidRPr="002D2560">
        <w:rPr>
          <w:lang w:val="en-AU"/>
        </w:rPr>
        <w:t>NHR</w:t>
      </w:r>
      <w:r w:rsidR="003A0467">
        <w:rPr>
          <w:lang w:val="en-AU"/>
        </w:rPr>
        <w:t> </w:t>
      </w:r>
      <w:r w:rsidR="009E2EC2" w:rsidRPr="002D2560">
        <w:rPr>
          <w:lang w:val="en-AU"/>
        </w:rPr>
        <w:t>Act</w:t>
      </w:r>
      <w:r w:rsidRPr="002D2560">
        <w:rPr>
          <w:lang w:val="en-AU"/>
        </w:rPr>
        <w:t>. IHACPA was established to contribute to significant reforms to improve Australian public hospitals. A major component of these reforms was a new way of funding public hospitals to support increased efficiency of public hospital services and more transparency of funding.</w:t>
      </w:r>
    </w:p>
    <w:p w14:paraId="00F031F4" w14:textId="1ADC73FC" w:rsidR="00ED6165" w:rsidRPr="002D2560" w:rsidRDefault="00ED6165" w:rsidP="00C650F2">
      <w:pPr>
        <w:rPr>
          <w:lang w:val="en-AU"/>
        </w:rPr>
      </w:pPr>
      <w:r w:rsidRPr="002D2560">
        <w:rPr>
          <w:lang w:val="en-AU"/>
        </w:rPr>
        <w:t xml:space="preserve">The passage of the </w:t>
      </w:r>
      <w:hyperlink r:id="rId22" w:history="1">
        <w:r w:rsidRPr="002D2560">
          <w:rPr>
            <w:rStyle w:val="Hyperlink"/>
            <w:i/>
            <w:iCs/>
            <w:lang w:val="en-AU"/>
          </w:rPr>
          <w:t>Aged Care and Other Legislation Amendment (Royal Commission Response) Act 2022</w:t>
        </w:r>
      </w:hyperlink>
      <w:r w:rsidRPr="002D2560">
        <w:rPr>
          <w:lang w:val="en-AU"/>
        </w:rPr>
        <w:t xml:space="preserve"> saw the </w:t>
      </w:r>
      <w:r w:rsidR="00CE753C" w:rsidRPr="002D2560">
        <w:rPr>
          <w:lang w:val="en-AU"/>
        </w:rPr>
        <w:t>expansion</w:t>
      </w:r>
      <w:r w:rsidRPr="002D2560">
        <w:rPr>
          <w:lang w:val="en-AU"/>
        </w:rPr>
        <w:t xml:space="preserve"> of </w:t>
      </w:r>
      <w:r w:rsidR="008B1300" w:rsidRPr="002D2560">
        <w:rPr>
          <w:lang w:val="en-AU"/>
        </w:rPr>
        <w:t>IHPA</w:t>
      </w:r>
      <w:r w:rsidR="00CE753C" w:rsidRPr="002D2560">
        <w:rPr>
          <w:lang w:val="en-AU"/>
        </w:rPr>
        <w:t>’s functions</w:t>
      </w:r>
      <w:r w:rsidRPr="002D2560">
        <w:rPr>
          <w:lang w:val="en-AU"/>
        </w:rPr>
        <w:t xml:space="preserve"> through amendments to the NHR Act, the </w:t>
      </w:r>
      <w:r w:rsidRPr="002D2560">
        <w:rPr>
          <w:i/>
          <w:iCs/>
          <w:lang w:val="en-AU"/>
        </w:rPr>
        <w:t>Aged Care Act 1997</w:t>
      </w:r>
      <w:r w:rsidRPr="002D2560">
        <w:rPr>
          <w:lang w:val="en-AU"/>
        </w:rPr>
        <w:t xml:space="preserve"> and the </w:t>
      </w:r>
      <w:r w:rsidRPr="002D2560">
        <w:rPr>
          <w:i/>
          <w:iCs/>
          <w:lang w:val="en-AU"/>
        </w:rPr>
        <w:t>Quality and Safety Commission Act 2018</w:t>
      </w:r>
      <w:r w:rsidRPr="002D2560">
        <w:rPr>
          <w:lang w:val="en-AU"/>
        </w:rPr>
        <w:t xml:space="preserve">. </w:t>
      </w:r>
      <w:r w:rsidR="008B1300" w:rsidRPr="002D2560">
        <w:rPr>
          <w:lang w:val="en-AU"/>
        </w:rPr>
        <w:t xml:space="preserve">The renamed </w:t>
      </w:r>
      <w:r w:rsidRPr="002D2560">
        <w:rPr>
          <w:lang w:val="en-AU"/>
        </w:rPr>
        <w:t>IHACPA’s expanded functions include:</w:t>
      </w:r>
    </w:p>
    <w:p w14:paraId="19B8FE89" w14:textId="77889487" w:rsidR="00ED6165" w:rsidRPr="002D2560" w:rsidRDefault="00ED6165" w:rsidP="00ED6165">
      <w:pPr>
        <w:pStyle w:val="ListParagraph"/>
        <w:numPr>
          <w:ilvl w:val="0"/>
          <w:numId w:val="25"/>
        </w:numPr>
        <w:rPr>
          <w:lang w:val="en-AU"/>
        </w:rPr>
      </w:pPr>
      <w:r w:rsidRPr="002D2560">
        <w:rPr>
          <w:lang w:val="en-AU"/>
        </w:rPr>
        <w:t>provision of advice on health care costing and pricing matters</w:t>
      </w:r>
    </w:p>
    <w:p w14:paraId="37F07583" w14:textId="109FAC86" w:rsidR="00ED6165" w:rsidRPr="002D2560" w:rsidRDefault="00ED6165" w:rsidP="00ED6165">
      <w:pPr>
        <w:pStyle w:val="ListParagraph"/>
        <w:numPr>
          <w:ilvl w:val="0"/>
          <w:numId w:val="25"/>
        </w:numPr>
        <w:rPr>
          <w:lang w:val="en-AU"/>
        </w:rPr>
      </w:pPr>
      <w:r w:rsidRPr="002D2560">
        <w:rPr>
          <w:lang w:val="en-AU"/>
        </w:rPr>
        <w:t>provision of advice on aged care costing and pricing matters</w:t>
      </w:r>
    </w:p>
    <w:p w14:paraId="58AA47E7" w14:textId="41900695" w:rsidR="00ED6165" w:rsidRDefault="00ED6165" w:rsidP="00ED6165">
      <w:pPr>
        <w:pStyle w:val="ListParagraph"/>
        <w:numPr>
          <w:ilvl w:val="0"/>
          <w:numId w:val="25"/>
        </w:numPr>
        <w:rPr>
          <w:lang w:val="en-AU"/>
        </w:rPr>
      </w:pPr>
      <w:r w:rsidRPr="002D2560">
        <w:rPr>
          <w:lang w:val="en-AU"/>
        </w:rPr>
        <w:t>performance of certain functions conferred by the</w:t>
      </w:r>
      <w:r w:rsidRPr="002D2560">
        <w:rPr>
          <w:i/>
          <w:iCs/>
          <w:lang w:val="en-AU"/>
        </w:rPr>
        <w:t xml:space="preserve"> Aged Care Act 1997</w:t>
      </w:r>
      <w:r w:rsidRPr="002D2560">
        <w:rPr>
          <w:lang w:val="en-AU"/>
        </w:rPr>
        <w:t>.</w:t>
      </w:r>
    </w:p>
    <w:p w14:paraId="4D594EB5" w14:textId="4E8FB4F0" w:rsidR="003A0467" w:rsidRPr="003A0467" w:rsidRDefault="003A0467" w:rsidP="003A0467">
      <w:pPr>
        <w:rPr>
          <w:lang w:val="en-AU"/>
        </w:rPr>
      </w:pPr>
      <w:r w:rsidRPr="003A0467">
        <w:rPr>
          <w:lang w:val="en-AU"/>
        </w:rPr>
        <w:t xml:space="preserve">The </w:t>
      </w:r>
      <w:r w:rsidRPr="003A0467">
        <w:rPr>
          <w:i/>
          <w:iCs/>
          <w:lang w:val="en-AU"/>
        </w:rPr>
        <w:t>Data Availability and Transparency Act 2022</w:t>
      </w:r>
      <w:r w:rsidRPr="003A0467">
        <w:rPr>
          <w:lang w:val="en-AU"/>
        </w:rPr>
        <w:t xml:space="preserve"> commenced on 1 April 2022</w:t>
      </w:r>
      <w:r>
        <w:rPr>
          <w:lang w:val="en-AU"/>
        </w:rPr>
        <w:t xml:space="preserve"> and establishes </w:t>
      </w:r>
      <w:r w:rsidRPr="003A0467">
        <w:rPr>
          <w:lang w:val="en-AU"/>
        </w:rPr>
        <w:t xml:space="preserve">a new, best practice scheme for sharing Australian Government data </w:t>
      </w:r>
      <w:r>
        <w:rPr>
          <w:lang w:val="en-AU"/>
        </w:rPr>
        <w:t>–</w:t>
      </w:r>
      <w:r w:rsidRPr="003A0467">
        <w:rPr>
          <w:lang w:val="en-AU"/>
        </w:rPr>
        <w:t xml:space="preserve"> the DATA Scheme.</w:t>
      </w:r>
      <w:r>
        <w:rPr>
          <w:lang w:val="en-AU"/>
        </w:rPr>
        <w:t xml:space="preserve"> IHACPA will assess its engagement with the DATA Scheme in future Three Year Data Plans.</w:t>
      </w:r>
    </w:p>
    <w:p w14:paraId="42835E2D" w14:textId="20EA0B3A" w:rsidR="008B1300" w:rsidRPr="002D2560" w:rsidRDefault="008B1300" w:rsidP="008B1300">
      <w:pPr>
        <w:pStyle w:val="Heading3"/>
      </w:pPr>
      <w:r w:rsidRPr="002D2560">
        <w:t>2.1.1</w:t>
      </w:r>
      <w:r w:rsidRPr="002D2560">
        <w:tab/>
        <w:t>Public hospitals</w:t>
      </w:r>
    </w:p>
    <w:p w14:paraId="30E2F09B" w14:textId="73323011" w:rsidR="00271FC1" w:rsidRPr="002D2560" w:rsidRDefault="00271FC1" w:rsidP="00C650F2">
      <w:pPr>
        <w:rPr>
          <w:lang w:val="en-AU"/>
        </w:rPr>
      </w:pPr>
      <w:r w:rsidRPr="002D2560">
        <w:rPr>
          <w:lang w:val="en-AU"/>
        </w:rPr>
        <w:t>The functions of IH</w:t>
      </w:r>
      <w:r w:rsidR="00CB5F47" w:rsidRPr="002D2560">
        <w:rPr>
          <w:lang w:val="en-AU"/>
        </w:rPr>
        <w:t>AC</w:t>
      </w:r>
      <w:r w:rsidRPr="002D2560">
        <w:rPr>
          <w:lang w:val="en-AU"/>
        </w:rPr>
        <w:t>PA</w:t>
      </w:r>
      <w:r w:rsidR="004C26D7" w:rsidRPr="002D2560">
        <w:rPr>
          <w:lang w:val="en-AU"/>
        </w:rPr>
        <w:t xml:space="preserve"> pertaining to pricing and funding</w:t>
      </w:r>
      <w:r w:rsidR="00ED6165" w:rsidRPr="002D2560">
        <w:rPr>
          <w:lang w:val="en-AU"/>
        </w:rPr>
        <w:t xml:space="preserve"> for public hospital services</w:t>
      </w:r>
      <w:r w:rsidRPr="002D2560">
        <w:rPr>
          <w:lang w:val="en-AU"/>
        </w:rPr>
        <w:t xml:space="preserve"> are specified in section 131 of the </w:t>
      </w:r>
      <w:r w:rsidR="006D0BA2" w:rsidRPr="002D2560">
        <w:rPr>
          <w:lang w:val="en-AU"/>
        </w:rPr>
        <w:t>NHR Act</w:t>
      </w:r>
      <w:r w:rsidRPr="002D2560">
        <w:rPr>
          <w:lang w:val="en-AU"/>
        </w:rPr>
        <w:t xml:space="preserve"> and include:</w:t>
      </w:r>
    </w:p>
    <w:p w14:paraId="25513110" w14:textId="613CCF72" w:rsidR="00090D76" w:rsidRPr="002D2560" w:rsidRDefault="00271FC1" w:rsidP="00271FC1">
      <w:pPr>
        <w:pStyle w:val="ListParagraph"/>
        <w:numPr>
          <w:ilvl w:val="0"/>
          <w:numId w:val="8"/>
        </w:numPr>
        <w:spacing w:line="259" w:lineRule="auto"/>
        <w:rPr>
          <w:lang w:val="en-AU"/>
        </w:rPr>
      </w:pPr>
      <w:r w:rsidRPr="002D2560">
        <w:rPr>
          <w:lang w:val="en-AU"/>
        </w:rPr>
        <w:t xml:space="preserve">determining the NEP for health care services provided by public hospitals where the services are funded on an activity </w:t>
      </w:r>
      <w:proofErr w:type="gramStart"/>
      <w:r w:rsidRPr="002D2560">
        <w:rPr>
          <w:lang w:val="en-AU"/>
        </w:rPr>
        <w:t>basis</w:t>
      </w:r>
      <w:r w:rsidR="009F266F" w:rsidRPr="002D2560">
        <w:rPr>
          <w:lang w:val="en-AU"/>
        </w:rPr>
        <w:t>;</w:t>
      </w:r>
      <w:proofErr w:type="gramEnd"/>
    </w:p>
    <w:p w14:paraId="2B7EA058" w14:textId="74EF42D8" w:rsidR="00090D76" w:rsidRPr="002D2560" w:rsidRDefault="00271FC1" w:rsidP="00271FC1">
      <w:pPr>
        <w:pStyle w:val="ListParagraph"/>
        <w:numPr>
          <w:ilvl w:val="0"/>
          <w:numId w:val="8"/>
        </w:numPr>
        <w:spacing w:line="259" w:lineRule="auto"/>
        <w:rPr>
          <w:lang w:val="en-AU"/>
        </w:rPr>
      </w:pPr>
      <w:r w:rsidRPr="002D2560">
        <w:rPr>
          <w:lang w:val="en-AU"/>
        </w:rPr>
        <w:t xml:space="preserve">determining the NEC for health care services provided by public hospitals where the services are block </w:t>
      </w:r>
      <w:proofErr w:type="gramStart"/>
      <w:r w:rsidRPr="002D2560">
        <w:rPr>
          <w:lang w:val="en-AU"/>
        </w:rPr>
        <w:t>funded</w:t>
      </w:r>
      <w:r w:rsidR="009F266F" w:rsidRPr="002D2560">
        <w:rPr>
          <w:lang w:val="en-AU"/>
        </w:rPr>
        <w:t>;</w:t>
      </w:r>
      <w:proofErr w:type="gramEnd"/>
    </w:p>
    <w:p w14:paraId="2E0E12CF" w14:textId="676B0092" w:rsidR="009F266F" w:rsidRPr="002D2560" w:rsidRDefault="009F266F" w:rsidP="009F266F">
      <w:pPr>
        <w:pStyle w:val="ListParagraph"/>
        <w:numPr>
          <w:ilvl w:val="0"/>
          <w:numId w:val="8"/>
        </w:numPr>
        <w:spacing w:line="259" w:lineRule="auto"/>
        <w:rPr>
          <w:lang w:val="en-AU"/>
        </w:rPr>
      </w:pPr>
      <w:r w:rsidRPr="002D2560">
        <w:rPr>
          <w:lang w:val="en-AU"/>
        </w:rPr>
        <w:t xml:space="preserve">developing and specifying classification systems for health care and other services provided by public </w:t>
      </w:r>
      <w:proofErr w:type="gramStart"/>
      <w:r w:rsidRPr="002D2560">
        <w:rPr>
          <w:lang w:val="en-AU"/>
        </w:rPr>
        <w:t>hospitals;</w:t>
      </w:r>
      <w:proofErr w:type="gramEnd"/>
    </w:p>
    <w:p w14:paraId="28519DD6" w14:textId="36330258" w:rsidR="00090D76" w:rsidRPr="002D2560" w:rsidRDefault="00271FC1" w:rsidP="00271FC1">
      <w:pPr>
        <w:pStyle w:val="ListParagraph"/>
        <w:numPr>
          <w:ilvl w:val="0"/>
          <w:numId w:val="8"/>
        </w:numPr>
        <w:spacing w:line="259" w:lineRule="auto"/>
        <w:rPr>
          <w:lang w:val="en-AU"/>
        </w:rPr>
      </w:pPr>
      <w:r w:rsidRPr="002D2560">
        <w:rPr>
          <w:lang w:val="en-AU"/>
        </w:rPr>
        <w:t xml:space="preserve">determining adjustments to the NEP to reflect legitimate and unavoidable variations in the costs of delivering health care </w:t>
      </w:r>
      <w:proofErr w:type="gramStart"/>
      <w:r w:rsidRPr="002D2560">
        <w:rPr>
          <w:lang w:val="en-AU"/>
        </w:rPr>
        <w:t>services</w:t>
      </w:r>
      <w:r w:rsidR="009F266F" w:rsidRPr="002D2560">
        <w:rPr>
          <w:lang w:val="en-AU"/>
        </w:rPr>
        <w:t>;</w:t>
      </w:r>
      <w:proofErr w:type="gramEnd"/>
    </w:p>
    <w:p w14:paraId="60EB62F4" w14:textId="7C4AE44D" w:rsidR="00090D76" w:rsidRPr="002D2560" w:rsidRDefault="00271FC1" w:rsidP="00271FC1">
      <w:pPr>
        <w:pStyle w:val="ListParagraph"/>
        <w:numPr>
          <w:ilvl w:val="0"/>
          <w:numId w:val="8"/>
        </w:numPr>
        <w:spacing w:line="259" w:lineRule="auto"/>
        <w:rPr>
          <w:lang w:val="en-AU"/>
        </w:rPr>
      </w:pPr>
      <w:r w:rsidRPr="002D2560">
        <w:rPr>
          <w:lang w:val="en-AU"/>
        </w:rPr>
        <w:t xml:space="preserve">determining data requirements and </w:t>
      </w:r>
      <w:r w:rsidR="009F266F" w:rsidRPr="002D2560">
        <w:rPr>
          <w:lang w:val="en-AU"/>
        </w:rPr>
        <w:t xml:space="preserve">data </w:t>
      </w:r>
      <w:r w:rsidRPr="002D2560">
        <w:rPr>
          <w:lang w:val="en-AU"/>
        </w:rPr>
        <w:t>standards to apply in relation to data to be provided by jurisdictions, including:</w:t>
      </w:r>
    </w:p>
    <w:p w14:paraId="08642404" w14:textId="27DF2249" w:rsidR="00090D76" w:rsidRPr="002D2560" w:rsidRDefault="00271FC1" w:rsidP="00271FC1">
      <w:pPr>
        <w:pStyle w:val="ListParagraph"/>
        <w:numPr>
          <w:ilvl w:val="1"/>
          <w:numId w:val="8"/>
        </w:numPr>
        <w:spacing w:line="259" w:lineRule="auto"/>
        <w:rPr>
          <w:lang w:val="en-AU"/>
        </w:rPr>
      </w:pPr>
      <w:r w:rsidRPr="002D2560">
        <w:rPr>
          <w:lang w:val="en-AU"/>
        </w:rPr>
        <w:t>data and coding standards to support uniform provision of data</w:t>
      </w:r>
      <w:r w:rsidR="009F266F" w:rsidRPr="002D2560">
        <w:rPr>
          <w:lang w:val="en-AU"/>
        </w:rPr>
        <w:t>; and</w:t>
      </w:r>
    </w:p>
    <w:p w14:paraId="58124BE4" w14:textId="6552CDC1" w:rsidR="00090D76" w:rsidRPr="002D2560" w:rsidRDefault="00271FC1" w:rsidP="00271FC1">
      <w:pPr>
        <w:pStyle w:val="ListParagraph"/>
        <w:numPr>
          <w:ilvl w:val="1"/>
          <w:numId w:val="8"/>
        </w:numPr>
        <w:spacing w:line="259" w:lineRule="auto"/>
        <w:rPr>
          <w:lang w:val="en-AU"/>
        </w:rPr>
      </w:pPr>
      <w:r w:rsidRPr="002D2560">
        <w:rPr>
          <w:lang w:val="en-AU"/>
        </w:rPr>
        <w:t xml:space="preserve">requirements and standards relating to patient demographic characteristics and other information relevant to classifying, costing and paying for public hospital </w:t>
      </w:r>
      <w:proofErr w:type="gramStart"/>
      <w:r w:rsidRPr="002D2560">
        <w:rPr>
          <w:lang w:val="en-AU"/>
        </w:rPr>
        <w:t>functions</w:t>
      </w:r>
      <w:r w:rsidR="009F266F" w:rsidRPr="002D2560">
        <w:rPr>
          <w:lang w:val="en-AU"/>
        </w:rPr>
        <w:t>;</w:t>
      </w:r>
      <w:proofErr w:type="gramEnd"/>
    </w:p>
    <w:p w14:paraId="3EFD240E" w14:textId="34AC50F0" w:rsidR="00271FC1" w:rsidRPr="002D2560" w:rsidRDefault="00271FC1" w:rsidP="00090D76">
      <w:pPr>
        <w:pStyle w:val="ListParagraph"/>
        <w:numPr>
          <w:ilvl w:val="0"/>
          <w:numId w:val="8"/>
        </w:numPr>
        <w:spacing w:line="259" w:lineRule="auto"/>
        <w:rPr>
          <w:lang w:val="en-AU"/>
        </w:rPr>
      </w:pPr>
      <w:r w:rsidRPr="002D2560">
        <w:rPr>
          <w:lang w:val="en-AU"/>
        </w:rPr>
        <w:t xml:space="preserve">except where otherwise agreed between the Commonwealth and a state or territory – </w:t>
      </w:r>
      <w:r w:rsidR="00342D62" w:rsidRPr="002D2560">
        <w:rPr>
          <w:lang w:val="en-AU"/>
        </w:rPr>
        <w:t>determining</w:t>
      </w:r>
      <w:r w:rsidRPr="002D2560">
        <w:rPr>
          <w:lang w:val="en-AU"/>
        </w:rPr>
        <w:t xml:space="preserve"> the public hospital functions that are to be funded in the state or territory by the Commonwealth.</w:t>
      </w:r>
    </w:p>
    <w:p w14:paraId="105D044E" w14:textId="799B6435" w:rsidR="00271FC1" w:rsidRPr="002D2560" w:rsidRDefault="00271FC1" w:rsidP="00C650F2">
      <w:pPr>
        <w:rPr>
          <w:lang w:val="en-AU"/>
        </w:rPr>
      </w:pPr>
      <w:r w:rsidRPr="002D2560">
        <w:rPr>
          <w:lang w:val="en-AU"/>
        </w:rPr>
        <w:t xml:space="preserve">Section 226(1) of the </w:t>
      </w:r>
      <w:r w:rsidR="006D0BA2" w:rsidRPr="002D2560">
        <w:rPr>
          <w:lang w:val="en-AU"/>
        </w:rPr>
        <w:t>NHR Act</w:t>
      </w:r>
      <w:r w:rsidRPr="002D2560">
        <w:rPr>
          <w:lang w:val="en-AU"/>
        </w:rPr>
        <w:t xml:space="preserve"> enables the </w:t>
      </w:r>
      <w:proofErr w:type="gramStart"/>
      <w:r w:rsidRPr="002D2560">
        <w:rPr>
          <w:lang w:val="en-AU"/>
        </w:rPr>
        <w:t>Commonwealth Minister</w:t>
      </w:r>
      <w:proofErr w:type="gramEnd"/>
      <w:r w:rsidRPr="002D2560">
        <w:rPr>
          <w:lang w:val="en-AU"/>
        </w:rPr>
        <w:t xml:space="preserve"> for Health </w:t>
      </w:r>
      <w:r w:rsidR="004C26D7" w:rsidRPr="002D2560">
        <w:rPr>
          <w:lang w:val="en-AU"/>
        </w:rPr>
        <w:t xml:space="preserve">and Aged Care </w:t>
      </w:r>
      <w:r w:rsidRPr="002D2560">
        <w:rPr>
          <w:lang w:val="en-AU"/>
        </w:rPr>
        <w:t>to give directions to the Pricing Authority in relation to the performance of its functions and the exercise of its powers.</w:t>
      </w:r>
    </w:p>
    <w:p w14:paraId="4A91415D" w14:textId="5D91C875" w:rsidR="00342D62" w:rsidRPr="002D2560" w:rsidRDefault="00342D62" w:rsidP="00C650F2">
      <w:pPr>
        <w:rPr>
          <w:lang w:val="en-AU"/>
        </w:rPr>
      </w:pPr>
      <w:r w:rsidRPr="002D2560">
        <w:rPr>
          <w:lang w:val="en-AU"/>
        </w:rPr>
        <w:lastRenderedPageBreak/>
        <w:t xml:space="preserve">The Addendum sets out the requirement for jurisdictions to submit a Statement of Assurance regarding data quality which is discussed in Section </w:t>
      </w:r>
      <w:r w:rsidR="00FA1EA6" w:rsidRPr="002D2560">
        <w:rPr>
          <w:lang w:val="en-AU"/>
        </w:rPr>
        <w:t>6</w:t>
      </w:r>
      <w:r w:rsidRPr="002D2560">
        <w:rPr>
          <w:lang w:val="en-AU"/>
        </w:rPr>
        <w:t>.4 of this Three Year Data Plan.</w:t>
      </w:r>
    </w:p>
    <w:p w14:paraId="5B7AE84B" w14:textId="7EBC23F3" w:rsidR="00271FC1" w:rsidRPr="002D2560" w:rsidRDefault="009511A5" w:rsidP="00C650F2">
      <w:pPr>
        <w:rPr>
          <w:lang w:val="en-AU"/>
        </w:rPr>
      </w:pPr>
      <w:r w:rsidRPr="002D2560">
        <w:rPr>
          <w:lang w:val="en-AU"/>
        </w:rPr>
        <w:t>The Addendum requires IHACPA to integrate safety and quality into the funding of public hospital services, through the incorporation of pricing and funding approaches for sentinel events, hospital acquired complications and avoidable hospital readmissions.</w:t>
      </w:r>
      <w:r w:rsidR="00AF1A53" w:rsidRPr="002D2560">
        <w:rPr>
          <w:lang w:val="en-AU"/>
        </w:rPr>
        <w:t xml:space="preserve"> The Addendum also stipulates that</w:t>
      </w:r>
      <w:r w:rsidRPr="002D2560">
        <w:rPr>
          <w:lang w:val="en-AU"/>
        </w:rPr>
        <w:t xml:space="preserve"> </w:t>
      </w:r>
      <w:r w:rsidR="00271FC1" w:rsidRPr="002D2560">
        <w:rPr>
          <w:lang w:val="en-AU"/>
        </w:rPr>
        <w:t>IH</w:t>
      </w:r>
      <w:r w:rsidR="00CB5F47" w:rsidRPr="002D2560">
        <w:rPr>
          <w:lang w:val="en-AU"/>
        </w:rPr>
        <w:t>AC</w:t>
      </w:r>
      <w:r w:rsidR="00271FC1" w:rsidRPr="002D2560">
        <w:rPr>
          <w:lang w:val="en-AU"/>
        </w:rPr>
        <w:t>PA will work with the Commonwealth and state and territory governments to explore and trial new and innovative approaches to public hospital funding to improve health outcomes.</w:t>
      </w:r>
    </w:p>
    <w:p w14:paraId="75DDA9ED" w14:textId="237B83EF" w:rsidR="008B1300" w:rsidRPr="002D2560" w:rsidRDefault="008B1300" w:rsidP="008B1300">
      <w:pPr>
        <w:pStyle w:val="Heading3"/>
      </w:pPr>
      <w:r w:rsidRPr="002D2560">
        <w:t>2.1.2</w:t>
      </w:r>
      <w:r w:rsidRPr="002D2560">
        <w:tab/>
        <w:t>Aged care</w:t>
      </w:r>
    </w:p>
    <w:p w14:paraId="2DED709D" w14:textId="77777777" w:rsidR="00E170FF" w:rsidRPr="002D2560" w:rsidRDefault="00E170FF" w:rsidP="00E170FF">
      <w:pPr>
        <w:rPr>
          <w:lang w:val="en-AU"/>
        </w:rPr>
      </w:pPr>
      <w:r w:rsidRPr="002D2560">
        <w:rPr>
          <w:lang w:val="en-AU"/>
        </w:rPr>
        <w:t xml:space="preserve">The role of IHACPA within the Australian aged care system is to provide advice on aged care costing and pricing matters to the </w:t>
      </w:r>
      <w:proofErr w:type="gramStart"/>
      <w:r w:rsidRPr="002D2560">
        <w:rPr>
          <w:lang w:val="en-AU"/>
        </w:rPr>
        <w:t>Commonwealth Minister</w:t>
      </w:r>
      <w:proofErr w:type="gramEnd"/>
      <w:r w:rsidRPr="002D2560">
        <w:rPr>
          <w:lang w:val="en-AU"/>
        </w:rPr>
        <w:t xml:space="preserve"> for Health and Aged Care, including:</w:t>
      </w:r>
    </w:p>
    <w:p w14:paraId="0906002C" w14:textId="77777777" w:rsidR="00E170FF" w:rsidRPr="002D2560" w:rsidRDefault="00E170FF" w:rsidP="00E170FF">
      <w:pPr>
        <w:pStyle w:val="ListParagraph"/>
        <w:numPr>
          <w:ilvl w:val="0"/>
          <w:numId w:val="26"/>
        </w:numPr>
        <w:rPr>
          <w:lang w:val="en-AU"/>
        </w:rPr>
      </w:pPr>
      <w:r w:rsidRPr="002D2560">
        <w:rPr>
          <w:lang w:val="en-AU"/>
        </w:rPr>
        <w:t>Providing annual aged care pricing advice about methods for calculating amounts of subsidies and supplements to be paid for residential aged care, residential respite care and home care. This will involve advice on the costs of care and how changes in the costs of care should be considered in Commonwealth Government funding decisions.</w:t>
      </w:r>
    </w:p>
    <w:p w14:paraId="46413B63" w14:textId="77777777" w:rsidR="00E170FF" w:rsidRPr="002D2560" w:rsidRDefault="00E170FF" w:rsidP="00E170FF">
      <w:pPr>
        <w:pStyle w:val="ListParagraph"/>
        <w:numPr>
          <w:ilvl w:val="0"/>
          <w:numId w:val="26"/>
        </w:numPr>
        <w:rPr>
          <w:lang w:val="en-AU"/>
        </w:rPr>
      </w:pPr>
      <w:r w:rsidRPr="002D2560">
        <w:rPr>
          <w:lang w:val="en-AU"/>
        </w:rPr>
        <w:t>Reviewing data, conducting studies and undertaking consultation for the purpose of providing aged care costing and pricing advice.</w:t>
      </w:r>
    </w:p>
    <w:p w14:paraId="4F902B47" w14:textId="77777777" w:rsidR="00E170FF" w:rsidRPr="002D2560" w:rsidRDefault="00E170FF" w:rsidP="00E170FF">
      <w:pPr>
        <w:pStyle w:val="ListParagraph"/>
        <w:numPr>
          <w:ilvl w:val="0"/>
          <w:numId w:val="26"/>
        </w:numPr>
        <w:rPr>
          <w:lang w:val="en-AU"/>
        </w:rPr>
      </w:pPr>
      <w:r w:rsidRPr="002D2560">
        <w:rPr>
          <w:lang w:val="en-AU"/>
        </w:rPr>
        <w:t xml:space="preserve">Performing such functions as conferred by the </w:t>
      </w:r>
      <w:r w:rsidRPr="002D2560">
        <w:rPr>
          <w:i/>
          <w:iCs/>
          <w:lang w:val="en-AU"/>
        </w:rPr>
        <w:t>Aged Care Act 1997</w:t>
      </w:r>
      <w:r w:rsidRPr="002D2560">
        <w:rPr>
          <w:lang w:val="en-AU"/>
        </w:rPr>
        <w:t xml:space="preserve"> or the </w:t>
      </w:r>
      <w:r w:rsidRPr="002D2560">
        <w:rPr>
          <w:i/>
          <w:iCs/>
          <w:lang w:val="en-AU"/>
        </w:rPr>
        <w:t>Aged Care (Transitional Provisions) Act 1997</w:t>
      </w:r>
      <w:r w:rsidRPr="002D2560">
        <w:rPr>
          <w:lang w:val="en-AU"/>
        </w:rPr>
        <w:t>.</w:t>
      </w:r>
    </w:p>
    <w:p w14:paraId="68D930EF" w14:textId="77777777" w:rsidR="00E170FF" w:rsidRPr="002D2560" w:rsidRDefault="00E170FF" w:rsidP="00E170FF">
      <w:pPr>
        <w:pStyle w:val="ListParagraph"/>
        <w:numPr>
          <w:ilvl w:val="0"/>
          <w:numId w:val="26"/>
        </w:numPr>
        <w:rPr>
          <w:lang w:val="en-AU"/>
        </w:rPr>
      </w:pPr>
      <w:r w:rsidRPr="002D2560">
        <w:rPr>
          <w:lang w:val="en-AU"/>
        </w:rPr>
        <w:t>Performing other functions relating to aged care (if any) specified in regulations.</w:t>
      </w:r>
    </w:p>
    <w:p w14:paraId="6F374179" w14:textId="77777777" w:rsidR="00E170FF" w:rsidRPr="002D2560" w:rsidRDefault="00E170FF" w:rsidP="00E170FF">
      <w:pPr>
        <w:pStyle w:val="ListParagraph"/>
        <w:numPr>
          <w:ilvl w:val="0"/>
          <w:numId w:val="26"/>
        </w:numPr>
        <w:rPr>
          <w:lang w:val="en-AU"/>
        </w:rPr>
      </w:pPr>
      <w:r w:rsidRPr="002D2560">
        <w:rPr>
          <w:lang w:val="en-AU"/>
        </w:rPr>
        <w:t>Undertaking other actions incidental or conducive to the performance of the above functions.</w:t>
      </w:r>
    </w:p>
    <w:p w14:paraId="35D7BA71" w14:textId="77777777" w:rsidR="00E170FF" w:rsidRPr="002D2560" w:rsidRDefault="00E170FF" w:rsidP="00E170FF">
      <w:pPr>
        <w:rPr>
          <w:lang w:val="en-AU"/>
        </w:rPr>
      </w:pPr>
      <w:r w:rsidRPr="002D2560">
        <w:rPr>
          <w:lang w:val="en-AU"/>
        </w:rPr>
        <w:t xml:space="preserve">The passage of the </w:t>
      </w:r>
      <w:r w:rsidRPr="002D2560">
        <w:rPr>
          <w:i/>
          <w:iCs/>
          <w:lang w:val="en-AU"/>
        </w:rPr>
        <w:t>Aged Care and Other Legislation Amendment (Royal Commission Response) Act 2022</w:t>
      </w:r>
      <w:r w:rsidRPr="002D2560">
        <w:rPr>
          <w:lang w:val="en-AU"/>
        </w:rPr>
        <w:t xml:space="preserve"> also saw the transfer of functions from the former Aged Care Pricing Commissioner to IHACPA. IHACPA therefore has the power to approve prices for residential aged care accommodation and extra services.</w:t>
      </w:r>
    </w:p>
    <w:p w14:paraId="301841B7" w14:textId="77777777" w:rsidR="00E170FF" w:rsidRPr="002D2560" w:rsidRDefault="00E170FF" w:rsidP="00E170FF">
      <w:pPr>
        <w:rPr>
          <w:lang w:val="en-AU"/>
        </w:rPr>
      </w:pPr>
      <w:r w:rsidRPr="002D2560">
        <w:rPr>
          <w:lang w:val="en-AU"/>
        </w:rPr>
        <w:t xml:space="preserve">Following the passage of the </w:t>
      </w:r>
      <w:r w:rsidRPr="002D2560">
        <w:rPr>
          <w:i/>
          <w:iCs/>
          <w:lang w:val="en-AU"/>
        </w:rPr>
        <w:t>Aged Care and Other Legislation Amendment (Royal Commission Response) Act 2022</w:t>
      </w:r>
      <w:r w:rsidRPr="002D2560">
        <w:rPr>
          <w:lang w:val="en-AU"/>
        </w:rPr>
        <w:t>, IHACPA may also:</w:t>
      </w:r>
    </w:p>
    <w:p w14:paraId="2D9DD9F4" w14:textId="77777777" w:rsidR="00E170FF" w:rsidRPr="002D2560" w:rsidRDefault="00E170FF" w:rsidP="00E170FF">
      <w:pPr>
        <w:pStyle w:val="ListParagraph"/>
        <w:numPr>
          <w:ilvl w:val="0"/>
          <w:numId w:val="26"/>
        </w:numPr>
        <w:rPr>
          <w:lang w:val="en-AU"/>
        </w:rPr>
      </w:pPr>
      <w:r w:rsidRPr="002D2560">
        <w:rPr>
          <w:lang w:val="en-AU"/>
        </w:rPr>
        <w:t>benchmark cost and activity data within the aged care system over time</w:t>
      </w:r>
    </w:p>
    <w:p w14:paraId="1BBF42A1" w14:textId="77777777" w:rsidR="00E170FF" w:rsidRPr="002D2560" w:rsidRDefault="00E170FF" w:rsidP="00E170FF">
      <w:pPr>
        <w:pStyle w:val="ListParagraph"/>
        <w:numPr>
          <w:ilvl w:val="0"/>
          <w:numId w:val="26"/>
        </w:numPr>
        <w:rPr>
          <w:lang w:val="en-AU"/>
        </w:rPr>
      </w:pPr>
      <w:proofErr w:type="gramStart"/>
      <w:r w:rsidRPr="002D2560">
        <w:rPr>
          <w:lang w:val="en-AU"/>
        </w:rPr>
        <w:t>give consideration to</w:t>
      </w:r>
      <w:proofErr w:type="gramEnd"/>
      <w:r w:rsidRPr="002D2560">
        <w:rPr>
          <w:lang w:val="en-AU"/>
        </w:rPr>
        <w:t xml:space="preserve"> the impact of wage increases on costs, only where these have been determined by the Fair Work Commission.</w:t>
      </w:r>
    </w:p>
    <w:p w14:paraId="136BDDED" w14:textId="77777777" w:rsidR="00E170FF" w:rsidRPr="002D2560" w:rsidRDefault="00E170FF" w:rsidP="00E170FF">
      <w:pPr>
        <w:rPr>
          <w:lang w:val="en-AU"/>
        </w:rPr>
      </w:pPr>
      <w:r w:rsidRPr="002D2560">
        <w:rPr>
          <w:lang w:val="en-AU"/>
        </w:rPr>
        <w:t>IHACPA activities relating to home care costing and pricing will be established after the future reforms take effect. The Government may request that IHACPA considers and provides advice on other aged care matters, as appropriate.</w:t>
      </w:r>
    </w:p>
    <w:p w14:paraId="334F8F22" w14:textId="6D27251A" w:rsidR="00271FC1" w:rsidRPr="002D2560" w:rsidRDefault="00271FC1" w:rsidP="003156D4">
      <w:pPr>
        <w:pStyle w:val="Heading2"/>
      </w:pPr>
      <w:r w:rsidRPr="002D2560">
        <w:t>National collections</w:t>
      </w:r>
      <w:r w:rsidR="004C26D7" w:rsidRPr="002D2560">
        <w:t xml:space="preserve"> for public hospital data</w:t>
      </w:r>
    </w:p>
    <w:p w14:paraId="0E32DF46" w14:textId="4F98CB0D" w:rsidR="00271FC1" w:rsidRPr="002D2560" w:rsidRDefault="00271FC1" w:rsidP="00C650F2">
      <w:pPr>
        <w:rPr>
          <w:lang w:val="en-AU"/>
        </w:rPr>
      </w:pPr>
      <w:r w:rsidRPr="002D2560">
        <w:rPr>
          <w:lang w:val="en-AU"/>
        </w:rPr>
        <w:t>IH</w:t>
      </w:r>
      <w:r w:rsidR="007F1B0A" w:rsidRPr="002D2560">
        <w:rPr>
          <w:lang w:val="en-AU"/>
        </w:rPr>
        <w:t>AC</w:t>
      </w:r>
      <w:r w:rsidRPr="002D2560">
        <w:rPr>
          <w:lang w:val="en-AU"/>
        </w:rPr>
        <w:t>PA continues to work closely with the Australian Institute of Health and Welfare (AIHW) and the national data governance processes to ensure that IH</w:t>
      </w:r>
      <w:r w:rsidR="007F1B0A" w:rsidRPr="002D2560">
        <w:rPr>
          <w:lang w:val="en-AU"/>
        </w:rPr>
        <w:t>AC</w:t>
      </w:r>
      <w:r w:rsidRPr="002D2560">
        <w:rPr>
          <w:lang w:val="en-AU"/>
        </w:rPr>
        <w:t>PA conforms with existing data development processes and structures to the fullest extent possible. IH</w:t>
      </w:r>
      <w:r w:rsidR="007F1B0A" w:rsidRPr="002D2560">
        <w:rPr>
          <w:lang w:val="en-AU"/>
        </w:rPr>
        <w:t>AC</w:t>
      </w:r>
      <w:r w:rsidRPr="002D2560">
        <w:rPr>
          <w:lang w:val="en-AU"/>
        </w:rPr>
        <w:t>PA is a Registering Authority for</w:t>
      </w:r>
      <w:r w:rsidR="009A42FC" w:rsidRPr="002D2560">
        <w:rPr>
          <w:lang w:val="en-AU"/>
        </w:rPr>
        <w:t xml:space="preserve"> the</w:t>
      </w:r>
      <w:r w:rsidRPr="002D2560">
        <w:rPr>
          <w:lang w:val="en-AU"/>
        </w:rPr>
        <w:t xml:space="preserve"> </w:t>
      </w:r>
      <w:hyperlink r:id="rId23" w:history="1">
        <w:r w:rsidR="00090D76" w:rsidRPr="002D2560">
          <w:rPr>
            <w:rStyle w:val="Hyperlink"/>
            <w:lang w:val="en-AU"/>
          </w:rPr>
          <w:t>M</w:t>
        </w:r>
        <w:r w:rsidR="009A42FC" w:rsidRPr="002D2560">
          <w:rPr>
            <w:rStyle w:val="Hyperlink"/>
            <w:lang w:val="en-AU"/>
          </w:rPr>
          <w:t>etadata Online Registry</w:t>
        </w:r>
      </w:hyperlink>
      <w:r w:rsidR="009A42FC" w:rsidRPr="002D2560">
        <w:rPr>
          <w:lang w:val="en-AU"/>
        </w:rPr>
        <w:t xml:space="preserve"> (METEOR)</w:t>
      </w:r>
      <w:r w:rsidRPr="002D2560">
        <w:rPr>
          <w:lang w:val="en-AU"/>
        </w:rPr>
        <w:t>, Australia’s repository for national metadata standards for health statistics and information. All specifications for IH</w:t>
      </w:r>
      <w:r w:rsidR="007F1B0A" w:rsidRPr="002D2560">
        <w:rPr>
          <w:lang w:val="en-AU"/>
        </w:rPr>
        <w:t>AC</w:t>
      </w:r>
      <w:r w:rsidRPr="002D2560">
        <w:rPr>
          <w:lang w:val="en-AU"/>
        </w:rPr>
        <w:t>PA’s data sets are stored in MET</w:t>
      </w:r>
      <w:r w:rsidR="009A42FC" w:rsidRPr="002D2560">
        <w:rPr>
          <w:lang w:val="en-AU"/>
        </w:rPr>
        <w:t>E</w:t>
      </w:r>
      <w:r w:rsidRPr="002D2560">
        <w:rPr>
          <w:lang w:val="en-AU"/>
        </w:rPr>
        <w:t>OR.</w:t>
      </w:r>
    </w:p>
    <w:p w14:paraId="50AC44B0" w14:textId="33B29933" w:rsidR="00271FC1" w:rsidRPr="002D2560" w:rsidRDefault="00271FC1" w:rsidP="00C650F2">
      <w:pPr>
        <w:rPr>
          <w:lang w:val="en-AU"/>
        </w:rPr>
      </w:pPr>
      <w:r w:rsidRPr="002D2560">
        <w:rPr>
          <w:lang w:val="en-AU"/>
        </w:rPr>
        <w:lastRenderedPageBreak/>
        <w:t>IH</w:t>
      </w:r>
      <w:r w:rsidR="007F1B0A" w:rsidRPr="002D2560">
        <w:rPr>
          <w:lang w:val="en-AU"/>
        </w:rPr>
        <w:t>AC</w:t>
      </w:r>
      <w:r w:rsidRPr="002D2560">
        <w:rPr>
          <w:lang w:val="en-AU"/>
        </w:rPr>
        <w:t xml:space="preserve">PA has worked with the </w:t>
      </w:r>
      <w:hyperlink r:id="rId24" w:history="1">
        <w:r w:rsidR="00090D76" w:rsidRPr="002D2560">
          <w:rPr>
            <w:rStyle w:val="Hyperlink"/>
            <w:rFonts w:cs="Arial"/>
            <w:lang w:val="en-AU"/>
          </w:rPr>
          <w:t>National Health Data and Information Standards Committee</w:t>
        </w:r>
      </w:hyperlink>
      <w:r w:rsidRPr="002D2560">
        <w:rPr>
          <w:lang w:val="en-AU"/>
        </w:rPr>
        <w:t xml:space="preserve"> (NHDISC) to incorporate ABF specific data items into existing data set specifications (DSS) where possible. </w:t>
      </w:r>
    </w:p>
    <w:p w14:paraId="338B5A5A" w14:textId="54126A1D" w:rsidR="00090D76" w:rsidRPr="002D2560" w:rsidRDefault="00271FC1" w:rsidP="00C650F2">
      <w:pPr>
        <w:keepNext/>
        <w:rPr>
          <w:lang w:val="en-AU"/>
        </w:rPr>
      </w:pPr>
      <w:r w:rsidRPr="002D2560">
        <w:rPr>
          <w:lang w:val="en-AU"/>
        </w:rPr>
        <w:t xml:space="preserve">A DSS is a range of metadata that is collected for a particular purpose. DSS are distributed into one of </w:t>
      </w:r>
      <w:r w:rsidR="00FA70CF" w:rsidRPr="002D2560">
        <w:rPr>
          <w:lang w:val="en-AU"/>
        </w:rPr>
        <w:t xml:space="preserve">three </w:t>
      </w:r>
      <w:r w:rsidRPr="002D2560">
        <w:rPr>
          <w:lang w:val="en-AU"/>
        </w:rPr>
        <w:t>categories:</w:t>
      </w:r>
    </w:p>
    <w:p w14:paraId="474663DB" w14:textId="3C44EAD5" w:rsidR="00FA70CF" w:rsidRPr="002D2560" w:rsidRDefault="00FA70CF" w:rsidP="00271FC1">
      <w:pPr>
        <w:pStyle w:val="ListParagraph"/>
        <w:numPr>
          <w:ilvl w:val="0"/>
          <w:numId w:val="9"/>
        </w:numPr>
        <w:spacing w:line="259" w:lineRule="auto"/>
        <w:rPr>
          <w:lang w:val="en-AU"/>
        </w:rPr>
      </w:pPr>
      <w:r w:rsidRPr="002D2560">
        <w:rPr>
          <w:lang w:val="en-AU"/>
        </w:rPr>
        <w:t>National Minimum Data Set (NMDS): This is a metadata set of health data which must be collected and reported across Australia.</w:t>
      </w:r>
    </w:p>
    <w:p w14:paraId="59DFE40A" w14:textId="7AA5BF0F" w:rsidR="00090D76" w:rsidRPr="002D2560" w:rsidRDefault="00271FC1" w:rsidP="00271FC1">
      <w:pPr>
        <w:pStyle w:val="ListParagraph"/>
        <w:numPr>
          <w:ilvl w:val="0"/>
          <w:numId w:val="9"/>
        </w:numPr>
        <w:spacing w:line="259" w:lineRule="auto"/>
        <w:rPr>
          <w:lang w:val="en-AU"/>
        </w:rPr>
      </w:pPr>
      <w:r w:rsidRPr="002D2560">
        <w:rPr>
          <w:lang w:val="en-AU"/>
        </w:rPr>
        <w:t xml:space="preserve">National </w:t>
      </w:r>
      <w:r w:rsidR="00FA70CF" w:rsidRPr="002D2560">
        <w:rPr>
          <w:lang w:val="en-AU"/>
        </w:rPr>
        <w:t>B</w:t>
      </w:r>
      <w:r w:rsidRPr="002D2560">
        <w:rPr>
          <w:lang w:val="en-AU"/>
        </w:rPr>
        <w:t xml:space="preserve">est </w:t>
      </w:r>
      <w:r w:rsidR="00FA70CF" w:rsidRPr="002D2560">
        <w:rPr>
          <w:lang w:val="en-AU"/>
        </w:rPr>
        <w:t>E</w:t>
      </w:r>
      <w:r w:rsidRPr="002D2560">
        <w:rPr>
          <w:lang w:val="en-AU"/>
        </w:rPr>
        <w:t xml:space="preserve">ndeavours </w:t>
      </w:r>
      <w:r w:rsidR="00FA70CF" w:rsidRPr="002D2560">
        <w:rPr>
          <w:lang w:val="en-AU"/>
        </w:rPr>
        <w:t>D</w:t>
      </w:r>
      <w:r w:rsidRPr="002D2560">
        <w:rPr>
          <w:lang w:val="en-AU"/>
        </w:rPr>
        <w:t xml:space="preserve">ata </w:t>
      </w:r>
      <w:r w:rsidR="00FA70CF" w:rsidRPr="002D2560">
        <w:rPr>
          <w:lang w:val="en-AU"/>
        </w:rPr>
        <w:t>S</w:t>
      </w:r>
      <w:r w:rsidRPr="002D2560">
        <w:rPr>
          <w:lang w:val="en-AU"/>
        </w:rPr>
        <w:t>et (NBEDS): This is a metadata set of health data which organisations and agencies do their best to collect</w:t>
      </w:r>
      <w:r w:rsidR="00FA70CF" w:rsidRPr="002D2560">
        <w:rPr>
          <w:lang w:val="en-AU"/>
        </w:rPr>
        <w:t>.</w:t>
      </w:r>
    </w:p>
    <w:p w14:paraId="438C59A1" w14:textId="4A969539" w:rsidR="00271FC1" w:rsidRPr="002D2560" w:rsidRDefault="00271FC1" w:rsidP="00271FC1">
      <w:pPr>
        <w:pStyle w:val="ListParagraph"/>
        <w:numPr>
          <w:ilvl w:val="0"/>
          <w:numId w:val="9"/>
        </w:numPr>
        <w:spacing w:line="259" w:lineRule="auto"/>
        <w:rPr>
          <w:lang w:val="en-AU"/>
        </w:rPr>
      </w:pPr>
      <w:r w:rsidRPr="002D2560">
        <w:rPr>
          <w:lang w:val="en-AU"/>
        </w:rPr>
        <w:t xml:space="preserve">National </w:t>
      </w:r>
      <w:r w:rsidR="00FA70CF" w:rsidRPr="002D2560">
        <w:rPr>
          <w:lang w:val="en-AU"/>
        </w:rPr>
        <w:t>B</w:t>
      </w:r>
      <w:r w:rsidRPr="002D2560">
        <w:rPr>
          <w:lang w:val="en-AU"/>
        </w:rPr>
        <w:t xml:space="preserve">est </w:t>
      </w:r>
      <w:r w:rsidR="00FA70CF" w:rsidRPr="002D2560">
        <w:rPr>
          <w:lang w:val="en-AU"/>
        </w:rPr>
        <w:t>P</w:t>
      </w:r>
      <w:r w:rsidRPr="002D2560">
        <w:rPr>
          <w:lang w:val="en-AU"/>
        </w:rPr>
        <w:t xml:space="preserve">ractice </w:t>
      </w:r>
      <w:r w:rsidR="00FA70CF" w:rsidRPr="002D2560">
        <w:rPr>
          <w:lang w:val="en-AU"/>
        </w:rPr>
        <w:t>D</w:t>
      </w:r>
      <w:r w:rsidRPr="002D2560">
        <w:rPr>
          <w:lang w:val="en-AU"/>
        </w:rPr>
        <w:t xml:space="preserve">ata </w:t>
      </w:r>
      <w:r w:rsidR="00FA70CF" w:rsidRPr="002D2560">
        <w:rPr>
          <w:lang w:val="en-AU"/>
        </w:rPr>
        <w:t>S</w:t>
      </w:r>
      <w:r w:rsidRPr="002D2560">
        <w:rPr>
          <w:lang w:val="en-AU"/>
        </w:rPr>
        <w:t>et: This is a metadata set of health data that is recommended for collection by agencies and organisations.</w:t>
      </w:r>
    </w:p>
    <w:p w14:paraId="7A5757B7" w14:textId="6EE4B75D" w:rsidR="00271FC1" w:rsidRPr="002D2560" w:rsidRDefault="00271FC1" w:rsidP="00C650F2">
      <w:pPr>
        <w:rPr>
          <w:lang w:val="en-AU"/>
        </w:rPr>
      </w:pPr>
      <w:r w:rsidRPr="002D2560">
        <w:rPr>
          <w:lang w:val="en-AU"/>
        </w:rPr>
        <w:t>IH</w:t>
      </w:r>
      <w:r w:rsidR="007F1B0A" w:rsidRPr="002D2560">
        <w:rPr>
          <w:lang w:val="en-AU"/>
        </w:rPr>
        <w:t>AC</w:t>
      </w:r>
      <w:r w:rsidRPr="002D2560">
        <w:rPr>
          <w:lang w:val="en-AU"/>
        </w:rPr>
        <w:t xml:space="preserve">PA relies on data elements reported in both NMDS and NBEDS, to inform development of the national pricing model. </w:t>
      </w:r>
    </w:p>
    <w:p w14:paraId="03CD0CB5" w14:textId="661660D5" w:rsidR="00271FC1" w:rsidRPr="002D2560" w:rsidRDefault="00271FC1" w:rsidP="00C650F2">
      <w:pPr>
        <w:rPr>
          <w:lang w:val="en-AU"/>
        </w:rPr>
      </w:pPr>
      <w:r w:rsidRPr="002D2560">
        <w:rPr>
          <w:lang w:val="en-AU"/>
        </w:rPr>
        <w:t>IH</w:t>
      </w:r>
      <w:r w:rsidR="007F1B0A" w:rsidRPr="002D2560">
        <w:rPr>
          <w:lang w:val="en-AU"/>
        </w:rPr>
        <w:t>AC</w:t>
      </w:r>
      <w:r w:rsidRPr="002D2560">
        <w:rPr>
          <w:lang w:val="en-AU"/>
        </w:rPr>
        <w:t xml:space="preserve">PA will continue to align ABF reporting requirements with existing national data collections where possible. </w:t>
      </w:r>
    </w:p>
    <w:p w14:paraId="6C6D2DBB" w14:textId="6E442D47" w:rsidR="00271FC1" w:rsidRPr="002D2560" w:rsidRDefault="00271FC1" w:rsidP="00C650F2">
      <w:pPr>
        <w:rPr>
          <w:lang w:val="en-AU"/>
        </w:rPr>
      </w:pPr>
      <w:r w:rsidRPr="002D2560">
        <w:rPr>
          <w:lang w:val="en-AU"/>
        </w:rPr>
        <w:t>IH</w:t>
      </w:r>
      <w:r w:rsidR="007F1B0A" w:rsidRPr="002D2560">
        <w:rPr>
          <w:lang w:val="en-AU"/>
        </w:rPr>
        <w:t>AC</w:t>
      </w:r>
      <w:r w:rsidRPr="002D2560">
        <w:rPr>
          <w:lang w:val="en-AU"/>
        </w:rPr>
        <w:t>PA supports the ‘single provision, multiple use’ principle outlined in clause B67d of the Addendum.</w:t>
      </w:r>
    </w:p>
    <w:p w14:paraId="33803EB1" w14:textId="50092315" w:rsidR="00271FC1" w:rsidRPr="002D2560" w:rsidRDefault="00271FC1" w:rsidP="00C650F2">
      <w:pPr>
        <w:rPr>
          <w:lang w:val="en-AU"/>
        </w:rPr>
      </w:pPr>
      <w:r w:rsidRPr="002D2560">
        <w:rPr>
          <w:lang w:val="en-AU"/>
        </w:rPr>
        <w:t>IH</w:t>
      </w:r>
      <w:r w:rsidR="007F1B0A" w:rsidRPr="002D2560">
        <w:rPr>
          <w:lang w:val="en-AU"/>
        </w:rPr>
        <w:t>AC</w:t>
      </w:r>
      <w:r w:rsidRPr="002D2560">
        <w:rPr>
          <w:lang w:val="en-AU"/>
        </w:rPr>
        <w:t xml:space="preserve">PA is a signatory to the </w:t>
      </w:r>
      <w:hyperlink r:id="rId25" w:history="1">
        <w:r w:rsidR="00090D76" w:rsidRPr="002D2560">
          <w:rPr>
            <w:rStyle w:val="Hyperlink"/>
            <w:lang w:val="en-AU"/>
          </w:rPr>
          <w:t>National Health Information Agreement</w:t>
        </w:r>
      </w:hyperlink>
      <w:r w:rsidRPr="002D2560">
        <w:rPr>
          <w:lang w:val="en-AU"/>
        </w:rPr>
        <w:t xml:space="preserve"> (NHIA), which involves a commitment to cooperate with the Commonwealth and states and territories on information management. The NHIA coordinates the development, collection and dissemination of health information in Australia, including the development, endorsement and maintenance of national data standards.</w:t>
      </w:r>
    </w:p>
    <w:p w14:paraId="59F1EB89" w14:textId="15F1D542" w:rsidR="00271FC1" w:rsidRPr="002D2560" w:rsidRDefault="00271FC1" w:rsidP="003156D4">
      <w:pPr>
        <w:pStyle w:val="Heading2"/>
      </w:pPr>
      <w:r w:rsidRPr="002D2560">
        <w:t>Consultation</w:t>
      </w:r>
    </w:p>
    <w:p w14:paraId="30E5BB71" w14:textId="0DE780D4" w:rsidR="00271FC1" w:rsidRPr="002D2560" w:rsidRDefault="00271FC1" w:rsidP="00C650F2">
      <w:pPr>
        <w:rPr>
          <w:lang w:val="en-AU"/>
        </w:rPr>
      </w:pPr>
      <w:r w:rsidRPr="002D2560">
        <w:rPr>
          <w:lang w:val="en-AU"/>
        </w:rPr>
        <w:t xml:space="preserve">Advisory committees and working groups have been established to ensure that jurisdictions are consulted and that </w:t>
      </w:r>
      <w:r w:rsidR="004C26D7" w:rsidRPr="002D2560">
        <w:rPr>
          <w:lang w:val="en-AU"/>
        </w:rPr>
        <w:t>IHACPA’s determinative functions</w:t>
      </w:r>
      <w:r w:rsidRPr="002D2560">
        <w:rPr>
          <w:lang w:val="en-AU"/>
        </w:rPr>
        <w:t xml:space="preserve"> are implemented efficiently.</w:t>
      </w:r>
    </w:p>
    <w:p w14:paraId="78549B44" w14:textId="78610C60" w:rsidR="00271FC1" w:rsidRPr="002D2560" w:rsidRDefault="00271FC1" w:rsidP="00C650F2">
      <w:pPr>
        <w:rPr>
          <w:lang w:val="en-AU"/>
        </w:rPr>
      </w:pPr>
      <w:r w:rsidRPr="002D2560">
        <w:rPr>
          <w:lang w:val="en-AU"/>
        </w:rPr>
        <w:t>IH</w:t>
      </w:r>
      <w:r w:rsidR="007F1B0A" w:rsidRPr="002D2560">
        <w:rPr>
          <w:lang w:val="en-AU"/>
        </w:rPr>
        <w:t>AC</w:t>
      </w:r>
      <w:r w:rsidRPr="002D2560">
        <w:rPr>
          <w:lang w:val="en-AU"/>
        </w:rPr>
        <w:t>PA uses these advisory committees and working groups to:</w:t>
      </w:r>
    </w:p>
    <w:p w14:paraId="773DEC44" w14:textId="244742A1" w:rsidR="00090D76" w:rsidRPr="002D2560" w:rsidRDefault="00271FC1" w:rsidP="00271FC1">
      <w:pPr>
        <w:pStyle w:val="ListParagraph"/>
        <w:numPr>
          <w:ilvl w:val="0"/>
          <w:numId w:val="10"/>
        </w:numPr>
        <w:spacing w:line="259" w:lineRule="auto"/>
        <w:rPr>
          <w:lang w:val="en-AU"/>
        </w:rPr>
      </w:pPr>
      <w:r w:rsidRPr="002D2560">
        <w:rPr>
          <w:lang w:val="en-AU"/>
        </w:rPr>
        <w:t>understand the impact on jurisdictions of collecting data required by IH</w:t>
      </w:r>
      <w:r w:rsidR="007F1B0A" w:rsidRPr="002D2560">
        <w:rPr>
          <w:lang w:val="en-AU"/>
        </w:rPr>
        <w:t>AC</w:t>
      </w:r>
      <w:r w:rsidRPr="002D2560">
        <w:rPr>
          <w:lang w:val="en-AU"/>
        </w:rPr>
        <w:t>PA</w:t>
      </w:r>
    </w:p>
    <w:p w14:paraId="544180CE" w14:textId="77777777" w:rsidR="00090D76" w:rsidRPr="002D2560" w:rsidRDefault="00271FC1" w:rsidP="00271FC1">
      <w:pPr>
        <w:pStyle w:val="ListParagraph"/>
        <w:numPr>
          <w:ilvl w:val="0"/>
          <w:numId w:val="10"/>
        </w:numPr>
        <w:spacing w:line="259" w:lineRule="auto"/>
        <w:rPr>
          <w:lang w:val="en-AU"/>
        </w:rPr>
      </w:pPr>
      <w:r w:rsidRPr="002D2560">
        <w:rPr>
          <w:lang w:val="en-AU"/>
        </w:rPr>
        <w:t>consult on timelines to incorporate standardised data collection methodologies</w:t>
      </w:r>
    </w:p>
    <w:p w14:paraId="150D50EC" w14:textId="3AE630F2" w:rsidR="00090D76" w:rsidRPr="002D2560" w:rsidRDefault="00271FC1" w:rsidP="00271FC1">
      <w:pPr>
        <w:pStyle w:val="ListParagraph"/>
        <w:numPr>
          <w:ilvl w:val="0"/>
          <w:numId w:val="10"/>
        </w:numPr>
        <w:spacing w:line="259" w:lineRule="auto"/>
        <w:rPr>
          <w:lang w:val="en-AU"/>
        </w:rPr>
      </w:pPr>
      <w:r w:rsidRPr="002D2560">
        <w:rPr>
          <w:lang w:val="en-AU"/>
        </w:rPr>
        <w:t>encourage and facilitate processes that will ensure data accuracy</w:t>
      </w:r>
    </w:p>
    <w:p w14:paraId="6EB0E1C9" w14:textId="77777777" w:rsidR="00F031F7" w:rsidRPr="002D2560" w:rsidRDefault="00271FC1" w:rsidP="00271FC1">
      <w:pPr>
        <w:pStyle w:val="ListParagraph"/>
        <w:numPr>
          <w:ilvl w:val="0"/>
          <w:numId w:val="10"/>
        </w:numPr>
        <w:spacing w:line="259" w:lineRule="auto"/>
        <w:rPr>
          <w:lang w:val="en-AU"/>
        </w:rPr>
      </w:pPr>
      <w:r w:rsidRPr="002D2560">
        <w:rPr>
          <w:lang w:val="en-AU"/>
        </w:rPr>
        <w:t xml:space="preserve">review preliminary results from hospitals and </w:t>
      </w:r>
      <w:proofErr w:type="gramStart"/>
      <w:r w:rsidRPr="002D2560">
        <w:rPr>
          <w:lang w:val="en-AU"/>
        </w:rPr>
        <w:t>provide assistance</w:t>
      </w:r>
      <w:proofErr w:type="gramEnd"/>
      <w:r w:rsidRPr="002D2560">
        <w:rPr>
          <w:lang w:val="en-AU"/>
        </w:rPr>
        <w:t xml:space="preserve"> in quality assurance.</w:t>
      </w:r>
    </w:p>
    <w:p w14:paraId="3870A297" w14:textId="77777777" w:rsidR="00F031F7" w:rsidRPr="002D2560" w:rsidRDefault="00F031F7" w:rsidP="00F031F7">
      <w:pPr>
        <w:spacing w:line="259" w:lineRule="auto"/>
        <w:rPr>
          <w:lang w:val="en-AU"/>
        </w:rPr>
      </w:pPr>
    </w:p>
    <w:p w14:paraId="0E222584" w14:textId="77777777" w:rsidR="00F031F7" w:rsidRPr="002D2560" w:rsidRDefault="00F031F7">
      <w:pPr>
        <w:spacing w:line="259" w:lineRule="auto"/>
        <w:rPr>
          <w:lang w:val="en-AU"/>
        </w:rPr>
      </w:pPr>
      <w:r w:rsidRPr="002D2560">
        <w:rPr>
          <w:lang w:val="en-AU"/>
        </w:rPr>
        <w:br w:type="page"/>
      </w:r>
    </w:p>
    <w:p w14:paraId="4A62F71D" w14:textId="24172F78" w:rsidR="00723269" w:rsidRPr="002D2560" w:rsidRDefault="00090D76" w:rsidP="00271FC1">
      <w:pPr>
        <w:pStyle w:val="Heading1"/>
      </w:pPr>
      <w:bookmarkStart w:id="11" w:name="_Toc121927352"/>
      <w:r w:rsidRPr="002D2560">
        <w:lastRenderedPageBreak/>
        <w:t>Security and privacy</w:t>
      </w:r>
      <w:bookmarkEnd w:id="11"/>
    </w:p>
    <w:p w14:paraId="062C72DB" w14:textId="4973B625" w:rsidR="00090D76" w:rsidRPr="002D2560" w:rsidRDefault="00090D76" w:rsidP="00C650F2">
      <w:pPr>
        <w:rPr>
          <w:lang w:val="en-AU"/>
        </w:rPr>
      </w:pPr>
      <w:r w:rsidRPr="002D2560">
        <w:rPr>
          <w:lang w:val="en-AU"/>
        </w:rPr>
        <w:t>IH</w:t>
      </w:r>
      <w:r w:rsidR="007F1B0A" w:rsidRPr="002D2560">
        <w:rPr>
          <w:lang w:val="en-AU"/>
        </w:rPr>
        <w:t>AC</w:t>
      </w:r>
      <w:r w:rsidRPr="002D2560">
        <w:rPr>
          <w:lang w:val="en-AU"/>
        </w:rPr>
        <w:t>PA is tasked with collecting, securing and using information in accordance with relevant legislation and national privacy principles, ethical guidelines and practices.</w:t>
      </w:r>
    </w:p>
    <w:p w14:paraId="51AEEF8C" w14:textId="05B601A4" w:rsidR="00723269" w:rsidRPr="002D2560" w:rsidRDefault="00090D76" w:rsidP="003156D4">
      <w:pPr>
        <w:pStyle w:val="Heading2"/>
      </w:pPr>
      <w:r w:rsidRPr="002D2560">
        <w:t>Privacy</w:t>
      </w:r>
    </w:p>
    <w:p w14:paraId="195C74B0" w14:textId="054605AF" w:rsidR="00090D76" w:rsidRPr="002D2560" w:rsidRDefault="00090D76" w:rsidP="00C650F2">
      <w:pPr>
        <w:rPr>
          <w:lang w:val="en-AU"/>
        </w:rPr>
      </w:pPr>
      <w:r w:rsidRPr="002D2560">
        <w:rPr>
          <w:lang w:val="en-AU"/>
        </w:rPr>
        <w:t>The privacy of information is of paramount importance. IH</w:t>
      </w:r>
      <w:r w:rsidR="007F1B0A" w:rsidRPr="002D2560">
        <w:rPr>
          <w:lang w:val="en-AU"/>
        </w:rPr>
        <w:t>AC</w:t>
      </w:r>
      <w:r w:rsidRPr="002D2560">
        <w:rPr>
          <w:lang w:val="en-AU"/>
        </w:rPr>
        <w:t xml:space="preserve">PA manages all information in accordance with the Australian Privacy Principles in the </w:t>
      </w:r>
      <w:r w:rsidRPr="002D2560">
        <w:rPr>
          <w:i/>
          <w:iCs/>
          <w:lang w:val="en-AU"/>
        </w:rPr>
        <w:t>Privacy Act 1988</w:t>
      </w:r>
      <w:r w:rsidRPr="002D2560">
        <w:rPr>
          <w:lang w:val="en-AU"/>
        </w:rPr>
        <w:t xml:space="preserve"> and the </w:t>
      </w:r>
      <w:r w:rsidRPr="002D2560">
        <w:rPr>
          <w:i/>
          <w:iCs/>
          <w:lang w:val="en-AU"/>
        </w:rPr>
        <w:t>Privacy Amendment (Enhancing Privacy Protection) Act 2012</w:t>
      </w:r>
      <w:r w:rsidR="00AD7862" w:rsidRPr="002D2560">
        <w:rPr>
          <w:lang w:val="en-AU"/>
        </w:rPr>
        <w:t>,</w:t>
      </w:r>
      <w:r w:rsidRPr="002D2560">
        <w:rPr>
          <w:lang w:val="en-AU"/>
        </w:rPr>
        <w:t xml:space="preserve"> the secrecy and patient confidentiality provisions in the </w:t>
      </w:r>
      <w:r w:rsidR="006D0BA2" w:rsidRPr="002D2560">
        <w:rPr>
          <w:lang w:val="en-AU"/>
        </w:rPr>
        <w:t>NHR Act</w:t>
      </w:r>
      <w:r w:rsidRPr="002D2560">
        <w:rPr>
          <w:lang w:val="en-AU"/>
        </w:rPr>
        <w:t xml:space="preserve"> as well as other statutory protections.</w:t>
      </w:r>
    </w:p>
    <w:p w14:paraId="0AF5382B" w14:textId="6A54B4AF" w:rsidR="00090D76" w:rsidRPr="002D2560" w:rsidRDefault="00090D76" w:rsidP="00C650F2">
      <w:pPr>
        <w:rPr>
          <w:lang w:val="en-AU"/>
        </w:rPr>
      </w:pPr>
      <w:r w:rsidRPr="002D2560">
        <w:rPr>
          <w:lang w:val="en-AU"/>
        </w:rPr>
        <w:t xml:space="preserve">The </w:t>
      </w:r>
      <w:r w:rsidR="006D0BA2" w:rsidRPr="002D2560">
        <w:rPr>
          <w:lang w:val="en-AU"/>
        </w:rPr>
        <w:t>NHR Act</w:t>
      </w:r>
      <w:r w:rsidRPr="002D2560">
        <w:rPr>
          <w:lang w:val="en-AU"/>
        </w:rPr>
        <w:t xml:space="preserve"> provides protections for personal information and makes provisions to ensure patient confidentiality.</w:t>
      </w:r>
    </w:p>
    <w:p w14:paraId="7C786DE2" w14:textId="4EA47A8F" w:rsidR="00090D76" w:rsidRPr="002D2560" w:rsidRDefault="00090D76" w:rsidP="00C650F2">
      <w:pPr>
        <w:rPr>
          <w:lang w:val="en-AU"/>
        </w:rPr>
      </w:pPr>
      <w:r w:rsidRPr="002D2560">
        <w:rPr>
          <w:lang w:val="en-AU"/>
        </w:rPr>
        <w:t>All IH</w:t>
      </w:r>
      <w:r w:rsidR="007F1B0A" w:rsidRPr="002D2560">
        <w:rPr>
          <w:lang w:val="en-AU"/>
        </w:rPr>
        <w:t>AC</w:t>
      </w:r>
      <w:r w:rsidRPr="002D2560">
        <w:rPr>
          <w:lang w:val="en-AU"/>
        </w:rPr>
        <w:t xml:space="preserve">PA staff are employed under the </w:t>
      </w:r>
      <w:r w:rsidRPr="002D2560">
        <w:rPr>
          <w:i/>
          <w:iCs/>
          <w:lang w:val="en-AU"/>
        </w:rPr>
        <w:t>Public Service Act 1999</w:t>
      </w:r>
      <w:r w:rsidRPr="002D2560">
        <w:rPr>
          <w:lang w:val="en-AU"/>
        </w:rPr>
        <w:t xml:space="preserve"> and are subject to the Australian Public Service Code of Conduct. </w:t>
      </w:r>
    </w:p>
    <w:p w14:paraId="331C7402" w14:textId="034B432C" w:rsidR="00090D76" w:rsidRPr="002D2560" w:rsidRDefault="00090D76" w:rsidP="003156D4">
      <w:pPr>
        <w:pStyle w:val="Heading2"/>
      </w:pPr>
      <w:r w:rsidRPr="002D2560">
        <w:t>Security</w:t>
      </w:r>
    </w:p>
    <w:p w14:paraId="659B42C5" w14:textId="135B96D9" w:rsidR="00090D76" w:rsidRPr="002D2560" w:rsidRDefault="00090D76" w:rsidP="00C650F2">
      <w:pPr>
        <w:rPr>
          <w:lang w:val="en-AU"/>
        </w:rPr>
      </w:pPr>
      <w:r w:rsidRPr="002D2560">
        <w:rPr>
          <w:lang w:val="en-AU"/>
        </w:rPr>
        <w:t>IH</w:t>
      </w:r>
      <w:r w:rsidR="007F1B0A" w:rsidRPr="002D2560">
        <w:rPr>
          <w:lang w:val="en-AU"/>
        </w:rPr>
        <w:t>AC</w:t>
      </w:r>
      <w:r w:rsidRPr="002D2560">
        <w:rPr>
          <w:lang w:val="en-AU"/>
        </w:rPr>
        <w:t>PA is committed to the security of data submitted by jurisdictions. Systems and processes used for collection, analysis, storage and reporting are designed to ensure security of information.</w:t>
      </w:r>
    </w:p>
    <w:p w14:paraId="105D7BCD" w14:textId="67CC7316" w:rsidR="00090D76" w:rsidRPr="002D2560" w:rsidRDefault="00090D76" w:rsidP="00C650F2">
      <w:pPr>
        <w:rPr>
          <w:lang w:val="en-AU"/>
        </w:rPr>
      </w:pPr>
      <w:r w:rsidRPr="002D2560">
        <w:rPr>
          <w:lang w:val="en-AU"/>
        </w:rPr>
        <w:t>To manage its information security risks and responsibilities, IH</w:t>
      </w:r>
      <w:r w:rsidR="007F1B0A" w:rsidRPr="002D2560">
        <w:rPr>
          <w:lang w:val="en-AU"/>
        </w:rPr>
        <w:t>AC</w:t>
      </w:r>
      <w:r w:rsidRPr="002D2560">
        <w:rPr>
          <w:lang w:val="en-AU"/>
        </w:rPr>
        <w:t xml:space="preserve">PA has an internal Protective Security Policy Framework modelled on the Australian Government’s </w:t>
      </w:r>
      <w:hyperlink r:id="rId26" w:history="1">
        <w:r w:rsidRPr="002D2560">
          <w:rPr>
            <w:rStyle w:val="Hyperlink"/>
            <w:lang w:val="en-AU"/>
          </w:rPr>
          <w:t>Protective Security Policy Framework</w:t>
        </w:r>
      </w:hyperlink>
      <w:r w:rsidRPr="002D2560">
        <w:rPr>
          <w:lang w:val="en-AU"/>
        </w:rPr>
        <w:t>. IH</w:t>
      </w:r>
      <w:r w:rsidR="007F1B0A" w:rsidRPr="002D2560">
        <w:rPr>
          <w:lang w:val="en-AU"/>
        </w:rPr>
        <w:t>AC</w:t>
      </w:r>
      <w:r w:rsidRPr="002D2560">
        <w:rPr>
          <w:lang w:val="en-AU"/>
        </w:rPr>
        <w:t>PA’s Protective Security Policy Framework consists of a range of policies that interact and complement each other to provide a comprehensive framework for the handling of information collected by IH</w:t>
      </w:r>
      <w:r w:rsidR="007F1B0A" w:rsidRPr="002D2560">
        <w:rPr>
          <w:lang w:val="en-AU"/>
        </w:rPr>
        <w:t>AC</w:t>
      </w:r>
      <w:r w:rsidRPr="002D2560">
        <w:rPr>
          <w:lang w:val="en-AU"/>
        </w:rPr>
        <w:t>PA. The following policies are included in IH</w:t>
      </w:r>
      <w:r w:rsidR="007F1B0A" w:rsidRPr="002D2560">
        <w:rPr>
          <w:lang w:val="en-AU"/>
        </w:rPr>
        <w:t>AC</w:t>
      </w:r>
      <w:r w:rsidRPr="002D2560">
        <w:rPr>
          <w:lang w:val="en-AU"/>
        </w:rPr>
        <w:t>PA’s Protective Security Policy Framework:</w:t>
      </w:r>
    </w:p>
    <w:p w14:paraId="60B4E271" w14:textId="2B5B4F6B" w:rsidR="00090D76" w:rsidRPr="002D2560" w:rsidRDefault="00090D76" w:rsidP="00090D76">
      <w:pPr>
        <w:pStyle w:val="ListParagraph"/>
        <w:numPr>
          <w:ilvl w:val="0"/>
          <w:numId w:val="11"/>
        </w:numPr>
        <w:rPr>
          <w:lang w:val="en-AU"/>
        </w:rPr>
      </w:pPr>
      <w:r w:rsidRPr="002D2560">
        <w:rPr>
          <w:lang w:val="en-AU"/>
        </w:rPr>
        <w:t>IH</w:t>
      </w:r>
      <w:r w:rsidR="007F1B0A" w:rsidRPr="002D2560">
        <w:rPr>
          <w:lang w:val="en-AU"/>
        </w:rPr>
        <w:t>AC</w:t>
      </w:r>
      <w:r w:rsidRPr="002D2560">
        <w:rPr>
          <w:lang w:val="en-AU"/>
        </w:rPr>
        <w:t>PA Information Security Policy – This policy outlines how IH</w:t>
      </w:r>
      <w:r w:rsidR="007F1B0A" w:rsidRPr="002D2560">
        <w:rPr>
          <w:lang w:val="en-AU"/>
        </w:rPr>
        <w:t>AC</w:t>
      </w:r>
      <w:r w:rsidRPr="002D2560">
        <w:rPr>
          <w:lang w:val="en-AU"/>
        </w:rPr>
        <w:t>PA secures its information assets and information processing facilities. Information relating to IH</w:t>
      </w:r>
      <w:r w:rsidR="007F1B0A" w:rsidRPr="002D2560">
        <w:rPr>
          <w:lang w:val="en-AU"/>
        </w:rPr>
        <w:t>AC</w:t>
      </w:r>
      <w:r w:rsidRPr="002D2560">
        <w:rPr>
          <w:lang w:val="en-AU"/>
        </w:rPr>
        <w:t>PA is a highly valuable asset, which requires protection from unauthorised use, disclosure, potential theft, alteration, or destruction. Effective information security management enables information to be shared while minimising IH</w:t>
      </w:r>
      <w:r w:rsidR="007F1B0A" w:rsidRPr="002D2560">
        <w:rPr>
          <w:lang w:val="en-AU"/>
        </w:rPr>
        <w:t>AC</w:t>
      </w:r>
      <w:r w:rsidRPr="002D2560">
        <w:rPr>
          <w:lang w:val="en-AU"/>
        </w:rPr>
        <w:t>PA’s exposure to risk.</w:t>
      </w:r>
    </w:p>
    <w:p w14:paraId="3366B51B" w14:textId="26845001" w:rsidR="00090D76" w:rsidRPr="002D2560" w:rsidRDefault="00090D76" w:rsidP="00090D76">
      <w:pPr>
        <w:pStyle w:val="ListParagraph"/>
        <w:numPr>
          <w:ilvl w:val="0"/>
          <w:numId w:val="11"/>
        </w:numPr>
        <w:rPr>
          <w:lang w:val="en-AU"/>
        </w:rPr>
      </w:pPr>
      <w:r w:rsidRPr="002D2560">
        <w:rPr>
          <w:lang w:val="en-AU"/>
        </w:rPr>
        <w:t>IH</w:t>
      </w:r>
      <w:r w:rsidR="007F1B0A" w:rsidRPr="002D2560">
        <w:rPr>
          <w:lang w:val="en-AU"/>
        </w:rPr>
        <w:t>AC</w:t>
      </w:r>
      <w:r w:rsidRPr="002D2560">
        <w:rPr>
          <w:lang w:val="en-AU"/>
        </w:rPr>
        <w:t>PA Cloud Security Policy – This policy defines IH</w:t>
      </w:r>
      <w:r w:rsidR="007F1B0A" w:rsidRPr="002D2560">
        <w:rPr>
          <w:lang w:val="en-AU"/>
        </w:rPr>
        <w:t>AC</w:t>
      </w:r>
      <w:r w:rsidRPr="002D2560">
        <w:rPr>
          <w:lang w:val="en-AU"/>
        </w:rPr>
        <w:t>PA’s approach to the use and procurement of cloud technology services, noting that the public expects IH</w:t>
      </w:r>
      <w:r w:rsidR="007F1B0A" w:rsidRPr="002D2560">
        <w:rPr>
          <w:lang w:val="en-AU"/>
        </w:rPr>
        <w:t>AC</w:t>
      </w:r>
      <w:r w:rsidRPr="002D2560">
        <w:rPr>
          <w:lang w:val="en-AU"/>
        </w:rPr>
        <w:t>PA to have a low tolerance for interruption to critical services or to breaches of the confidentiality of protected data. This policy also covers cloud service providers that provide cloud services through a private, public, community or hybrid cloud deployment model.</w:t>
      </w:r>
    </w:p>
    <w:p w14:paraId="780ABB4A" w14:textId="12608A8E" w:rsidR="00090D76" w:rsidRPr="002D2560" w:rsidRDefault="00090D76" w:rsidP="00090D76">
      <w:pPr>
        <w:pStyle w:val="ListParagraph"/>
        <w:numPr>
          <w:ilvl w:val="0"/>
          <w:numId w:val="11"/>
        </w:numPr>
        <w:rPr>
          <w:lang w:val="en-AU"/>
        </w:rPr>
      </w:pPr>
      <w:r w:rsidRPr="002D2560">
        <w:rPr>
          <w:lang w:val="en-AU"/>
        </w:rPr>
        <w:t>IH</w:t>
      </w:r>
      <w:r w:rsidR="007F1B0A" w:rsidRPr="002D2560">
        <w:rPr>
          <w:lang w:val="en-AU"/>
        </w:rPr>
        <w:t>AC</w:t>
      </w:r>
      <w:r w:rsidRPr="002D2560">
        <w:rPr>
          <w:lang w:val="en-AU"/>
        </w:rPr>
        <w:t>PA IT Operations Security Policy – This policy outlines how IH</w:t>
      </w:r>
      <w:r w:rsidR="007F1B0A" w:rsidRPr="002D2560">
        <w:rPr>
          <w:lang w:val="en-AU"/>
        </w:rPr>
        <w:t>AC</w:t>
      </w:r>
      <w:r w:rsidRPr="002D2560">
        <w:rPr>
          <w:lang w:val="en-AU"/>
        </w:rPr>
        <w:t>PA secures its information assets. It demonstrates how IH</w:t>
      </w:r>
      <w:r w:rsidR="007F1B0A" w:rsidRPr="002D2560">
        <w:rPr>
          <w:lang w:val="en-AU"/>
        </w:rPr>
        <w:t>AC</w:t>
      </w:r>
      <w:r w:rsidRPr="002D2560">
        <w:rPr>
          <w:lang w:val="en-AU"/>
        </w:rPr>
        <w:t xml:space="preserve">PA will ensure the confidentiality, integrity and availability of the information and technology assets it uses. </w:t>
      </w:r>
    </w:p>
    <w:p w14:paraId="418F65BD" w14:textId="205EF983" w:rsidR="00090D76" w:rsidRPr="002D2560" w:rsidRDefault="00090D76" w:rsidP="00090D76">
      <w:pPr>
        <w:pStyle w:val="ListParagraph"/>
        <w:numPr>
          <w:ilvl w:val="0"/>
          <w:numId w:val="11"/>
        </w:numPr>
        <w:rPr>
          <w:lang w:val="en-AU"/>
        </w:rPr>
      </w:pPr>
      <w:r w:rsidRPr="002D2560">
        <w:rPr>
          <w:lang w:val="en-AU"/>
        </w:rPr>
        <w:lastRenderedPageBreak/>
        <w:t>IH</w:t>
      </w:r>
      <w:r w:rsidR="007F1B0A" w:rsidRPr="002D2560">
        <w:rPr>
          <w:lang w:val="en-AU"/>
        </w:rPr>
        <w:t>AC</w:t>
      </w:r>
      <w:r w:rsidRPr="002D2560">
        <w:rPr>
          <w:lang w:val="en-AU"/>
        </w:rPr>
        <w:t>PA Consultant Access to IH</w:t>
      </w:r>
      <w:r w:rsidR="007F1B0A" w:rsidRPr="002D2560">
        <w:rPr>
          <w:lang w:val="en-AU"/>
        </w:rPr>
        <w:t>AC</w:t>
      </w:r>
      <w:r w:rsidRPr="002D2560">
        <w:rPr>
          <w:lang w:val="en-AU"/>
        </w:rPr>
        <w:t>PA Protected Data Rules – This policy defines the roles and responsibilities of consultants in relation to data access, retrieval, transfer and storage of data assets.</w:t>
      </w:r>
    </w:p>
    <w:p w14:paraId="2AD1E4D9" w14:textId="4C01EF41" w:rsidR="00090D76" w:rsidRPr="002D2560" w:rsidRDefault="00090D76" w:rsidP="00090D76">
      <w:pPr>
        <w:pStyle w:val="ListParagraph"/>
        <w:numPr>
          <w:ilvl w:val="0"/>
          <w:numId w:val="11"/>
        </w:numPr>
        <w:rPr>
          <w:lang w:val="en-AU"/>
        </w:rPr>
      </w:pPr>
      <w:r w:rsidRPr="002D2560">
        <w:rPr>
          <w:lang w:val="en-AU"/>
        </w:rPr>
        <w:t>IH</w:t>
      </w:r>
      <w:r w:rsidR="007F1B0A" w:rsidRPr="002D2560">
        <w:rPr>
          <w:lang w:val="en-AU"/>
        </w:rPr>
        <w:t>AC</w:t>
      </w:r>
      <w:r w:rsidRPr="002D2560">
        <w:rPr>
          <w:lang w:val="en-AU"/>
        </w:rPr>
        <w:t>PA Data Management Policy – This policy outlines IH</w:t>
      </w:r>
      <w:r w:rsidR="007F1B0A" w:rsidRPr="002D2560">
        <w:rPr>
          <w:lang w:val="en-AU"/>
        </w:rPr>
        <w:t>AC</w:t>
      </w:r>
      <w:r w:rsidRPr="002D2560">
        <w:rPr>
          <w:lang w:val="en-AU"/>
        </w:rPr>
        <w:t>PA’s approach to data retention and backup management of IH</w:t>
      </w:r>
      <w:r w:rsidR="007F1B0A" w:rsidRPr="002D2560">
        <w:rPr>
          <w:lang w:val="en-AU"/>
        </w:rPr>
        <w:t>AC</w:t>
      </w:r>
      <w:r w:rsidRPr="002D2560">
        <w:rPr>
          <w:lang w:val="en-AU"/>
        </w:rPr>
        <w:t>PA’s IT systems and information assets.</w:t>
      </w:r>
    </w:p>
    <w:p w14:paraId="0B1EB3F9" w14:textId="6C8D481F" w:rsidR="00090D76" w:rsidRPr="002D2560" w:rsidRDefault="00090D76" w:rsidP="00090D76">
      <w:pPr>
        <w:pStyle w:val="ListParagraph"/>
        <w:numPr>
          <w:ilvl w:val="0"/>
          <w:numId w:val="11"/>
        </w:numPr>
        <w:rPr>
          <w:lang w:val="en-AU"/>
        </w:rPr>
      </w:pPr>
      <w:r w:rsidRPr="002D2560">
        <w:rPr>
          <w:lang w:val="en-AU"/>
        </w:rPr>
        <w:t>IH</w:t>
      </w:r>
      <w:r w:rsidR="007F1B0A" w:rsidRPr="002D2560">
        <w:rPr>
          <w:lang w:val="en-AU"/>
        </w:rPr>
        <w:t>AC</w:t>
      </w:r>
      <w:r w:rsidRPr="002D2560">
        <w:rPr>
          <w:lang w:val="en-AU"/>
        </w:rPr>
        <w:t>PA Data Breach Response Plan – This document is used to ensure that IH</w:t>
      </w:r>
      <w:r w:rsidR="007F1B0A" w:rsidRPr="002D2560">
        <w:rPr>
          <w:lang w:val="en-AU"/>
        </w:rPr>
        <w:t>AC</w:t>
      </w:r>
      <w:r w:rsidRPr="002D2560">
        <w:rPr>
          <w:lang w:val="en-AU"/>
        </w:rPr>
        <w:t>PA assesses and responds to actual and suspected data breaches, and that IH</w:t>
      </w:r>
      <w:r w:rsidR="007F1B0A" w:rsidRPr="002D2560">
        <w:rPr>
          <w:lang w:val="en-AU"/>
        </w:rPr>
        <w:t>AC</w:t>
      </w:r>
      <w:r w:rsidRPr="002D2560">
        <w:rPr>
          <w:lang w:val="en-AU"/>
        </w:rPr>
        <w:t xml:space="preserve">PA is able to identify and notify ‘eligible data breaches’ to the Privacy Commissioner in compliance with the </w:t>
      </w:r>
      <w:r w:rsidRPr="002D2560">
        <w:rPr>
          <w:i/>
          <w:iCs/>
          <w:lang w:val="en-AU"/>
        </w:rPr>
        <w:t>Privacy Act 1988</w:t>
      </w:r>
      <w:r w:rsidRPr="002D2560">
        <w:rPr>
          <w:lang w:val="en-AU"/>
        </w:rPr>
        <w:t>.</w:t>
      </w:r>
    </w:p>
    <w:p w14:paraId="185D542B" w14:textId="3BEDC7B3" w:rsidR="00090D76" w:rsidRPr="002D2560" w:rsidRDefault="00090D76" w:rsidP="00090D76">
      <w:pPr>
        <w:pStyle w:val="ListParagraph"/>
        <w:numPr>
          <w:ilvl w:val="0"/>
          <w:numId w:val="11"/>
        </w:numPr>
        <w:rPr>
          <w:lang w:val="en-AU"/>
        </w:rPr>
      </w:pPr>
      <w:r w:rsidRPr="002D2560">
        <w:rPr>
          <w:lang w:val="en-AU"/>
        </w:rPr>
        <w:t>IH</w:t>
      </w:r>
      <w:r w:rsidR="007F1B0A" w:rsidRPr="002D2560">
        <w:rPr>
          <w:lang w:val="en-AU"/>
        </w:rPr>
        <w:t>AC</w:t>
      </w:r>
      <w:r w:rsidRPr="002D2560">
        <w:rPr>
          <w:lang w:val="en-AU"/>
        </w:rPr>
        <w:t>PA Third Party ICT and Data Management Controls – This policy sets out the conditions which IH</w:t>
      </w:r>
      <w:r w:rsidR="007F1B0A" w:rsidRPr="002D2560">
        <w:rPr>
          <w:lang w:val="en-AU"/>
        </w:rPr>
        <w:t>AC</w:t>
      </w:r>
      <w:r w:rsidRPr="002D2560">
        <w:rPr>
          <w:lang w:val="en-AU"/>
        </w:rPr>
        <w:t>PA requires to be satisfied prior to protected Pricing Authority information being provided to a third party.</w:t>
      </w:r>
    </w:p>
    <w:p w14:paraId="57E7C408" w14:textId="6E48E1F4" w:rsidR="00090D76" w:rsidRPr="002D2560" w:rsidRDefault="00090D76" w:rsidP="00090D76">
      <w:pPr>
        <w:pStyle w:val="ListParagraph"/>
        <w:numPr>
          <w:ilvl w:val="0"/>
          <w:numId w:val="11"/>
        </w:numPr>
        <w:rPr>
          <w:lang w:val="en-AU"/>
        </w:rPr>
      </w:pPr>
      <w:r w:rsidRPr="002D2560">
        <w:rPr>
          <w:lang w:val="en-AU"/>
        </w:rPr>
        <w:t>IH</w:t>
      </w:r>
      <w:r w:rsidR="007F1B0A" w:rsidRPr="002D2560">
        <w:rPr>
          <w:lang w:val="en-AU"/>
        </w:rPr>
        <w:t>AC</w:t>
      </w:r>
      <w:r w:rsidRPr="002D2560">
        <w:rPr>
          <w:lang w:val="en-AU"/>
        </w:rPr>
        <w:t>PA Confidential Data Management Policy – This document outlines processes and controls adopted by IH</w:t>
      </w:r>
      <w:r w:rsidR="007F1B0A" w:rsidRPr="002D2560">
        <w:rPr>
          <w:lang w:val="en-AU"/>
        </w:rPr>
        <w:t>AC</w:t>
      </w:r>
      <w:r w:rsidRPr="002D2560">
        <w:rPr>
          <w:lang w:val="en-AU"/>
        </w:rPr>
        <w:t>PA in managing confidential jurisdictional information as part of IH</w:t>
      </w:r>
      <w:r w:rsidR="007F1B0A" w:rsidRPr="002D2560">
        <w:rPr>
          <w:lang w:val="en-AU"/>
        </w:rPr>
        <w:t>AC</w:t>
      </w:r>
      <w:r w:rsidRPr="002D2560">
        <w:rPr>
          <w:lang w:val="en-AU"/>
        </w:rPr>
        <w:t>PA’s Three Year Data Plan. This includes controls IH</w:t>
      </w:r>
      <w:r w:rsidR="007F1B0A" w:rsidRPr="002D2560">
        <w:rPr>
          <w:lang w:val="en-AU"/>
        </w:rPr>
        <w:t>AC</w:t>
      </w:r>
      <w:r w:rsidRPr="002D2560">
        <w:rPr>
          <w:lang w:val="en-AU"/>
        </w:rPr>
        <w:t xml:space="preserve">PA applies to the request, access, handling, use, classification, release, storage and disposal of the confidential jurisdictional information. </w:t>
      </w:r>
    </w:p>
    <w:p w14:paraId="6A99E5F4" w14:textId="6C74575D" w:rsidR="00F63519" w:rsidRPr="002D2560" w:rsidRDefault="00F63519" w:rsidP="00F63519">
      <w:pPr>
        <w:rPr>
          <w:lang w:val="en-AU"/>
        </w:rPr>
      </w:pPr>
      <w:r w:rsidRPr="002D2560">
        <w:rPr>
          <w:lang w:val="en-AU"/>
        </w:rPr>
        <w:t>As per section</w:t>
      </w:r>
      <w:r w:rsidR="00FA1EA6" w:rsidRPr="002D2560">
        <w:rPr>
          <w:lang w:val="en-AU"/>
        </w:rPr>
        <w:t>s</w:t>
      </w:r>
      <w:r w:rsidRPr="002D2560">
        <w:rPr>
          <w:lang w:val="en-AU"/>
        </w:rPr>
        <w:t xml:space="preserve"> 220 </w:t>
      </w:r>
      <w:r w:rsidR="00FA1EA6" w:rsidRPr="002D2560">
        <w:rPr>
          <w:lang w:val="en-AU"/>
        </w:rPr>
        <w:t xml:space="preserve">and 220A </w:t>
      </w:r>
      <w:r w:rsidRPr="002D2560">
        <w:rPr>
          <w:lang w:val="en-AU"/>
        </w:rPr>
        <w:t xml:space="preserve">of the NHR Act, IHACPA may only disclose protected health care pricing and costing information or protected aged care information if the Chair of the Pricing Authority or an authorised delegate is satisfied that the information will enable or assist a relevant body or person to perform or exercise any of the functions or powers of the relevant body or person. </w:t>
      </w:r>
    </w:p>
    <w:p w14:paraId="71585AD1" w14:textId="42C2F082" w:rsidR="00090D76" w:rsidRPr="002D2560" w:rsidRDefault="00090D76" w:rsidP="00C650F2">
      <w:pPr>
        <w:rPr>
          <w:lang w:val="en-AU"/>
        </w:rPr>
      </w:pPr>
      <w:r w:rsidRPr="002D2560">
        <w:rPr>
          <w:lang w:val="en-AU"/>
        </w:rPr>
        <w:t xml:space="preserve">Requests for release of </w:t>
      </w:r>
      <w:r w:rsidR="000E25CC" w:rsidRPr="002D2560">
        <w:rPr>
          <w:lang w:val="en-AU"/>
        </w:rPr>
        <w:t xml:space="preserve">protected </w:t>
      </w:r>
      <w:r w:rsidR="006B1031" w:rsidRPr="002D2560">
        <w:rPr>
          <w:lang w:val="en-AU"/>
        </w:rPr>
        <w:t xml:space="preserve">public hospital </w:t>
      </w:r>
      <w:r w:rsidRPr="002D2560">
        <w:rPr>
          <w:lang w:val="en-AU"/>
        </w:rPr>
        <w:t>information by government agencies or research organisations are covered by IH</w:t>
      </w:r>
      <w:r w:rsidR="007F1B0A" w:rsidRPr="002D2560">
        <w:rPr>
          <w:lang w:val="en-AU"/>
        </w:rPr>
        <w:t>AC</w:t>
      </w:r>
      <w:r w:rsidRPr="002D2560">
        <w:rPr>
          <w:lang w:val="en-AU"/>
        </w:rPr>
        <w:t xml:space="preserve">PA’s </w:t>
      </w:r>
      <w:hyperlink r:id="rId27" w:history="1">
        <w:r w:rsidRPr="002D2560">
          <w:rPr>
            <w:rStyle w:val="Hyperlink"/>
            <w:lang w:val="en-AU"/>
          </w:rPr>
          <w:t>Data Access and Release Policy</w:t>
        </w:r>
      </w:hyperlink>
      <w:r w:rsidRPr="002D2560">
        <w:rPr>
          <w:lang w:val="en-AU"/>
        </w:rPr>
        <w:t xml:space="preserve">, which enacts the relevant provisions with the </w:t>
      </w:r>
      <w:r w:rsidR="006D0BA2" w:rsidRPr="002D2560">
        <w:rPr>
          <w:lang w:val="en-AU"/>
        </w:rPr>
        <w:t>NHR Act</w:t>
      </w:r>
      <w:r w:rsidRPr="002D2560">
        <w:rPr>
          <w:lang w:val="en-AU"/>
        </w:rPr>
        <w:t xml:space="preserve"> and the </w:t>
      </w:r>
      <w:r w:rsidR="006D0BA2" w:rsidRPr="002D2560">
        <w:rPr>
          <w:lang w:val="en-AU"/>
        </w:rPr>
        <w:t>NHRA</w:t>
      </w:r>
      <w:r w:rsidRPr="002D2560">
        <w:rPr>
          <w:lang w:val="en-AU"/>
        </w:rPr>
        <w:t>.</w:t>
      </w:r>
    </w:p>
    <w:p w14:paraId="65A1040D" w14:textId="4B918930" w:rsidR="00090D76" w:rsidRPr="002D2560" w:rsidRDefault="00090D76" w:rsidP="003156D4">
      <w:pPr>
        <w:pStyle w:val="Heading2"/>
      </w:pPr>
      <w:r w:rsidRPr="002D2560">
        <w:t xml:space="preserve">Data </w:t>
      </w:r>
      <w:r w:rsidR="009D5FD8" w:rsidRPr="002D2560">
        <w:t>management</w:t>
      </w:r>
    </w:p>
    <w:p w14:paraId="3269B61D" w14:textId="7AB6A140" w:rsidR="00090D76" w:rsidRPr="002D2560" w:rsidRDefault="00090D76" w:rsidP="00456BB6">
      <w:pPr>
        <w:rPr>
          <w:lang w:val="en-AU"/>
        </w:rPr>
      </w:pPr>
      <w:r w:rsidRPr="002D2560">
        <w:rPr>
          <w:lang w:val="en-AU"/>
        </w:rPr>
        <w:t>In 2017, IH</w:t>
      </w:r>
      <w:r w:rsidR="007F1B0A" w:rsidRPr="002D2560">
        <w:rPr>
          <w:lang w:val="en-AU"/>
        </w:rPr>
        <w:t>AC</w:t>
      </w:r>
      <w:r w:rsidRPr="002D2560">
        <w:rPr>
          <w:lang w:val="en-AU"/>
        </w:rPr>
        <w:t xml:space="preserve">PA implemented the Secure Data Management System (SDMS), which complies with the </w:t>
      </w:r>
      <w:hyperlink r:id="rId28" w:history="1">
        <w:r w:rsidRPr="002D2560">
          <w:rPr>
            <w:rStyle w:val="Hyperlink"/>
            <w:lang w:val="en-AU"/>
          </w:rPr>
          <w:t>Australian Government Information Security Manual</w:t>
        </w:r>
      </w:hyperlink>
      <w:r w:rsidRPr="002D2560">
        <w:rPr>
          <w:lang w:val="en-AU"/>
        </w:rPr>
        <w:t xml:space="preserve"> and is hosted on infrastructure that has been approved by the Defence Signals Directorate. IH</w:t>
      </w:r>
      <w:r w:rsidR="007F1B0A" w:rsidRPr="002D2560">
        <w:rPr>
          <w:lang w:val="en-AU"/>
        </w:rPr>
        <w:t>AC</w:t>
      </w:r>
      <w:r w:rsidRPr="002D2560">
        <w:rPr>
          <w:lang w:val="en-AU"/>
        </w:rPr>
        <w:t xml:space="preserve">PA has also implemented a classification grouping module and </w:t>
      </w:r>
      <w:hyperlink r:id="rId29" w:history="1">
        <w:r w:rsidRPr="002D2560">
          <w:rPr>
            <w:rStyle w:val="Hyperlink"/>
            <w:lang w:val="en-AU"/>
          </w:rPr>
          <w:t>national weighted activity unit calculators</w:t>
        </w:r>
      </w:hyperlink>
      <w:r w:rsidRPr="002D2560">
        <w:rPr>
          <w:lang w:val="en-AU"/>
        </w:rPr>
        <w:t xml:space="preserve"> which allow jurisdictions to obtain real-time feedback on the data supplied to IH</w:t>
      </w:r>
      <w:r w:rsidR="007F1B0A" w:rsidRPr="002D2560">
        <w:rPr>
          <w:lang w:val="en-AU"/>
        </w:rPr>
        <w:t>AC</w:t>
      </w:r>
      <w:r w:rsidRPr="002D2560">
        <w:rPr>
          <w:lang w:val="en-AU"/>
        </w:rPr>
        <w:t>PA.</w:t>
      </w:r>
      <w:r w:rsidR="00952D72" w:rsidRPr="002D2560">
        <w:rPr>
          <w:lang w:val="en-AU"/>
        </w:rPr>
        <w:t xml:space="preserve"> These classification grouping modules and national weighted activity unit</w:t>
      </w:r>
      <w:r w:rsidR="00F63519" w:rsidRPr="002D2560">
        <w:rPr>
          <w:lang w:val="en-AU"/>
        </w:rPr>
        <w:t xml:space="preserve"> calculator</w:t>
      </w:r>
      <w:r w:rsidR="00952D72" w:rsidRPr="002D2560">
        <w:rPr>
          <w:lang w:val="en-AU"/>
        </w:rPr>
        <w:t>s currently apply to hospital data only.</w:t>
      </w:r>
    </w:p>
    <w:p w14:paraId="5854CDA7" w14:textId="0644D7C5" w:rsidR="002244A2" w:rsidRPr="002D2560" w:rsidRDefault="00B954CB" w:rsidP="005120EE">
      <w:pPr>
        <w:pStyle w:val="ListLevel2"/>
        <w:numPr>
          <w:ilvl w:val="0"/>
          <w:numId w:val="0"/>
        </w:numPr>
        <w:contextualSpacing w:val="0"/>
        <w:rPr>
          <w:lang w:val="en-AU"/>
        </w:rPr>
      </w:pPr>
      <w:r w:rsidRPr="002D2560">
        <w:rPr>
          <w:lang w:val="en-AU"/>
        </w:rPr>
        <w:t xml:space="preserve">As identified in the </w:t>
      </w:r>
      <w:r w:rsidRPr="002D2560">
        <w:rPr>
          <w:i/>
          <w:iCs/>
          <w:lang w:val="en-AU"/>
        </w:rPr>
        <w:t>Work Program and Corporate Plan 2023–24</w:t>
      </w:r>
      <w:r w:rsidRPr="002D2560">
        <w:rPr>
          <w:lang w:val="en-AU"/>
        </w:rPr>
        <w:t xml:space="preserve">, </w:t>
      </w:r>
      <w:r w:rsidR="002244A2" w:rsidRPr="002D2560">
        <w:rPr>
          <w:lang w:val="en-AU"/>
        </w:rPr>
        <w:t>IHACPA is working on refreshing the SDMS to consolidate improvements made since 2017 and update the system to operate using modern architectures and practices. Further improvements are expected to improve the robustness and speed of data submission, loading and validation on the SDMS.</w:t>
      </w:r>
    </w:p>
    <w:p w14:paraId="582D04F8" w14:textId="522495C1" w:rsidR="00723269" w:rsidRPr="002D2560" w:rsidRDefault="00723269">
      <w:pPr>
        <w:spacing w:line="259" w:lineRule="auto"/>
        <w:rPr>
          <w:lang w:val="en-AU"/>
        </w:rPr>
      </w:pPr>
      <w:r w:rsidRPr="002D2560">
        <w:rPr>
          <w:lang w:val="en-AU"/>
        </w:rPr>
        <w:br w:type="page"/>
      </w:r>
    </w:p>
    <w:p w14:paraId="58CBCB02" w14:textId="319EE631" w:rsidR="00723269" w:rsidRPr="002D2560" w:rsidRDefault="000E25CC" w:rsidP="00271FC1">
      <w:pPr>
        <w:pStyle w:val="Heading1"/>
      </w:pPr>
      <w:bookmarkStart w:id="12" w:name="_Toc121927353"/>
      <w:r w:rsidRPr="002D2560">
        <w:lastRenderedPageBreak/>
        <w:t>Compliance with the National Health Reform Agreement</w:t>
      </w:r>
      <w:bookmarkEnd w:id="12"/>
    </w:p>
    <w:p w14:paraId="16673C64" w14:textId="33755F01" w:rsidR="00090D76" w:rsidRPr="002D2560" w:rsidRDefault="00090D76" w:rsidP="00C650F2">
      <w:pPr>
        <w:rPr>
          <w:lang w:val="en-AU"/>
        </w:rPr>
      </w:pPr>
      <w:r w:rsidRPr="002D2560">
        <w:rPr>
          <w:lang w:val="en-AU"/>
        </w:rPr>
        <w:t>Clause B67 of the Addendum specifies the requirements of the Three Year Data Plan. IH</w:t>
      </w:r>
      <w:r w:rsidR="007F1B0A" w:rsidRPr="002D2560">
        <w:rPr>
          <w:lang w:val="en-AU"/>
        </w:rPr>
        <w:t>AC</w:t>
      </w:r>
      <w:r w:rsidRPr="002D2560">
        <w:rPr>
          <w:lang w:val="en-AU"/>
        </w:rPr>
        <w:t xml:space="preserve">PA acknowledges and complies with these requirements, as outlined in </w:t>
      </w:r>
      <w:r w:rsidRPr="002D2560">
        <w:rPr>
          <w:b/>
          <w:bCs/>
          <w:lang w:val="en-AU"/>
        </w:rPr>
        <w:t xml:space="preserve">Table </w:t>
      </w:r>
      <w:r w:rsidR="002A50EE" w:rsidRPr="002D2560">
        <w:rPr>
          <w:b/>
          <w:bCs/>
          <w:lang w:val="en-AU"/>
        </w:rPr>
        <w:t>1</w:t>
      </w:r>
      <w:r w:rsidRPr="002D2560">
        <w:rPr>
          <w:lang w:val="en-AU"/>
        </w:rPr>
        <w:t>.</w:t>
      </w:r>
    </w:p>
    <w:p w14:paraId="1D4F0078" w14:textId="7E9A2055" w:rsidR="00090D76" w:rsidRPr="002D2560" w:rsidRDefault="00090D76" w:rsidP="00090D76">
      <w:pPr>
        <w:rPr>
          <w:b/>
          <w:bCs/>
          <w:lang w:val="en-AU"/>
        </w:rPr>
      </w:pPr>
      <w:r w:rsidRPr="002D2560">
        <w:rPr>
          <w:b/>
          <w:bCs/>
          <w:lang w:val="en-AU"/>
        </w:rPr>
        <w:t xml:space="preserve">Table </w:t>
      </w:r>
      <w:r w:rsidR="002A50EE" w:rsidRPr="002D2560">
        <w:rPr>
          <w:b/>
          <w:bCs/>
          <w:lang w:val="en-AU"/>
        </w:rPr>
        <w:t>1</w:t>
      </w:r>
      <w:r w:rsidR="005E330F" w:rsidRPr="002D2560">
        <w:rPr>
          <w:b/>
          <w:bCs/>
          <w:lang w:val="en-AU"/>
        </w:rPr>
        <w:t>.</w:t>
      </w:r>
      <w:r w:rsidRPr="002D2560">
        <w:rPr>
          <w:b/>
          <w:bCs/>
          <w:lang w:val="en-AU"/>
        </w:rPr>
        <w:t xml:space="preserve"> </w:t>
      </w:r>
      <w:r w:rsidR="000E25CC" w:rsidRPr="002D2560">
        <w:rPr>
          <w:b/>
          <w:bCs/>
          <w:lang w:val="en-AU"/>
        </w:rPr>
        <w:t xml:space="preserve">Compliance with the </w:t>
      </w:r>
      <w:r w:rsidRPr="002D2560">
        <w:rPr>
          <w:b/>
          <w:bCs/>
          <w:lang w:val="en-AU"/>
        </w:rPr>
        <w:t xml:space="preserve">Addendum </w:t>
      </w:r>
      <w:r w:rsidR="000E25CC" w:rsidRPr="002D2560">
        <w:rPr>
          <w:b/>
          <w:bCs/>
          <w:lang w:val="en-AU"/>
        </w:rPr>
        <w:t>clauses</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Table 10"/>
        <w:tblDescription w:val="Ongoing seconded employees 2021"/>
      </w:tblPr>
      <w:tblGrid>
        <w:gridCol w:w="877"/>
        <w:gridCol w:w="3796"/>
        <w:gridCol w:w="5054"/>
      </w:tblGrid>
      <w:tr w:rsidR="00090D76" w:rsidRPr="002D2560" w14:paraId="408C6FF9" w14:textId="77777777" w:rsidTr="000E25CC">
        <w:trPr>
          <w:cnfStyle w:val="100000000000" w:firstRow="1" w:lastRow="0" w:firstColumn="0" w:lastColumn="0" w:oddVBand="0" w:evenVBand="0" w:oddHBand="0" w:evenHBand="0" w:firstRowFirstColumn="0" w:firstRowLastColumn="0" w:lastRowFirstColumn="0" w:lastRowLastColumn="0"/>
          <w:trHeight w:val="20"/>
        </w:trPr>
        <w:tc>
          <w:tcPr>
            <w:tcW w:w="877" w:type="dxa"/>
            <w:shd w:val="clear" w:color="auto" w:fill="104F99" w:themeFill="accent2"/>
          </w:tcPr>
          <w:p w14:paraId="2DA355DD" w14:textId="186B9CDB" w:rsidR="00090D76" w:rsidRPr="002D2560" w:rsidRDefault="00090D76" w:rsidP="000E25CC">
            <w:pPr>
              <w:spacing w:before="60" w:after="60"/>
              <w:rPr>
                <w:rFonts w:cs="Arial"/>
                <w:b/>
                <w:bCs/>
                <w:color w:val="FFFFFF" w:themeColor="background2"/>
                <w:sz w:val="20"/>
                <w:szCs w:val="20"/>
                <w:lang w:val="en-AU"/>
              </w:rPr>
            </w:pPr>
            <w:r w:rsidRPr="002D2560">
              <w:rPr>
                <w:b/>
                <w:bCs/>
                <w:color w:val="FFFFFF" w:themeColor="background2"/>
                <w:sz w:val="20"/>
                <w:szCs w:val="20"/>
                <w:lang w:val="en-AU"/>
              </w:rPr>
              <w:t>Clause</w:t>
            </w:r>
          </w:p>
        </w:tc>
        <w:tc>
          <w:tcPr>
            <w:tcW w:w="3796" w:type="dxa"/>
            <w:shd w:val="clear" w:color="auto" w:fill="104F99" w:themeFill="accent2"/>
          </w:tcPr>
          <w:p w14:paraId="6E21BE26" w14:textId="736D4650" w:rsidR="00090D76" w:rsidRPr="002D2560" w:rsidRDefault="00090D76" w:rsidP="000E25CC">
            <w:pPr>
              <w:spacing w:before="60" w:after="60"/>
              <w:rPr>
                <w:rFonts w:cs="Arial"/>
                <w:b/>
                <w:bCs/>
                <w:color w:val="FFFFFF" w:themeColor="background2"/>
                <w:sz w:val="20"/>
                <w:szCs w:val="20"/>
                <w:lang w:val="en-AU"/>
              </w:rPr>
            </w:pPr>
            <w:r w:rsidRPr="002D2560">
              <w:rPr>
                <w:b/>
                <w:bCs/>
                <w:color w:val="FFFFFF" w:themeColor="background2"/>
                <w:sz w:val="20"/>
                <w:szCs w:val="20"/>
                <w:lang w:val="en-AU"/>
              </w:rPr>
              <w:t>Compliance principles</w:t>
            </w:r>
          </w:p>
        </w:tc>
        <w:tc>
          <w:tcPr>
            <w:tcW w:w="5054" w:type="dxa"/>
            <w:shd w:val="clear" w:color="auto" w:fill="104F99" w:themeFill="accent2"/>
          </w:tcPr>
          <w:p w14:paraId="578FBE82" w14:textId="422F5337" w:rsidR="00090D76" w:rsidRPr="002D2560" w:rsidRDefault="00090D76" w:rsidP="000E25CC">
            <w:pPr>
              <w:spacing w:before="60" w:after="60"/>
              <w:rPr>
                <w:rFonts w:cs="Arial"/>
                <w:b/>
                <w:bCs/>
                <w:color w:val="FFFFFF" w:themeColor="background2"/>
                <w:sz w:val="20"/>
                <w:szCs w:val="20"/>
                <w:lang w:val="en-AU"/>
              </w:rPr>
            </w:pPr>
            <w:r w:rsidRPr="002D2560">
              <w:rPr>
                <w:b/>
                <w:bCs/>
                <w:color w:val="FFFFFF" w:themeColor="background2"/>
                <w:sz w:val="20"/>
                <w:szCs w:val="20"/>
                <w:lang w:val="en-AU"/>
              </w:rPr>
              <w:t>Compliance mechanisms</w:t>
            </w:r>
          </w:p>
        </w:tc>
      </w:tr>
      <w:tr w:rsidR="00090D76" w:rsidRPr="002D2560" w14:paraId="7E0CE1D2" w14:textId="77777777" w:rsidTr="000E25CC">
        <w:trPr>
          <w:cnfStyle w:val="000000100000" w:firstRow="0" w:lastRow="0" w:firstColumn="0" w:lastColumn="0" w:oddVBand="0" w:evenVBand="0" w:oddHBand="1" w:evenHBand="0" w:firstRowFirstColumn="0" w:firstRowLastColumn="0" w:lastRowFirstColumn="0" w:lastRowLastColumn="0"/>
          <w:trHeight w:val="20"/>
        </w:trPr>
        <w:tc>
          <w:tcPr>
            <w:tcW w:w="8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625E4D0" w14:textId="1032026C" w:rsidR="00090D76" w:rsidRPr="002D2560" w:rsidRDefault="00090D76" w:rsidP="000E25CC">
            <w:pPr>
              <w:spacing w:before="60" w:after="60"/>
              <w:rPr>
                <w:rFonts w:cs="Arial"/>
                <w:color w:val="000000"/>
                <w:sz w:val="20"/>
                <w:szCs w:val="20"/>
                <w:lang w:val="en-AU"/>
              </w:rPr>
            </w:pPr>
            <w:r w:rsidRPr="002D2560">
              <w:rPr>
                <w:sz w:val="20"/>
                <w:szCs w:val="20"/>
                <w:lang w:val="en-AU"/>
              </w:rPr>
              <w:t>B67a</w:t>
            </w:r>
          </w:p>
        </w:tc>
        <w:tc>
          <w:tcPr>
            <w:tcW w:w="379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12FC428" w14:textId="6993A925" w:rsidR="00090D76" w:rsidRPr="002D2560" w:rsidRDefault="00090D76" w:rsidP="000E25CC">
            <w:pPr>
              <w:spacing w:before="60" w:after="60"/>
              <w:rPr>
                <w:rFonts w:cs="Arial"/>
                <w:color w:val="000000"/>
                <w:sz w:val="20"/>
                <w:szCs w:val="20"/>
                <w:lang w:val="en-AU"/>
              </w:rPr>
            </w:pPr>
            <w:r w:rsidRPr="002D2560">
              <w:rPr>
                <w:sz w:val="20"/>
                <w:szCs w:val="20"/>
                <w:lang w:val="en-AU"/>
              </w:rPr>
              <w:t>Seek to meet its data requirements through existing national data collections, where practical.</w:t>
            </w:r>
          </w:p>
        </w:tc>
        <w:tc>
          <w:tcPr>
            <w:tcW w:w="505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575AA23" w14:textId="79D76A6A" w:rsidR="00090D76" w:rsidRPr="002D2560" w:rsidRDefault="00090D76" w:rsidP="000E25CC">
            <w:pPr>
              <w:spacing w:before="60" w:after="60"/>
              <w:rPr>
                <w:rFonts w:cs="Arial"/>
                <w:color w:val="1C1C1C"/>
                <w:sz w:val="20"/>
                <w:szCs w:val="20"/>
                <w:lang w:val="en-AU"/>
              </w:rPr>
            </w:pPr>
            <w:r w:rsidRPr="002D2560">
              <w:rPr>
                <w:sz w:val="20"/>
                <w:szCs w:val="20"/>
                <w:lang w:val="en-AU"/>
              </w:rPr>
              <w:t>IH</w:t>
            </w:r>
            <w:r w:rsidR="007F1B0A" w:rsidRPr="002D2560">
              <w:rPr>
                <w:sz w:val="20"/>
                <w:szCs w:val="20"/>
                <w:lang w:val="en-AU"/>
              </w:rPr>
              <w:t>AC</w:t>
            </w:r>
            <w:r w:rsidRPr="002D2560">
              <w:rPr>
                <w:sz w:val="20"/>
                <w:szCs w:val="20"/>
                <w:lang w:val="en-AU"/>
              </w:rPr>
              <w:t>PA has worked with the national data committees to align ABF reporting with existing NMDS and NBEDS for admitted patient care, subacute</w:t>
            </w:r>
            <w:r w:rsidR="000E25CC" w:rsidRPr="002D2560">
              <w:rPr>
                <w:sz w:val="20"/>
                <w:szCs w:val="20"/>
                <w:lang w:val="en-AU"/>
              </w:rPr>
              <w:t xml:space="preserve"> and</w:t>
            </w:r>
            <w:r w:rsidRPr="002D2560">
              <w:rPr>
                <w:sz w:val="20"/>
                <w:szCs w:val="20"/>
                <w:lang w:val="en-AU"/>
              </w:rPr>
              <w:t xml:space="preserve"> non-acute</w:t>
            </w:r>
            <w:r w:rsidR="000E25CC" w:rsidRPr="002D2560">
              <w:rPr>
                <w:sz w:val="20"/>
                <w:szCs w:val="20"/>
                <w:lang w:val="en-AU"/>
              </w:rPr>
              <w:t xml:space="preserve"> care</w:t>
            </w:r>
            <w:r w:rsidRPr="002D2560">
              <w:rPr>
                <w:sz w:val="20"/>
                <w:szCs w:val="20"/>
                <w:lang w:val="en-AU"/>
              </w:rPr>
              <w:t>, emergency care, non-admitted care, mental health care and teaching, training and research.</w:t>
            </w:r>
          </w:p>
        </w:tc>
      </w:tr>
      <w:tr w:rsidR="00090D76" w:rsidRPr="002D2560" w14:paraId="322D8C4C" w14:textId="77777777" w:rsidTr="000E25CC">
        <w:trPr>
          <w:cnfStyle w:val="000000010000" w:firstRow="0" w:lastRow="0" w:firstColumn="0" w:lastColumn="0" w:oddVBand="0" w:evenVBand="0" w:oddHBand="0" w:evenHBand="1" w:firstRowFirstColumn="0" w:firstRowLastColumn="0" w:lastRowFirstColumn="0" w:lastRowLastColumn="0"/>
          <w:trHeight w:val="20"/>
        </w:trPr>
        <w:tc>
          <w:tcPr>
            <w:tcW w:w="877" w:type="dxa"/>
            <w:tcBorders>
              <w:top w:val="none" w:sz="0" w:space="0" w:color="auto"/>
              <w:bottom w:val="none" w:sz="0" w:space="0" w:color="auto"/>
            </w:tcBorders>
            <w:shd w:val="clear" w:color="auto" w:fill="auto"/>
          </w:tcPr>
          <w:p w14:paraId="50BDCCBA" w14:textId="30DF9FA0" w:rsidR="00090D76" w:rsidRPr="002D2560" w:rsidRDefault="00090D76" w:rsidP="000E25CC">
            <w:pPr>
              <w:spacing w:before="60" w:after="60"/>
              <w:rPr>
                <w:rFonts w:cs="Arial"/>
                <w:color w:val="000000"/>
                <w:sz w:val="20"/>
                <w:szCs w:val="20"/>
                <w:lang w:val="en-AU"/>
              </w:rPr>
            </w:pPr>
            <w:r w:rsidRPr="002D2560">
              <w:rPr>
                <w:sz w:val="20"/>
                <w:szCs w:val="20"/>
                <w:lang w:val="en-AU"/>
              </w:rPr>
              <w:t>B67b</w:t>
            </w:r>
          </w:p>
        </w:tc>
        <w:tc>
          <w:tcPr>
            <w:tcW w:w="3796" w:type="dxa"/>
            <w:tcBorders>
              <w:top w:val="none" w:sz="0" w:space="0" w:color="auto"/>
              <w:bottom w:val="none" w:sz="0" w:space="0" w:color="auto"/>
            </w:tcBorders>
            <w:shd w:val="clear" w:color="auto" w:fill="auto"/>
          </w:tcPr>
          <w:p w14:paraId="1C63EC0A" w14:textId="0DFB7CD1" w:rsidR="00090D76" w:rsidRPr="002D2560" w:rsidRDefault="00090D76" w:rsidP="000E25CC">
            <w:pPr>
              <w:spacing w:before="60" w:after="60"/>
              <w:rPr>
                <w:rFonts w:cs="Arial"/>
                <w:color w:val="000000"/>
                <w:sz w:val="20"/>
                <w:szCs w:val="20"/>
                <w:lang w:val="en-AU"/>
              </w:rPr>
            </w:pPr>
            <w:r w:rsidRPr="002D2560">
              <w:rPr>
                <w:sz w:val="20"/>
                <w:szCs w:val="20"/>
                <w:lang w:val="en-AU"/>
              </w:rPr>
              <w:t>Conform with national data development principles and wherever practical use existing data development governance processes and structures, except where to do so would compromise the performance of its statutory functions.</w:t>
            </w:r>
          </w:p>
        </w:tc>
        <w:tc>
          <w:tcPr>
            <w:tcW w:w="5054" w:type="dxa"/>
            <w:tcBorders>
              <w:top w:val="none" w:sz="0" w:space="0" w:color="auto"/>
              <w:bottom w:val="none" w:sz="0" w:space="0" w:color="auto"/>
            </w:tcBorders>
            <w:shd w:val="clear" w:color="auto" w:fill="auto"/>
          </w:tcPr>
          <w:p w14:paraId="406307C3" w14:textId="03F0208B" w:rsidR="00090D76" w:rsidRPr="002D2560" w:rsidRDefault="00090D76" w:rsidP="000E25CC">
            <w:pPr>
              <w:spacing w:before="60" w:after="60"/>
              <w:rPr>
                <w:rFonts w:cs="Arial"/>
                <w:color w:val="1C1C1C"/>
                <w:sz w:val="20"/>
                <w:szCs w:val="20"/>
                <w:lang w:val="en-AU"/>
              </w:rPr>
            </w:pPr>
            <w:r w:rsidRPr="002D2560">
              <w:rPr>
                <w:sz w:val="20"/>
                <w:szCs w:val="20"/>
                <w:lang w:val="en-AU"/>
              </w:rPr>
              <w:t xml:space="preserve">All new data development work has been in collaboration with the national data governance processes and groups. </w:t>
            </w:r>
          </w:p>
        </w:tc>
      </w:tr>
      <w:tr w:rsidR="00090D76" w:rsidRPr="002D2560" w14:paraId="0E9CFE12" w14:textId="77777777" w:rsidTr="000E25CC">
        <w:trPr>
          <w:cnfStyle w:val="000000100000" w:firstRow="0" w:lastRow="0" w:firstColumn="0" w:lastColumn="0" w:oddVBand="0" w:evenVBand="0" w:oddHBand="1" w:evenHBand="0" w:firstRowFirstColumn="0" w:firstRowLastColumn="0" w:lastRowFirstColumn="0" w:lastRowLastColumn="0"/>
          <w:trHeight w:val="20"/>
        </w:trPr>
        <w:tc>
          <w:tcPr>
            <w:tcW w:w="8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13E0BCC" w14:textId="2E1D13F8" w:rsidR="00090D76" w:rsidRPr="002D2560" w:rsidRDefault="00090D76" w:rsidP="000E25CC">
            <w:pPr>
              <w:spacing w:before="60" w:after="60"/>
              <w:rPr>
                <w:rFonts w:cs="Arial"/>
                <w:color w:val="000000"/>
                <w:sz w:val="20"/>
                <w:szCs w:val="20"/>
                <w:lang w:val="en-AU"/>
              </w:rPr>
            </w:pPr>
            <w:r w:rsidRPr="002D2560">
              <w:rPr>
                <w:sz w:val="20"/>
                <w:szCs w:val="20"/>
                <w:lang w:val="en-AU"/>
              </w:rPr>
              <w:t>B67c</w:t>
            </w:r>
          </w:p>
        </w:tc>
        <w:tc>
          <w:tcPr>
            <w:tcW w:w="379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4577BCE" w14:textId="2C93CFA9" w:rsidR="00090D76" w:rsidRPr="002D2560" w:rsidRDefault="00090D76" w:rsidP="000E25CC">
            <w:pPr>
              <w:spacing w:before="60" w:after="60"/>
              <w:rPr>
                <w:rFonts w:cs="Arial"/>
                <w:color w:val="000000"/>
                <w:sz w:val="20"/>
                <w:szCs w:val="20"/>
                <w:lang w:val="en-AU"/>
              </w:rPr>
            </w:pPr>
            <w:r w:rsidRPr="002D2560">
              <w:rPr>
                <w:sz w:val="20"/>
                <w:szCs w:val="20"/>
                <w:lang w:val="en-AU"/>
              </w:rPr>
              <w:t>Allow for a reasonable, clearly defined timeframe to incorporate standardised data collection methods across all jurisdictions.</w:t>
            </w:r>
          </w:p>
        </w:tc>
        <w:tc>
          <w:tcPr>
            <w:tcW w:w="505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B3580DA" w14:textId="4D46F861" w:rsidR="00090D76" w:rsidRPr="002D2560" w:rsidRDefault="00090D76" w:rsidP="000E25CC">
            <w:pPr>
              <w:spacing w:before="60" w:after="60"/>
              <w:rPr>
                <w:rFonts w:cs="Arial"/>
                <w:color w:val="1C1C1C"/>
                <w:sz w:val="20"/>
                <w:szCs w:val="20"/>
                <w:lang w:val="en-AU"/>
              </w:rPr>
            </w:pPr>
            <w:r w:rsidRPr="002D2560">
              <w:rPr>
                <w:sz w:val="20"/>
                <w:szCs w:val="20"/>
                <w:lang w:val="en-AU"/>
              </w:rPr>
              <w:t>IH</w:t>
            </w:r>
            <w:r w:rsidR="007F1B0A" w:rsidRPr="002D2560">
              <w:rPr>
                <w:sz w:val="20"/>
                <w:szCs w:val="20"/>
                <w:lang w:val="en-AU"/>
              </w:rPr>
              <w:t>AC</w:t>
            </w:r>
            <w:r w:rsidRPr="002D2560">
              <w:rPr>
                <w:sz w:val="20"/>
                <w:szCs w:val="20"/>
                <w:lang w:val="en-AU"/>
              </w:rPr>
              <w:t>PA will consult with its Jurisdictional Advisory Committee and the national data committees prior to introducing additional data elements into collections.</w:t>
            </w:r>
          </w:p>
        </w:tc>
      </w:tr>
      <w:tr w:rsidR="00090D76" w:rsidRPr="002D2560" w14:paraId="69BEA1EA" w14:textId="77777777" w:rsidTr="000E25CC">
        <w:trPr>
          <w:cnfStyle w:val="000000010000" w:firstRow="0" w:lastRow="0" w:firstColumn="0" w:lastColumn="0" w:oddVBand="0" w:evenVBand="0" w:oddHBand="0" w:evenHBand="1" w:firstRowFirstColumn="0" w:firstRowLastColumn="0" w:lastRowFirstColumn="0" w:lastRowLastColumn="0"/>
          <w:trHeight w:val="20"/>
        </w:trPr>
        <w:tc>
          <w:tcPr>
            <w:tcW w:w="877" w:type="dxa"/>
            <w:tcBorders>
              <w:top w:val="none" w:sz="0" w:space="0" w:color="auto"/>
              <w:bottom w:val="none" w:sz="0" w:space="0" w:color="auto"/>
            </w:tcBorders>
            <w:shd w:val="clear" w:color="auto" w:fill="auto"/>
          </w:tcPr>
          <w:p w14:paraId="7D973C9F" w14:textId="319CE553" w:rsidR="00090D76" w:rsidRPr="002D2560" w:rsidRDefault="00090D76" w:rsidP="000E25CC">
            <w:pPr>
              <w:spacing w:before="60" w:after="60"/>
              <w:rPr>
                <w:rFonts w:cs="Arial"/>
                <w:color w:val="000000"/>
                <w:sz w:val="20"/>
                <w:szCs w:val="20"/>
                <w:lang w:val="en-AU"/>
              </w:rPr>
            </w:pPr>
            <w:r w:rsidRPr="002D2560">
              <w:rPr>
                <w:sz w:val="20"/>
                <w:szCs w:val="20"/>
                <w:lang w:val="en-AU"/>
              </w:rPr>
              <w:t>B67d</w:t>
            </w:r>
          </w:p>
        </w:tc>
        <w:tc>
          <w:tcPr>
            <w:tcW w:w="3796" w:type="dxa"/>
            <w:tcBorders>
              <w:top w:val="none" w:sz="0" w:space="0" w:color="auto"/>
              <w:bottom w:val="none" w:sz="0" w:space="0" w:color="auto"/>
            </w:tcBorders>
            <w:shd w:val="clear" w:color="auto" w:fill="auto"/>
          </w:tcPr>
          <w:p w14:paraId="2DFD8930" w14:textId="6B168075" w:rsidR="00090D76" w:rsidRPr="002D2560" w:rsidRDefault="00090D76" w:rsidP="000E25CC">
            <w:pPr>
              <w:spacing w:before="60" w:after="60"/>
              <w:rPr>
                <w:rFonts w:cs="Arial"/>
                <w:color w:val="000000"/>
                <w:sz w:val="20"/>
                <w:szCs w:val="20"/>
                <w:lang w:val="en-AU"/>
              </w:rPr>
            </w:pPr>
            <w:r w:rsidRPr="002D2560">
              <w:rPr>
                <w:sz w:val="20"/>
                <w:szCs w:val="20"/>
                <w:lang w:val="en-AU"/>
              </w:rPr>
              <w:t>Support the concept of ‘single provision, multiple use’ of information to maximise efficiency of data provision and validation where practical, in accordance with privacy requirements.</w:t>
            </w:r>
          </w:p>
        </w:tc>
        <w:tc>
          <w:tcPr>
            <w:tcW w:w="5054" w:type="dxa"/>
            <w:tcBorders>
              <w:top w:val="none" w:sz="0" w:space="0" w:color="auto"/>
              <w:bottom w:val="none" w:sz="0" w:space="0" w:color="auto"/>
            </w:tcBorders>
            <w:shd w:val="clear" w:color="auto" w:fill="auto"/>
          </w:tcPr>
          <w:p w14:paraId="7284BFCA" w14:textId="3BE47612" w:rsidR="00090D76" w:rsidRPr="002D2560" w:rsidRDefault="00090D76" w:rsidP="000E25CC">
            <w:pPr>
              <w:spacing w:before="60" w:after="60"/>
              <w:rPr>
                <w:rFonts w:cs="Arial"/>
                <w:color w:val="1C1C1C"/>
                <w:sz w:val="20"/>
                <w:szCs w:val="20"/>
                <w:lang w:val="en-AU"/>
              </w:rPr>
            </w:pPr>
            <w:r w:rsidRPr="002D2560">
              <w:rPr>
                <w:sz w:val="20"/>
                <w:szCs w:val="20"/>
                <w:lang w:val="en-AU"/>
              </w:rPr>
              <w:t>IH</w:t>
            </w:r>
            <w:r w:rsidR="007F1B0A" w:rsidRPr="002D2560">
              <w:rPr>
                <w:sz w:val="20"/>
                <w:szCs w:val="20"/>
                <w:lang w:val="en-AU"/>
              </w:rPr>
              <w:t>AC</w:t>
            </w:r>
            <w:r w:rsidRPr="002D2560">
              <w:rPr>
                <w:sz w:val="20"/>
                <w:szCs w:val="20"/>
                <w:lang w:val="en-AU"/>
              </w:rPr>
              <w:t>PA supports the concept of ‘single provision, multiple use’. Wherever possible, IH</w:t>
            </w:r>
            <w:r w:rsidR="007F1B0A" w:rsidRPr="002D2560">
              <w:rPr>
                <w:sz w:val="20"/>
                <w:szCs w:val="20"/>
                <w:lang w:val="en-AU"/>
              </w:rPr>
              <w:t>AC</w:t>
            </w:r>
            <w:r w:rsidRPr="002D2560">
              <w:rPr>
                <w:sz w:val="20"/>
                <w:szCs w:val="20"/>
                <w:lang w:val="en-AU"/>
              </w:rPr>
              <w:t>PA will apply the same validations as the AIHW and provide data to agencies under clause B77 of the Addendum as requested.</w:t>
            </w:r>
          </w:p>
        </w:tc>
      </w:tr>
      <w:tr w:rsidR="00090D76" w:rsidRPr="002D2560" w14:paraId="35BEB488" w14:textId="77777777" w:rsidTr="000E25CC">
        <w:trPr>
          <w:cnfStyle w:val="000000100000" w:firstRow="0" w:lastRow="0" w:firstColumn="0" w:lastColumn="0" w:oddVBand="0" w:evenVBand="0" w:oddHBand="1" w:evenHBand="0" w:firstRowFirstColumn="0" w:firstRowLastColumn="0" w:lastRowFirstColumn="0" w:lastRowLastColumn="0"/>
          <w:trHeight w:val="20"/>
        </w:trPr>
        <w:tc>
          <w:tcPr>
            <w:tcW w:w="8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D126E63" w14:textId="2EDED666" w:rsidR="00090D76" w:rsidRPr="002D2560" w:rsidRDefault="00090D76" w:rsidP="000E25CC">
            <w:pPr>
              <w:spacing w:before="60" w:after="60"/>
              <w:rPr>
                <w:rFonts w:cs="Arial"/>
                <w:color w:val="000000"/>
                <w:sz w:val="20"/>
                <w:szCs w:val="20"/>
                <w:lang w:val="en-AU"/>
              </w:rPr>
            </w:pPr>
            <w:r w:rsidRPr="002D2560">
              <w:rPr>
                <w:sz w:val="20"/>
                <w:szCs w:val="20"/>
                <w:lang w:val="en-AU"/>
              </w:rPr>
              <w:t>B67e</w:t>
            </w:r>
          </w:p>
        </w:tc>
        <w:tc>
          <w:tcPr>
            <w:tcW w:w="379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721BB28" w14:textId="35D3D13C" w:rsidR="00090D76" w:rsidRPr="002D2560" w:rsidRDefault="00090D76" w:rsidP="000E25CC">
            <w:pPr>
              <w:spacing w:before="60" w:after="60"/>
              <w:rPr>
                <w:rFonts w:cs="Arial"/>
                <w:color w:val="000000"/>
                <w:sz w:val="20"/>
                <w:szCs w:val="20"/>
                <w:lang w:val="en-AU"/>
              </w:rPr>
            </w:pPr>
            <w:r w:rsidRPr="002D2560">
              <w:rPr>
                <w:sz w:val="20"/>
                <w:szCs w:val="20"/>
                <w:lang w:val="en-AU"/>
              </w:rPr>
              <w:t>Balance the national benefits of access to the requested data against the impact on jurisdictions providing that data.</w:t>
            </w:r>
          </w:p>
        </w:tc>
        <w:tc>
          <w:tcPr>
            <w:tcW w:w="505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415DCA6" w14:textId="581A695B" w:rsidR="00090D76" w:rsidRPr="002D2560" w:rsidRDefault="00090D76" w:rsidP="000E25CC">
            <w:pPr>
              <w:spacing w:before="60" w:after="60"/>
              <w:rPr>
                <w:rFonts w:cs="Arial"/>
                <w:color w:val="1C1C1C"/>
                <w:sz w:val="20"/>
                <w:szCs w:val="20"/>
                <w:lang w:val="en-AU"/>
              </w:rPr>
            </w:pPr>
            <w:r w:rsidRPr="002D2560">
              <w:rPr>
                <w:sz w:val="20"/>
                <w:szCs w:val="20"/>
                <w:lang w:val="en-AU"/>
              </w:rPr>
              <w:t>IH</w:t>
            </w:r>
            <w:r w:rsidR="007F1B0A" w:rsidRPr="002D2560">
              <w:rPr>
                <w:sz w:val="20"/>
                <w:szCs w:val="20"/>
                <w:lang w:val="en-AU"/>
              </w:rPr>
              <w:t>AC</w:t>
            </w:r>
            <w:r w:rsidRPr="002D2560">
              <w:rPr>
                <w:sz w:val="20"/>
                <w:szCs w:val="20"/>
                <w:lang w:val="en-AU"/>
              </w:rPr>
              <w:t xml:space="preserve">PA is mindful of the need to balance the benefits against the impact on jurisdictions and will continue to review this in </w:t>
            </w:r>
            <w:r w:rsidR="007F1B0A" w:rsidRPr="002D2560">
              <w:rPr>
                <w:sz w:val="20"/>
                <w:szCs w:val="20"/>
                <w:lang w:val="en-AU"/>
              </w:rPr>
              <w:t>2023</w:t>
            </w:r>
            <w:r w:rsidRPr="002D2560">
              <w:rPr>
                <w:sz w:val="20"/>
                <w:szCs w:val="20"/>
                <w:lang w:val="en-AU"/>
              </w:rPr>
              <w:t>.</w:t>
            </w:r>
          </w:p>
        </w:tc>
      </w:tr>
      <w:tr w:rsidR="00090D76" w:rsidRPr="002D2560" w14:paraId="783EDB48" w14:textId="77777777" w:rsidTr="000E25CC">
        <w:trPr>
          <w:cnfStyle w:val="000000010000" w:firstRow="0" w:lastRow="0" w:firstColumn="0" w:lastColumn="0" w:oddVBand="0" w:evenVBand="0" w:oddHBand="0" w:evenHBand="1" w:firstRowFirstColumn="0" w:firstRowLastColumn="0" w:lastRowFirstColumn="0" w:lastRowLastColumn="0"/>
          <w:trHeight w:val="20"/>
        </w:trPr>
        <w:tc>
          <w:tcPr>
            <w:tcW w:w="877" w:type="dxa"/>
            <w:tcBorders>
              <w:top w:val="none" w:sz="0" w:space="0" w:color="auto"/>
              <w:bottom w:val="none" w:sz="0" w:space="0" w:color="auto"/>
            </w:tcBorders>
            <w:shd w:val="clear" w:color="auto" w:fill="auto"/>
          </w:tcPr>
          <w:p w14:paraId="7131EF2E" w14:textId="4297BE87" w:rsidR="00090D76" w:rsidRPr="002D2560" w:rsidRDefault="00090D76" w:rsidP="000E25CC">
            <w:pPr>
              <w:spacing w:before="60" w:after="60"/>
              <w:rPr>
                <w:rFonts w:cs="Arial"/>
                <w:color w:val="000000"/>
                <w:sz w:val="20"/>
                <w:szCs w:val="20"/>
                <w:lang w:val="en-AU"/>
              </w:rPr>
            </w:pPr>
            <w:r w:rsidRPr="002D2560">
              <w:rPr>
                <w:sz w:val="20"/>
                <w:szCs w:val="20"/>
                <w:lang w:val="en-AU"/>
              </w:rPr>
              <w:t>B67f</w:t>
            </w:r>
          </w:p>
        </w:tc>
        <w:tc>
          <w:tcPr>
            <w:tcW w:w="3796" w:type="dxa"/>
            <w:tcBorders>
              <w:top w:val="none" w:sz="0" w:space="0" w:color="auto"/>
              <w:bottom w:val="none" w:sz="0" w:space="0" w:color="auto"/>
            </w:tcBorders>
            <w:shd w:val="clear" w:color="auto" w:fill="auto"/>
          </w:tcPr>
          <w:p w14:paraId="23B1B96A" w14:textId="0848A3D9" w:rsidR="00090D76" w:rsidRPr="002D2560" w:rsidRDefault="00090D76" w:rsidP="000E25CC">
            <w:pPr>
              <w:spacing w:before="60" w:after="60"/>
              <w:rPr>
                <w:rFonts w:cs="Arial"/>
                <w:color w:val="000000"/>
                <w:sz w:val="20"/>
                <w:szCs w:val="20"/>
                <w:lang w:val="en-AU"/>
              </w:rPr>
            </w:pPr>
            <w:r w:rsidRPr="002D2560">
              <w:rPr>
                <w:sz w:val="20"/>
                <w:szCs w:val="20"/>
                <w:lang w:val="en-AU"/>
              </w:rPr>
              <w:t>Consult with the Commonwealth</w:t>
            </w:r>
            <w:r w:rsidR="000E25CC" w:rsidRPr="002D2560">
              <w:rPr>
                <w:sz w:val="20"/>
                <w:szCs w:val="20"/>
                <w:lang w:val="en-AU"/>
              </w:rPr>
              <w:t>,</w:t>
            </w:r>
            <w:r w:rsidRPr="002D2560">
              <w:rPr>
                <w:sz w:val="20"/>
                <w:szCs w:val="20"/>
                <w:lang w:val="en-AU"/>
              </w:rPr>
              <w:t xml:space="preserve"> states </w:t>
            </w:r>
            <w:r w:rsidR="000E25CC" w:rsidRPr="002D2560">
              <w:rPr>
                <w:sz w:val="20"/>
                <w:szCs w:val="20"/>
                <w:lang w:val="en-AU"/>
              </w:rPr>
              <w:t xml:space="preserve">and territories </w:t>
            </w:r>
            <w:r w:rsidRPr="002D2560">
              <w:rPr>
                <w:sz w:val="20"/>
                <w:szCs w:val="20"/>
                <w:lang w:val="en-AU"/>
              </w:rPr>
              <w:t>when determining its requirements.</w:t>
            </w:r>
          </w:p>
        </w:tc>
        <w:tc>
          <w:tcPr>
            <w:tcW w:w="5054" w:type="dxa"/>
            <w:tcBorders>
              <w:top w:val="none" w:sz="0" w:space="0" w:color="auto"/>
              <w:bottom w:val="none" w:sz="0" w:space="0" w:color="auto"/>
            </w:tcBorders>
            <w:shd w:val="clear" w:color="auto" w:fill="auto"/>
          </w:tcPr>
          <w:p w14:paraId="7422DB2A" w14:textId="64A18A48" w:rsidR="00090D76" w:rsidRPr="002D2560" w:rsidRDefault="00090D76" w:rsidP="000E25CC">
            <w:pPr>
              <w:spacing w:before="60" w:after="60"/>
              <w:rPr>
                <w:rFonts w:cs="Arial"/>
                <w:color w:val="1C1C1C"/>
                <w:sz w:val="20"/>
                <w:szCs w:val="20"/>
                <w:lang w:val="en-AU"/>
              </w:rPr>
            </w:pPr>
            <w:r w:rsidRPr="002D2560">
              <w:rPr>
                <w:sz w:val="20"/>
                <w:szCs w:val="20"/>
                <w:lang w:val="en-AU"/>
              </w:rPr>
              <w:t>IH</w:t>
            </w:r>
            <w:r w:rsidR="007F1B0A" w:rsidRPr="002D2560">
              <w:rPr>
                <w:sz w:val="20"/>
                <w:szCs w:val="20"/>
                <w:lang w:val="en-AU"/>
              </w:rPr>
              <w:t>AC</w:t>
            </w:r>
            <w:r w:rsidRPr="002D2560">
              <w:rPr>
                <w:sz w:val="20"/>
                <w:szCs w:val="20"/>
                <w:lang w:val="en-AU"/>
              </w:rPr>
              <w:t>PA will consult with all key stakeholders through its relevant working groups, Technical Advisory Committee, Jurisdictional Advisory Committee and external national data committees prior to introducing additional data elements into collections.</w:t>
            </w:r>
          </w:p>
        </w:tc>
      </w:tr>
    </w:tbl>
    <w:p w14:paraId="3AE56279" w14:textId="5D5DDFE1" w:rsidR="00723269" w:rsidRPr="002D2560" w:rsidRDefault="00701FD0" w:rsidP="00271FC1">
      <w:pPr>
        <w:pStyle w:val="Heading1"/>
      </w:pPr>
      <w:bookmarkStart w:id="13" w:name="_Toc121927354"/>
      <w:r w:rsidRPr="002D2560">
        <w:lastRenderedPageBreak/>
        <w:t>Hospital d</w:t>
      </w:r>
      <w:r w:rsidR="00AE1DFB" w:rsidRPr="002D2560">
        <w:t>ata requirements</w:t>
      </w:r>
      <w:bookmarkEnd w:id="13"/>
    </w:p>
    <w:p w14:paraId="75145C5A" w14:textId="728C6C60" w:rsidR="00AE1DFB" w:rsidRPr="002D2560" w:rsidRDefault="00AE1DFB" w:rsidP="00C650F2">
      <w:pPr>
        <w:rPr>
          <w:lang w:val="en-AU"/>
        </w:rPr>
      </w:pPr>
      <w:r w:rsidRPr="002D2560">
        <w:rPr>
          <w:lang w:val="en-AU"/>
        </w:rPr>
        <w:t>IH</w:t>
      </w:r>
      <w:r w:rsidR="007F1B0A" w:rsidRPr="002D2560">
        <w:rPr>
          <w:lang w:val="en-AU"/>
        </w:rPr>
        <w:t>AC</w:t>
      </w:r>
      <w:r w:rsidRPr="002D2560">
        <w:rPr>
          <w:lang w:val="en-AU"/>
        </w:rPr>
        <w:t>PA requires accurate activity, cost and expenditure data from jurisdictions on a timely basis in order to perform its core determinative functions. Wherever possible, IH</w:t>
      </w:r>
      <w:r w:rsidR="007F1B0A" w:rsidRPr="002D2560">
        <w:rPr>
          <w:lang w:val="en-AU"/>
        </w:rPr>
        <w:t>AC</w:t>
      </w:r>
      <w:r w:rsidRPr="002D2560">
        <w:rPr>
          <w:lang w:val="en-AU"/>
        </w:rPr>
        <w:t>PA uses pre-existing classifications and data set specifications.</w:t>
      </w:r>
    </w:p>
    <w:p w14:paraId="0CFF89A9" w14:textId="39B1A270" w:rsidR="00723269" w:rsidRPr="002D2560" w:rsidRDefault="00AE1DFB" w:rsidP="003156D4">
      <w:pPr>
        <w:pStyle w:val="Heading2"/>
      </w:pPr>
      <w:r w:rsidRPr="002D2560">
        <w:t>Classifications</w:t>
      </w:r>
    </w:p>
    <w:p w14:paraId="729A2743" w14:textId="2A23C040" w:rsidR="00AE1DFB" w:rsidRPr="002D2560" w:rsidRDefault="00AE1DFB" w:rsidP="00C650F2">
      <w:pPr>
        <w:rPr>
          <w:lang w:val="en-AU"/>
        </w:rPr>
      </w:pPr>
      <w:r w:rsidRPr="002D2560">
        <w:rPr>
          <w:lang w:val="en-AU"/>
        </w:rPr>
        <w:t xml:space="preserve">The classifications or lists that will be used to describe activity for the admitted </w:t>
      </w:r>
      <w:r w:rsidR="000E25CC" w:rsidRPr="002D2560">
        <w:rPr>
          <w:lang w:val="en-AU"/>
        </w:rPr>
        <w:t>care, subacute and non-acute care</w:t>
      </w:r>
      <w:r w:rsidRPr="002D2560">
        <w:rPr>
          <w:lang w:val="en-AU"/>
        </w:rPr>
        <w:t>, emergency</w:t>
      </w:r>
      <w:r w:rsidR="000E25CC" w:rsidRPr="002D2560">
        <w:rPr>
          <w:lang w:val="en-AU"/>
        </w:rPr>
        <w:t xml:space="preserve"> care, non-admitted care</w:t>
      </w:r>
      <w:r w:rsidRPr="002D2560">
        <w:rPr>
          <w:lang w:val="en-AU"/>
        </w:rPr>
        <w:t>, mental health</w:t>
      </w:r>
      <w:r w:rsidR="00430EA5" w:rsidRPr="002D2560">
        <w:rPr>
          <w:lang w:val="en-AU"/>
        </w:rPr>
        <w:t xml:space="preserve"> care</w:t>
      </w:r>
      <w:r w:rsidRPr="002D2560">
        <w:rPr>
          <w:lang w:val="en-AU"/>
        </w:rPr>
        <w:t xml:space="preserve">, teaching, training and research and sentinel events service categories from 1 July </w:t>
      </w:r>
      <w:r w:rsidR="00430EA5" w:rsidRPr="002D2560">
        <w:rPr>
          <w:lang w:val="en-AU"/>
        </w:rPr>
        <w:t xml:space="preserve">2023 </w:t>
      </w:r>
      <w:r w:rsidRPr="002D2560">
        <w:rPr>
          <w:lang w:val="en-AU"/>
        </w:rPr>
        <w:t>are provided in</w:t>
      </w:r>
      <w:r w:rsidR="005E330F" w:rsidRPr="002D2560">
        <w:rPr>
          <w:lang w:val="en-AU"/>
        </w:rPr>
        <w:t xml:space="preserve"> </w:t>
      </w:r>
      <w:r w:rsidR="005E330F" w:rsidRPr="002D2560">
        <w:rPr>
          <w:b/>
          <w:bCs/>
          <w:lang w:val="en-AU"/>
        </w:rPr>
        <w:t xml:space="preserve">Table </w:t>
      </w:r>
      <w:r w:rsidR="002A50EE" w:rsidRPr="002D2560">
        <w:rPr>
          <w:b/>
          <w:bCs/>
          <w:lang w:val="en-AU"/>
        </w:rPr>
        <w:t>2</w:t>
      </w:r>
      <w:r w:rsidRPr="002D2560">
        <w:rPr>
          <w:lang w:val="en-AU"/>
        </w:rPr>
        <w:t>.</w:t>
      </w:r>
    </w:p>
    <w:p w14:paraId="7E260742" w14:textId="7E5C98BA" w:rsidR="00AE1DFB" w:rsidRPr="002D2560" w:rsidRDefault="00AE1DFB" w:rsidP="00AE1DFB">
      <w:pPr>
        <w:rPr>
          <w:b/>
          <w:bCs/>
          <w:lang w:val="en-AU"/>
        </w:rPr>
      </w:pPr>
      <w:r w:rsidRPr="002D2560">
        <w:rPr>
          <w:b/>
          <w:bCs/>
          <w:lang w:val="en-AU"/>
        </w:rPr>
        <w:t xml:space="preserve">Table </w:t>
      </w:r>
      <w:r w:rsidR="002A50EE" w:rsidRPr="002D2560">
        <w:rPr>
          <w:b/>
          <w:bCs/>
          <w:lang w:val="en-AU"/>
        </w:rPr>
        <w:t>2</w:t>
      </w:r>
      <w:r w:rsidR="005E330F" w:rsidRPr="002D2560">
        <w:rPr>
          <w:b/>
          <w:bCs/>
          <w:lang w:val="en-AU"/>
        </w:rPr>
        <w:t>.</w:t>
      </w:r>
      <w:r w:rsidRPr="002D2560">
        <w:rPr>
          <w:b/>
          <w:bCs/>
          <w:lang w:val="en-AU"/>
        </w:rPr>
        <w:t xml:space="preserve"> Activity </w:t>
      </w:r>
      <w:r w:rsidR="006171CB" w:rsidRPr="002D2560">
        <w:rPr>
          <w:b/>
          <w:bCs/>
          <w:lang w:val="en-AU"/>
        </w:rPr>
        <w:t>b</w:t>
      </w:r>
      <w:r w:rsidRPr="002D2560">
        <w:rPr>
          <w:b/>
          <w:bCs/>
          <w:lang w:val="en-AU"/>
        </w:rPr>
        <w:t xml:space="preserve">ased </w:t>
      </w:r>
      <w:r w:rsidR="006171CB" w:rsidRPr="002D2560">
        <w:rPr>
          <w:b/>
          <w:bCs/>
          <w:lang w:val="en-AU"/>
        </w:rPr>
        <w:t>f</w:t>
      </w:r>
      <w:r w:rsidRPr="002D2560">
        <w:rPr>
          <w:b/>
          <w:bCs/>
          <w:lang w:val="en-AU"/>
        </w:rPr>
        <w:t>unding classifications</w:t>
      </w:r>
      <w:r w:rsidR="004A41FB" w:rsidRPr="002D2560">
        <w:rPr>
          <w:b/>
          <w:bCs/>
          <w:lang w:val="en-AU"/>
        </w:rPr>
        <w:t xml:space="preserve"> and versions</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Table 10"/>
        <w:tblDescription w:val="Ongoing seconded employees 2021"/>
      </w:tblPr>
      <w:tblGrid>
        <w:gridCol w:w="2263"/>
        <w:gridCol w:w="5245"/>
        <w:gridCol w:w="2219"/>
      </w:tblGrid>
      <w:tr w:rsidR="00AE1DFB" w:rsidRPr="002D2560" w14:paraId="1E9F1A39" w14:textId="77777777" w:rsidTr="00B33F98">
        <w:trPr>
          <w:cnfStyle w:val="100000000000" w:firstRow="1" w:lastRow="0" w:firstColumn="0" w:lastColumn="0" w:oddVBand="0" w:evenVBand="0" w:oddHBand="0" w:evenHBand="0" w:firstRowFirstColumn="0" w:firstRowLastColumn="0" w:lastRowFirstColumn="0" w:lastRowLastColumn="0"/>
          <w:trHeight w:val="20"/>
        </w:trPr>
        <w:tc>
          <w:tcPr>
            <w:tcW w:w="2263" w:type="dxa"/>
            <w:shd w:val="clear" w:color="auto" w:fill="104F99" w:themeFill="accent2"/>
          </w:tcPr>
          <w:p w14:paraId="38627F16" w14:textId="7353BB9E" w:rsidR="00AE1DFB" w:rsidRPr="002D2560" w:rsidRDefault="00AE1DFB" w:rsidP="00051A7E">
            <w:pPr>
              <w:spacing w:before="60" w:after="60"/>
              <w:rPr>
                <w:rFonts w:cs="Arial"/>
                <w:b/>
                <w:bCs/>
                <w:color w:val="FFFFFF" w:themeColor="background2"/>
                <w:sz w:val="20"/>
                <w:szCs w:val="20"/>
                <w:lang w:val="en-AU"/>
              </w:rPr>
            </w:pPr>
            <w:r w:rsidRPr="002D2560">
              <w:rPr>
                <w:b/>
                <w:bCs/>
                <w:color w:val="FFFFFF" w:themeColor="background2"/>
                <w:sz w:val="20"/>
                <w:szCs w:val="20"/>
                <w:lang w:val="en-AU"/>
              </w:rPr>
              <w:t>Service category</w:t>
            </w:r>
          </w:p>
        </w:tc>
        <w:tc>
          <w:tcPr>
            <w:tcW w:w="5245" w:type="dxa"/>
            <w:shd w:val="clear" w:color="auto" w:fill="104F99" w:themeFill="accent2"/>
          </w:tcPr>
          <w:p w14:paraId="35B243F6" w14:textId="49B86B4C" w:rsidR="00AE1DFB" w:rsidRPr="002D2560" w:rsidRDefault="00AE1DFB" w:rsidP="00051A7E">
            <w:pPr>
              <w:spacing w:before="60" w:after="60"/>
              <w:rPr>
                <w:rFonts w:cs="Arial"/>
                <w:b/>
                <w:bCs/>
                <w:color w:val="FFFFFF" w:themeColor="background2"/>
                <w:sz w:val="20"/>
                <w:szCs w:val="20"/>
                <w:lang w:val="en-AU"/>
              </w:rPr>
            </w:pPr>
            <w:r w:rsidRPr="002D2560">
              <w:rPr>
                <w:b/>
                <w:bCs/>
                <w:color w:val="FFFFFF" w:themeColor="background2"/>
                <w:sz w:val="20"/>
                <w:szCs w:val="20"/>
                <w:lang w:val="en-AU"/>
              </w:rPr>
              <w:t>Classification</w:t>
            </w:r>
          </w:p>
        </w:tc>
        <w:tc>
          <w:tcPr>
            <w:tcW w:w="2219" w:type="dxa"/>
            <w:shd w:val="clear" w:color="auto" w:fill="104F99" w:themeFill="accent2"/>
            <w:vAlign w:val="center"/>
          </w:tcPr>
          <w:p w14:paraId="12E60D76" w14:textId="6C4EDC38" w:rsidR="00AE1DFB" w:rsidRPr="002D2560" w:rsidRDefault="00AE1DFB" w:rsidP="00051A7E">
            <w:pPr>
              <w:spacing w:before="60" w:after="60"/>
              <w:jc w:val="center"/>
              <w:rPr>
                <w:rFonts w:cs="Arial"/>
                <w:b/>
                <w:bCs/>
                <w:color w:val="FFFFFF" w:themeColor="background2"/>
                <w:sz w:val="20"/>
                <w:szCs w:val="20"/>
                <w:lang w:val="en-AU"/>
              </w:rPr>
            </w:pPr>
            <w:r w:rsidRPr="002D2560">
              <w:rPr>
                <w:b/>
                <w:bCs/>
                <w:color w:val="FFFFFF" w:themeColor="background2"/>
                <w:sz w:val="20"/>
                <w:szCs w:val="20"/>
                <w:lang w:val="en-AU"/>
              </w:rPr>
              <w:t>Collection start date</w:t>
            </w:r>
          </w:p>
        </w:tc>
      </w:tr>
      <w:tr w:rsidR="00A9781B" w:rsidRPr="002D2560" w14:paraId="17CD6B03" w14:textId="77777777" w:rsidTr="00DD0C04">
        <w:trPr>
          <w:cnfStyle w:val="000000100000" w:firstRow="0" w:lastRow="0" w:firstColumn="0" w:lastColumn="0" w:oddVBand="0" w:evenVBand="0" w:oddHBand="1" w:evenHBand="0" w:firstRowFirstColumn="0" w:firstRowLastColumn="0" w:lastRowFirstColumn="0" w:lastRowLastColumn="0"/>
          <w:trHeight w:val="572"/>
        </w:trPr>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8BDB294" w14:textId="76AD86A1" w:rsidR="00A9781B" w:rsidRPr="002D2560" w:rsidRDefault="00A9781B" w:rsidP="00A9781B">
            <w:pPr>
              <w:spacing w:before="60" w:after="60"/>
              <w:rPr>
                <w:rFonts w:cs="Arial"/>
                <w:color w:val="000000"/>
                <w:sz w:val="20"/>
                <w:szCs w:val="20"/>
                <w:lang w:val="en-AU"/>
              </w:rPr>
            </w:pPr>
            <w:r w:rsidRPr="002D2560">
              <w:rPr>
                <w:sz w:val="20"/>
                <w:szCs w:val="20"/>
                <w:lang w:val="en-AU"/>
              </w:rPr>
              <w:t>Admitted acute</w:t>
            </w:r>
          </w:p>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078C89D" w14:textId="6CC31CEF" w:rsidR="00A9781B" w:rsidRPr="002D2560" w:rsidRDefault="00A9781B" w:rsidP="00DD0C04">
            <w:pPr>
              <w:spacing w:before="60" w:after="60"/>
              <w:rPr>
                <w:rFonts w:cs="Arial"/>
                <w:color w:val="000000"/>
                <w:sz w:val="20"/>
                <w:szCs w:val="20"/>
                <w:lang w:val="en-AU"/>
              </w:rPr>
            </w:pPr>
            <w:r w:rsidRPr="002D2560">
              <w:rPr>
                <w:sz w:val="20"/>
                <w:szCs w:val="20"/>
                <w:lang w:val="en-AU"/>
              </w:rPr>
              <w:t>International Statistical Classification of Diseases and Related Health Problems, Tenth Revision, Australian Modification (ICD-10-AM)</w:t>
            </w:r>
            <w:r w:rsidR="00A6088E" w:rsidRPr="002D2560">
              <w:rPr>
                <w:sz w:val="20"/>
                <w:szCs w:val="20"/>
                <w:lang w:val="en-AU"/>
              </w:rPr>
              <w:t>, the Australian Classification of Health Interventions, the Australian Coding Standards</w:t>
            </w:r>
            <w:r w:rsidRPr="002D2560">
              <w:rPr>
                <w:sz w:val="20"/>
                <w:szCs w:val="20"/>
                <w:lang w:val="en-AU"/>
              </w:rPr>
              <w:t xml:space="preserve"> Twelfth Edition; in conjunction with Australian Refined Diagnosis Related Groups (AR</w:t>
            </w:r>
            <w:r w:rsidRPr="002D2560">
              <w:rPr>
                <w:sz w:val="20"/>
                <w:szCs w:val="20"/>
                <w:lang w:val="en-AU"/>
              </w:rPr>
              <w:noBreakHyphen/>
              <w:t>DRG) Version 11.0</w:t>
            </w:r>
          </w:p>
        </w:tc>
        <w:tc>
          <w:tcPr>
            <w:tcW w:w="22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34B4D147" w14:textId="1439E2CE" w:rsidR="00A9781B" w:rsidRPr="002D2560" w:rsidRDefault="00567EAE" w:rsidP="00A9781B">
            <w:pPr>
              <w:spacing w:before="60" w:after="60"/>
              <w:jc w:val="center"/>
              <w:rPr>
                <w:rFonts w:cs="Arial"/>
                <w:color w:val="1C1C1C"/>
                <w:sz w:val="20"/>
                <w:szCs w:val="20"/>
                <w:lang w:val="en-AU"/>
              </w:rPr>
            </w:pPr>
            <w:r w:rsidRPr="002D2560">
              <w:rPr>
                <w:sz w:val="20"/>
                <w:szCs w:val="20"/>
                <w:lang w:val="en-AU"/>
              </w:rPr>
              <w:t>1 July 2023</w:t>
            </w:r>
          </w:p>
        </w:tc>
      </w:tr>
      <w:tr w:rsidR="006171CB" w:rsidRPr="002D2560" w14:paraId="5009252D" w14:textId="77777777" w:rsidTr="00B33F98">
        <w:trPr>
          <w:cnfStyle w:val="000000010000" w:firstRow="0" w:lastRow="0" w:firstColumn="0" w:lastColumn="0" w:oddVBand="0" w:evenVBand="0" w:oddHBand="0" w:evenHBand="1" w:firstRowFirstColumn="0" w:firstRowLastColumn="0" w:lastRowFirstColumn="0" w:lastRowLastColumn="0"/>
          <w:trHeight w:val="20"/>
        </w:trPr>
        <w:tc>
          <w:tcPr>
            <w:tcW w:w="2263" w:type="dxa"/>
            <w:tcBorders>
              <w:top w:val="none" w:sz="0" w:space="0" w:color="auto"/>
              <w:bottom w:val="none" w:sz="0" w:space="0" w:color="auto"/>
            </w:tcBorders>
            <w:shd w:val="clear" w:color="auto" w:fill="auto"/>
          </w:tcPr>
          <w:p w14:paraId="0012BA84" w14:textId="0BBEB48F" w:rsidR="006171CB" w:rsidRPr="002D2560" w:rsidRDefault="006171CB" w:rsidP="00051A7E">
            <w:pPr>
              <w:spacing w:before="60" w:after="60"/>
              <w:rPr>
                <w:sz w:val="20"/>
                <w:szCs w:val="20"/>
                <w:lang w:val="en-AU"/>
              </w:rPr>
            </w:pPr>
            <w:r w:rsidRPr="002D2560">
              <w:rPr>
                <w:sz w:val="20"/>
                <w:szCs w:val="20"/>
                <w:lang w:val="en-AU"/>
              </w:rPr>
              <w:t>Subacute and non-acute</w:t>
            </w:r>
          </w:p>
        </w:tc>
        <w:tc>
          <w:tcPr>
            <w:tcW w:w="5245" w:type="dxa"/>
            <w:tcBorders>
              <w:top w:val="none" w:sz="0" w:space="0" w:color="auto"/>
              <w:bottom w:val="none" w:sz="0" w:space="0" w:color="auto"/>
            </w:tcBorders>
            <w:shd w:val="clear" w:color="auto" w:fill="auto"/>
          </w:tcPr>
          <w:p w14:paraId="698A10A6" w14:textId="2E217C83" w:rsidR="006171CB" w:rsidRPr="002D2560" w:rsidRDefault="006171CB" w:rsidP="00051A7E">
            <w:pPr>
              <w:spacing w:before="60" w:after="60"/>
              <w:rPr>
                <w:sz w:val="20"/>
                <w:szCs w:val="20"/>
                <w:lang w:val="en-AU"/>
              </w:rPr>
            </w:pPr>
            <w:r w:rsidRPr="002D2560">
              <w:rPr>
                <w:sz w:val="20"/>
                <w:szCs w:val="20"/>
                <w:lang w:val="en-AU"/>
              </w:rPr>
              <w:t>Australian National Subacute and Non-Acute Patient Classification (AN-SNAP) Version</w:t>
            </w:r>
            <w:r w:rsidR="00EE517D" w:rsidRPr="002D2560">
              <w:rPr>
                <w:sz w:val="20"/>
                <w:szCs w:val="20"/>
                <w:lang w:val="en-AU"/>
              </w:rPr>
              <w:t xml:space="preserve"> </w:t>
            </w:r>
            <w:r w:rsidRPr="002D2560">
              <w:rPr>
                <w:sz w:val="20"/>
                <w:szCs w:val="20"/>
                <w:lang w:val="en-AU"/>
              </w:rPr>
              <w:t>4.0</w:t>
            </w:r>
          </w:p>
        </w:tc>
        <w:tc>
          <w:tcPr>
            <w:tcW w:w="2219" w:type="dxa"/>
            <w:tcBorders>
              <w:top w:val="none" w:sz="0" w:space="0" w:color="auto"/>
              <w:bottom w:val="none" w:sz="0" w:space="0" w:color="auto"/>
            </w:tcBorders>
            <w:shd w:val="clear" w:color="auto" w:fill="auto"/>
            <w:vAlign w:val="center"/>
          </w:tcPr>
          <w:p w14:paraId="70ADA112" w14:textId="55B267A9" w:rsidR="006171CB" w:rsidRPr="002D2560" w:rsidRDefault="006171CB" w:rsidP="00051A7E">
            <w:pPr>
              <w:spacing w:before="60" w:after="60"/>
              <w:jc w:val="center"/>
              <w:rPr>
                <w:sz w:val="20"/>
                <w:szCs w:val="20"/>
                <w:lang w:val="en-AU"/>
              </w:rPr>
            </w:pPr>
            <w:r w:rsidRPr="002D2560">
              <w:rPr>
                <w:sz w:val="20"/>
                <w:szCs w:val="20"/>
                <w:lang w:val="en-AU"/>
              </w:rPr>
              <w:t>1 July 2023</w:t>
            </w:r>
          </w:p>
        </w:tc>
      </w:tr>
      <w:tr w:rsidR="006171CB" w:rsidRPr="002D2560" w14:paraId="37147F5E" w14:textId="77777777" w:rsidTr="00A9781B">
        <w:trPr>
          <w:cnfStyle w:val="000000100000" w:firstRow="0" w:lastRow="0" w:firstColumn="0" w:lastColumn="0" w:oddVBand="0" w:evenVBand="0" w:oddHBand="1" w:evenHBand="0" w:firstRowFirstColumn="0" w:firstRowLastColumn="0" w:lastRowFirstColumn="0" w:lastRowLastColumn="0"/>
          <w:trHeight w:val="20"/>
        </w:trPr>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49B548" w14:textId="5337BD72" w:rsidR="006171CB" w:rsidRPr="002D2560" w:rsidRDefault="006171CB" w:rsidP="00051A7E">
            <w:pPr>
              <w:spacing w:before="60" w:after="60"/>
              <w:rPr>
                <w:rFonts w:cs="Arial"/>
                <w:color w:val="000000"/>
                <w:sz w:val="20"/>
                <w:szCs w:val="20"/>
                <w:lang w:val="en-AU"/>
              </w:rPr>
            </w:pPr>
            <w:r w:rsidRPr="002D2560">
              <w:rPr>
                <w:sz w:val="20"/>
                <w:szCs w:val="20"/>
                <w:lang w:val="en-AU"/>
              </w:rPr>
              <w:t>Emergency</w:t>
            </w:r>
            <w:r w:rsidRPr="002D2560">
              <w:rPr>
                <w:sz w:val="20"/>
                <w:szCs w:val="20"/>
                <w:lang w:val="en-AU"/>
              </w:rPr>
              <w:br/>
              <w:t>(Levels 3B – 6)</w:t>
            </w:r>
          </w:p>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FBC7BA1" w14:textId="383F8F78" w:rsidR="006171CB" w:rsidRPr="002D2560" w:rsidRDefault="006171CB" w:rsidP="00051A7E">
            <w:pPr>
              <w:spacing w:before="60" w:after="60"/>
              <w:rPr>
                <w:rFonts w:cs="Arial"/>
                <w:color w:val="000000"/>
                <w:sz w:val="20"/>
                <w:szCs w:val="20"/>
                <w:lang w:val="en-AU"/>
              </w:rPr>
            </w:pPr>
            <w:r w:rsidRPr="002D2560">
              <w:rPr>
                <w:sz w:val="20"/>
                <w:szCs w:val="20"/>
                <w:lang w:val="en-AU"/>
              </w:rPr>
              <w:t>Australian Emergency Care Classification (AECC) Version 1.0</w:t>
            </w:r>
          </w:p>
        </w:tc>
        <w:tc>
          <w:tcPr>
            <w:tcW w:w="22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CDF8C41" w14:textId="796FB699" w:rsidR="006171CB" w:rsidRPr="002D2560" w:rsidRDefault="006171CB" w:rsidP="00051A7E">
            <w:pPr>
              <w:spacing w:before="60" w:after="60"/>
              <w:jc w:val="center"/>
              <w:rPr>
                <w:rFonts w:cs="Arial"/>
                <w:color w:val="1C1C1C"/>
                <w:sz w:val="20"/>
                <w:szCs w:val="20"/>
                <w:lang w:val="en-AU"/>
              </w:rPr>
            </w:pPr>
            <w:r w:rsidRPr="002D2560">
              <w:rPr>
                <w:sz w:val="20"/>
                <w:szCs w:val="20"/>
                <w:lang w:val="en-AU"/>
              </w:rPr>
              <w:t>1 July 2023</w:t>
            </w:r>
          </w:p>
        </w:tc>
      </w:tr>
      <w:tr w:rsidR="006171CB" w:rsidRPr="002D2560" w14:paraId="1CAD555C" w14:textId="77777777" w:rsidTr="00B33F98">
        <w:trPr>
          <w:cnfStyle w:val="000000010000" w:firstRow="0" w:lastRow="0" w:firstColumn="0" w:lastColumn="0" w:oddVBand="0" w:evenVBand="0" w:oddHBand="0" w:evenHBand="1" w:firstRowFirstColumn="0" w:firstRowLastColumn="0" w:lastRowFirstColumn="0" w:lastRowLastColumn="0"/>
          <w:trHeight w:val="20"/>
        </w:trPr>
        <w:tc>
          <w:tcPr>
            <w:tcW w:w="2263" w:type="dxa"/>
            <w:tcBorders>
              <w:top w:val="none" w:sz="0" w:space="0" w:color="auto"/>
              <w:bottom w:val="none" w:sz="0" w:space="0" w:color="auto"/>
            </w:tcBorders>
            <w:shd w:val="clear" w:color="auto" w:fill="auto"/>
          </w:tcPr>
          <w:p w14:paraId="48294011" w14:textId="7ADD8C57" w:rsidR="006171CB" w:rsidRPr="002D2560" w:rsidRDefault="006171CB" w:rsidP="00051A7E">
            <w:pPr>
              <w:spacing w:before="60" w:after="60"/>
              <w:rPr>
                <w:sz w:val="20"/>
                <w:szCs w:val="20"/>
                <w:lang w:val="en-AU"/>
              </w:rPr>
            </w:pPr>
            <w:r w:rsidRPr="002D2560">
              <w:rPr>
                <w:sz w:val="20"/>
                <w:szCs w:val="20"/>
                <w:lang w:val="en-AU"/>
              </w:rPr>
              <w:t>Emergency</w:t>
            </w:r>
            <w:r w:rsidRPr="002D2560">
              <w:rPr>
                <w:sz w:val="20"/>
                <w:szCs w:val="20"/>
                <w:lang w:val="en-AU"/>
              </w:rPr>
              <w:br/>
              <w:t>(Levels 1 – 3A)</w:t>
            </w:r>
          </w:p>
        </w:tc>
        <w:tc>
          <w:tcPr>
            <w:tcW w:w="5245" w:type="dxa"/>
            <w:tcBorders>
              <w:top w:val="none" w:sz="0" w:space="0" w:color="auto"/>
              <w:bottom w:val="none" w:sz="0" w:space="0" w:color="auto"/>
            </w:tcBorders>
            <w:shd w:val="clear" w:color="auto" w:fill="auto"/>
          </w:tcPr>
          <w:p w14:paraId="718BA676" w14:textId="4DBCFAC6" w:rsidR="006171CB" w:rsidRPr="002D2560" w:rsidRDefault="006171CB" w:rsidP="00051A7E">
            <w:pPr>
              <w:spacing w:before="60" w:after="60"/>
              <w:rPr>
                <w:sz w:val="20"/>
                <w:szCs w:val="20"/>
                <w:lang w:val="en-AU"/>
              </w:rPr>
            </w:pPr>
            <w:r w:rsidRPr="002D2560">
              <w:rPr>
                <w:sz w:val="20"/>
                <w:szCs w:val="20"/>
                <w:lang w:val="en-AU"/>
              </w:rPr>
              <w:t>Urgency Disposition Groups (UDG) Version 1.3</w:t>
            </w:r>
          </w:p>
        </w:tc>
        <w:tc>
          <w:tcPr>
            <w:tcW w:w="2219" w:type="dxa"/>
            <w:tcBorders>
              <w:top w:val="none" w:sz="0" w:space="0" w:color="auto"/>
              <w:bottom w:val="none" w:sz="0" w:space="0" w:color="auto"/>
            </w:tcBorders>
            <w:shd w:val="clear" w:color="auto" w:fill="auto"/>
            <w:vAlign w:val="center"/>
          </w:tcPr>
          <w:p w14:paraId="157DF85A" w14:textId="65ED6D0C" w:rsidR="006171CB" w:rsidRPr="002D2560" w:rsidRDefault="006171CB" w:rsidP="00051A7E">
            <w:pPr>
              <w:spacing w:before="60" w:after="60"/>
              <w:jc w:val="center"/>
              <w:rPr>
                <w:sz w:val="20"/>
                <w:szCs w:val="20"/>
                <w:lang w:val="en-AU"/>
              </w:rPr>
            </w:pPr>
            <w:r w:rsidRPr="002D2560">
              <w:rPr>
                <w:sz w:val="20"/>
                <w:szCs w:val="20"/>
                <w:lang w:val="en-AU"/>
              </w:rPr>
              <w:t>1 July 2023</w:t>
            </w:r>
          </w:p>
        </w:tc>
      </w:tr>
      <w:tr w:rsidR="006171CB" w:rsidRPr="002D2560" w14:paraId="0DB82052" w14:textId="77777777" w:rsidTr="00A9781B">
        <w:trPr>
          <w:cnfStyle w:val="000000100000" w:firstRow="0" w:lastRow="0" w:firstColumn="0" w:lastColumn="0" w:oddVBand="0" w:evenVBand="0" w:oddHBand="1" w:evenHBand="0" w:firstRowFirstColumn="0" w:firstRowLastColumn="0" w:lastRowFirstColumn="0" w:lastRowLastColumn="0"/>
          <w:trHeight w:val="20"/>
        </w:trPr>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4E01E44" w14:textId="6EE64CC3" w:rsidR="006171CB" w:rsidRPr="002D2560" w:rsidRDefault="006171CB" w:rsidP="00051A7E">
            <w:pPr>
              <w:spacing w:before="60" w:after="60"/>
              <w:rPr>
                <w:sz w:val="20"/>
                <w:szCs w:val="20"/>
                <w:lang w:val="en-AU"/>
              </w:rPr>
            </w:pPr>
            <w:r w:rsidRPr="002D2560">
              <w:rPr>
                <w:sz w:val="20"/>
                <w:szCs w:val="20"/>
                <w:lang w:val="en-AU"/>
              </w:rPr>
              <w:t>Non-admitted</w:t>
            </w:r>
          </w:p>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4F5E60D" w14:textId="607D4D82" w:rsidR="006171CB" w:rsidRPr="002D2560" w:rsidRDefault="006171CB" w:rsidP="00051A7E">
            <w:pPr>
              <w:spacing w:before="60" w:after="60"/>
              <w:rPr>
                <w:sz w:val="20"/>
                <w:szCs w:val="20"/>
                <w:lang w:val="en-AU"/>
              </w:rPr>
            </w:pPr>
            <w:r w:rsidRPr="002D2560">
              <w:rPr>
                <w:sz w:val="20"/>
                <w:szCs w:val="20"/>
                <w:lang w:val="en-AU"/>
              </w:rPr>
              <w:t xml:space="preserve">Tier 2 Non-Admitted Services </w:t>
            </w:r>
            <w:r w:rsidR="00DE478B" w:rsidRPr="002D2560">
              <w:rPr>
                <w:sz w:val="20"/>
                <w:szCs w:val="20"/>
                <w:lang w:val="en-AU"/>
              </w:rPr>
              <w:t>Classification (Tier 2) Version 8.0</w:t>
            </w:r>
          </w:p>
        </w:tc>
        <w:tc>
          <w:tcPr>
            <w:tcW w:w="22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8876846" w14:textId="42136080" w:rsidR="006171CB" w:rsidRPr="002D2560" w:rsidRDefault="006171CB" w:rsidP="00051A7E">
            <w:pPr>
              <w:spacing w:before="60" w:after="60"/>
              <w:jc w:val="center"/>
              <w:rPr>
                <w:sz w:val="20"/>
                <w:szCs w:val="20"/>
                <w:lang w:val="en-AU"/>
              </w:rPr>
            </w:pPr>
            <w:r w:rsidRPr="002D2560">
              <w:rPr>
                <w:sz w:val="20"/>
                <w:szCs w:val="20"/>
                <w:lang w:val="en-AU"/>
              </w:rPr>
              <w:t>1 July 2023</w:t>
            </w:r>
          </w:p>
        </w:tc>
      </w:tr>
      <w:tr w:rsidR="006171CB" w:rsidRPr="002D2560" w14:paraId="6C56ED7D" w14:textId="77777777" w:rsidTr="00B33F98">
        <w:trPr>
          <w:cnfStyle w:val="000000010000" w:firstRow="0" w:lastRow="0" w:firstColumn="0" w:lastColumn="0" w:oddVBand="0" w:evenVBand="0" w:oddHBand="0" w:evenHBand="1" w:firstRowFirstColumn="0" w:firstRowLastColumn="0" w:lastRowFirstColumn="0" w:lastRowLastColumn="0"/>
          <w:trHeight w:val="20"/>
        </w:trPr>
        <w:tc>
          <w:tcPr>
            <w:tcW w:w="2263" w:type="dxa"/>
            <w:tcBorders>
              <w:top w:val="none" w:sz="0" w:space="0" w:color="auto"/>
              <w:bottom w:val="none" w:sz="0" w:space="0" w:color="auto"/>
            </w:tcBorders>
            <w:shd w:val="clear" w:color="auto" w:fill="auto"/>
          </w:tcPr>
          <w:p w14:paraId="35A9C0E4" w14:textId="16A8C947" w:rsidR="006171CB" w:rsidRPr="002D2560" w:rsidRDefault="006171CB" w:rsidP="00051A7E">
            <w:pPr>
              <w:spacing w:before="60" w:after="60"/>
              <w:rPr>
                <w:sz w:val="20"/>
                <w:szCs w:val="20"/>
                <w:lang w:val="en-AU"/>
              </w:rPr>
            </w:pPr>
            <w:r w:rsidRPr="002D2560">
              <w:rPr>
                <w:sz w:val="20"/>
                <w:szCs w:val="20"/>
                <w:lang w:val="en-AU"/>
              </w:rPr>
              <w:t xml:space="preserve">Mental </w:t>
            </w:r>
            <w:r w:rsidR="00A9781B" w:rsidRPr="002D2560">
              <w:rPr>
                <w:sz w:val="20"/>
                <w:szCs w:val="20"/>
                <w:lang w:val="en-AU"/>
              </w:rPr>
              <w:t>h</w:t>
            </w:r>
            <w:r w:rsidRPr="002D2560">
              <w:rPr>
                <w:sz w:val="20"/>
                <w:szCs w:val="20"/>
                <w:lang w:val="en-AU"/>
              </w:rPr>
              <w:t>ealth</w:t>
            </w:r>
          </w:p>
        </w:tc>
        <w:tc>
          <w:tcPr>
            <w:tcW w:w="5245" w:type="dxa"/>
            <w:tcBorders>
              <w:top w:val="none" w:sz="0" w:space="0" w:color="auto"/>
              <w:bottom w:val="none" w:sz="0" w:space="0" w:color="auto"/>
            </w:tcBorders>
            <w:shd w:val="clear" w:color="auto" w:fill="auto"/>
          </w:tcPr>
          <w:p w14:paraId="4C59A9D8" w14:textId="7C69D408" w:rsidR="006171CB" w:rsidRPr="002D2560" w:rsidRDefault="006171CB" w:rsidP="00051A7E">
            <w:pPr>
              <w:spacing w:before="60" w:after="60"/>
              <w:rPr>
                <w:sz w:val="20"/>
                <w:szCs w:val="20"/>
                <w:lang w:val="en-AU"/>
              </w:rPr>
            </w:pPr>
            <w:r w:rsidRPr="002D2560">
              <w:rPr>
                <w:sz w:val="20"/>
                <w:szCs w:val="20"/>
                <w:lang w:val="en-AU"/>
              </w:rPr>
              <w:t>Australian Mental Health Care Classification (AMHCC) Version 1.0</w:t>
            </w:r>
          </w:p>
        </w:tc>
        <w:tc>
          <w:tcPr>
            <w:tcW w:w="2219" w:type="dxa"/>
            <w:tcBorders>
              <w:top w:val="none" w:sz="0" w:space="0" w:color="auto"/>
              <w:bottom w:val="none" w:sz="0" w:space="0" w:color="auto"/>
            </w:tcBorders>
            <w:shd w:val="clear" w:color="auto" w:fill="auto"/>
            <w:vAlign w:val="center"/>
          </w:tcPr>
          <w:p w14:paraId="26D59F8F" w14:textId="02F82654" w:rsidR="006171CB" w:rsidRPr="002D2560" w:rsidRDefault="006171CB" w:rsidP="00051A7E">
            <w:pPr>
              <w:spacing w:before="60" w:after="60"/>
              <w:jc w:val="center"/>
              <w:rPr>
                <w:sz w:val="20"/>
                <w:szCs w:val="20"/>
                <w:lang w:val="en-AU"/>
              </w:rPr>
            </w:pPr>
            <w:r w:rsidRPr="002D2560">
              <w:rPr>
                <w:sz w:val="20"/>
                <w:szCs w:val="20"/>
                <w:lang w:val="en-AU"/>
              </w:rPr>
              <w:t>1 July 2023</w:t>
            </w:r>
          </w:p>
        </w:tc>
      </w:tr>
      <w:tr w:rsidR="006171CB" w:rsidRPr="002D2560" w14:paraId="78E00011" w14:textId="77777777" w:rsidTr="00A9781B">
        <w:trPr>
          <w:cnfStyle w:val="000000100000" w:firstRow="0" w:lastRow="0" w:firstColumn="0" w:lastColumn="0" w:oddVBand="0" w:evenVBand="0" w:oddHBand="1" w:evenHBand="0" w:firstRowFirstColumn="0" w:firstRowLastColumn="0" w:lastRowFirstColumn="0" w:lastRowLastColumn="0"/>
          <w:trHeight w:val="20"/>
        </w:trPr>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8670640" w14:textId="61340B44" w:rsidR="006171CB" w:rsidRPr="002D2560" w:rsidRDefault="006171CB" w:rsidP="00051A7E">
            <w:pPr>
              <w:spacing w:before="60" w:after="60"/>
              <w:rPr>
                <w:rFonts w:cs="Arial"/>
                <w:color w:val="000000"/>
                <w:sz w:val="20"/>
                <w:szCs w:val="20"/>
                <w:lang w:val="en-AU"/>
              </w:rPr>
            </w:pPr>
            <w:r w:rsidRPr="002D2560">
              <w:rPr>
                <w:sz w:val="20"/>
                <w:szCs w:val="20"/>
                <w:lang w:val="en-AU"/>
              </w:rPr>
              <w:t>Teaching, training and research</w:t>
            </w:r>
            <w:r w:rsidR="006C6814" w:rsidRPr="002D2560">
              <w:rPr>
                <w:rStyle w:val="FootnoteReference"/>
                <w:sz w:val="20"/>
                <w:szCs w:val="20"/>
                <w:lang w:val="en-AU"/>
              </w:rPr>
              <w:footnoteReference w:id="2"/>
            </w:r>
          </w:p>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679B92" w14:textId="44FD4227" w:rsidR="006171CB" w:rsidRPr="002D2560" w:rsidRDefault="006171CB" w:rsidP="00051A7E">
            <w:pPr>
              <w:spacing w:before="60" w:after="60"/>
              <w:rPr>
                <w:rFonts w:cs="Arial"/>
                <w:color w:val="000000"/>
                <w:sz w:val="20"/>
                <w:szCs w:val="20"/>
                <w:lang w:val="en-AU"/>
              </w:rPr>
            </w:pPr>
            <w:r w:rsidRPr="002D2560">
              <w:rPr>
                <w:sz w:val="20"/>
                <w:szCs w:val="20"/>
                <w:lang w:val="en-AU"/>
              </w:rPr>
              <w:t>Australian Teaching and Training Classification (ATTC) Version 1.0</w:t>
            </w:r>
          </w:p>
        </w:tc>
        <w:tc>
          <w:tcPr>
            <w:tcW w:w="22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8C7ED1C" w14:textId="42DF9F32" w:rsidR="006171CB" w:rsidRPr="002D2560" w:rsidRDefault="006171CB" w:rsidP="00051A7E">
            <w:pPr>
              <w:spacing w:before="60" w:after="60"/>
              <w:jc w:val="center"/>
              <w:rPr>
                <w:rFonts w:cs="Arial"/>
                <w:color w:val="1C1C1C"/>
                <w:sz w:val="20"/>
                <w:szCs w:val="20"/>
                <w:lang w:val="en-AU"/>
              </w:rPr>
            </w:pPr>
            <w:r w:rsidRPr="002D2560">
              <w:rPr>
                <w:sz w:val="20"/>
                <w:szCs w:val="20"/>
                <w:lang w:val="en-AU"/>
              </w:rPr>
              <w:t>1 July 2023</w:t>
            </w:r>
          </w:p>
        </w:tc>
      </w:tr>
      <w:tr w:rsidR="006171CB" w:rsidRPr="002D2560" w14:paraId="129E6420" w14:textId="77777777" w:rsidTr="00B33F98">
        <w:trPr>
          <w:cnfStyle w:val="000000010000" w:firstRow="0" w:lastRow="0" w:firstColumn="0" w:lastColumn="0" w:oddVBand="0" w:evenVBand="0" w:oddHBand="0" w:evenHBand="1" w:firstRowFirstColumn="0" w:firstRowLastColumn="0" w:lastRowFirstColumn="0" w:lastRowLastColumn="0"/>
          <w:trHeight w:val="20"/>
        </w:trPr>
        <w:tc>
          <w:tcPr>
            <w:tcW w:w="2263" w:type="dxa"/>
            <w:tcBorders>
              <w:top w:val="none" w:sz="0" w:space="0" w:color="auto"/>
              <w:bottom w:val="none" w:sz="0" w:space="0" w:color="auto"/>
            </w:tcBorders>
            <w:shd w:val="clear" w:color="auto" w:fill="auto"/>
          </w:tcPr>
          <w:p w14:paraId="446F9585" w14:textId="0BBBBF04" w:rsidR="006171CB" w:rsidRPr="002D2560" w:rsidRDefault="006171CB" w:rsidP="00051A7E">
            <w:pPr>
              <w:spacing w:before="60" w:after="60"/>
              <w:rPr>
                <w:rFonts w:cs="Arial"/>
                <w:color w:val="000000"/>
                <w:sz w:val="20"/>
                <w:szCs w:val="20"/>
                <w:lang w:val="en-AU"/>
              </w:rPr>
            </w:pPr>
            <w:r w:rsidRPr="002D2560">
              <w:rPr>
                <w:sz w:val="20"/>
                <w:szCs w:val="20"/>
                <w:lang w:val="en-AU"/>
              </w:rPr>
              <w:t>Sentinel events</w:t>
            </w:r>
          </w:p>
        </w:tc>
        <w:tc>
          <w:tcPr>
            <w:tcW w:w="5245" w:type="dxa"/>
            <w:tcBorders>
              <w:top w:val="none" w:sz="0" w:space="0" w:color="auto"/>
              <w:bottom w:val="none" w:sz="0" w:space="0" w:color="auto"/>
            </w:tcBorders>
            <w:shd w:val="clear" w:color="auto" w:fill="auto"/>
          </w:tcPr>
          <w:p w14:paraId="07C7E736" w14:textId="7AF4AE3B" w:rsidR="006171CB" w:rsidRPr="002D2560" w:rsidRDefault="006171CB" w:rsidP="00051A7E">
            <w:pPr>
              <w:spacing w:before="60" w:after="60"/>
              <w:rPr>
                <w:rFonts w:cs="Arial"/>
                <w:color w:val="000000"/>
                <w:sz w:val="20"/>
                <w:szCs w:val="20"/>
                <w:lang w:val="en-AU"/>
              </w:rPr>
            </w:pPr>
            <w:r w:rsidRPr="002D2560">
              <w:rPr>
                <w:sz w:val="20"/>
                <w:szCs w:val="20"/>
                <w:lang w:val="en-AU"/>
              </w:rPr>
              <w:t>Australian Sentinel Events List Version 2.0</w:t>
            </w:r>
          </w:p>
        </w:tc>
        <w:tc>
          <w:tcPr>
            <w:tcW w:w="2219" w:type="dxa"/>
            <w:tcBorders>
              <w:top w:val="none" w:sz="0" w:space="0" w:color="auto"/>
              <w:bottom w:val="none" w:sz="0" w:space="0" w:color="auto"/>
            </w:tcBorders>
            <w:shd w:val="clear" w:color="auto" w:fill="auto"/>
            <w:vAlign w:val="center"/>
          </w:tcPr>
          <w:p w14:paraId="1AFDB891" w14:textId="17CCF9DC" w:rsidR="006171CB" w:rsidRPr="002D2560" w:rsidRDefault="006171CB" w:rsidP="00051A7E">
            <w:pPr>
              <w:spacing w:before="60" w:after="60"/>
              <w:jc w:val="center"/>
              <w:rPr>
                <w:rFonts w:cs="Arial"/>
                <w:color w:val="1C1C1C"/>
                <w:sz w:val="20"/>
                <w:szCs w:val="20"/>
                <w:lang w:val="en-AU"/>
              </w:rPr>
            </w:pPr>
            <w:r w:rsidRPr="002D2560">
              <w:rPr>
                <w:sz w:val="20"/>
                <w:szCs w:val="20"/>
                <w:lang w:val="en-AU"/>
              </w:rPr>
              <w:t>1 July 2023</w:t>
            </w:r>
          </w:p>
        </w:tc>
      </w:tr>
    </w:tbl>
    <w:p w14:paraId="3DD0557E" w14:textId="38E46572" w:rsidR="00AE1DFB" w:rsidRPr="002D2560" w:rsidRDefault="00AE1DFB" w:rsidP="003156D4">
      <w:pPr>
        <w:pStyle w:val="Heading2"/>
      </w:pPr>
      <w:r w:rsidRPr="002D2560">
        <w:lastRenderedPageBreak/>
        <w:t>Data specifications</w:t>
      </w:r>
    </w:p>
    <w:p w14:paraId="7C6C9ABC" w14:textId="2D9A1A1B" w:rsidR="00AE1DFB" w:rsidRPr="002D2560" w:rsidRDefault="00AE1DFB" w:rsidP="00107591">
      <w:pPr>
        <w:rPr>
          <w:lang w:val="en-AU"/>
        </w:rPr>
      </w:pPr>
      <w:r w:rsidRPr="002D2560">
        <w:rPr>
          <w:lang w:val="en-AU"/>
        </w:rPr>
        <w:t>The NMDS and NBEDS that IH</w:t>
      </w:r>
      <w:r w:rsidR="007F1B0A" w:rsidRPr="002D2560">
        <w:rPr>
          <w:lang w:val="en-AU"/>
        </w:rPr>
        <w:t>AC</w:t>
      </w:r>
      <w:r w:rsidRPr="002D2560">
        <w:rPr>
          <w:lang w:val="en-AU"/>
        </w:rPr>
        <w:t xml:space="preserve">PA will use from 1 July </w:t>
      </w:r>
      <w:r w:rsidR="006171CB" w:rsidRPr="002D2560">
        <w:rPr>
          <w:lang w:val="en-AU"/>
        </w:rPr>
        <w:t xml:space="preserve">2023 </w:t>
      </w:r>
      <w:r w:rsidRPr="002D2560">
        <w:rPr>
          <w:lang w:val="en-AU"/>
        </w:rPr>
        <w:t>are divided into two sections, one each for activity data and cost data.</w:t>
      </w:r>
    </w:p>
    <w:p w14:paraId="6D7927F0" w14:textId="2D0F7EC1" w:rsidR="00AE1DFB" w:rsidRPr="002D2560" w:rsidRDefault="005F15C4" w:rsidP="003156D4">
      <w:pPr>
        <w:pStyle w:val="Heading3"/>
      </w:pPr>
      <w:r w:rsidRPr="002D2560">
        <w:t>5</w:t>
      </w:r>
      <w:r w:rsidR="00384CF7" w:rsidRPr="002D2560">
        <w:t>.2.1</w:t>
      </w:r>
      <w:r w:rsidR="00384CF7" w:rsidRPr="002D2560">
        <w:tab/>
      </w:r>
      <w:r w:rsidR="00AE1DFB" w:rsidRPr="002D2560">
        <w:t>Activity data</w:t>
      </w:r>
    </w:p>
    <w:p w14:paraId="5BFE15F3" w14:textId="55004583" w:rsidR="00AE1DFB" w:rsidRPr="002D2560" w:rsidRDefault="00AE1DFB" w:rsidP="00107591">
      <w:pPr>
        <w:rPr>
          <w:lang w:val="en-AU"/>
        </w:rPr>
      </w:pPr>
      <w:r w:rsidRPr="002D2560">
        <w:rPr>
          <w:lang w:val="en-AU"/>
        </w:rPr>
        <w:t>IH</w:t>
      </w:r>
      <w:r w:rsidR="007F1B0A" w:rsidRPr="002D2560">
        <w:rPr>
          <w:lang w:val="en-AU"/>
        </w:rPr>
        <w:t>AC</w:t>
      </w:r>
      <w:r w:rsidRPr="002D2560">
        <w:rPr>
          <w:lang w:val="en-AU"/>
        </w:rPr>
        <w:t xml:space="preserve">PA has developed a limited number of data set specifications for use under the ABF framework. Data set specifications that will be used to collect activity data is listed in </w:t>
      </w:r>
      <w:r w:rsidRPr="002D2560">
        <w:rPr>
          <w:b/>
          <w:bCs/>
          <w:lang w:val="en-AU"/>
        </w:rPr>
        <w:t xml:space="preserve">Table </w:t>
      </w:r>
      <w:r w:rsidR="002A50EE" w:rsidRPr="002D2560">
        <w:rPr>
          <w:b/>
          <w:bCs/>
          <w:lang w:val="en-AU"/>
        </w:rPr>
        <w:t>3</w:t>
      </w:r>
      <w:r w:rsidRPr="002D2560">
        <w:rPr>
          <w:lang w:val="en-AU"/>
        </w:rPr>
        <w:t>.</w:t>
      </w:r>
    </w:p>
    <w:p w14:paraId="680862C5" w14:textId="62F728D7" w:rsidR="00AE1DFB" w:rsidRPr="002D2560" w:rsidRDefault="00AE1DFB" w:rsidP="00AE1DFB">
      <w:pPr>
        <w:rPr>
          <w:b/>
          <w:bCs/>
          <w:lang w:val="en-AU"/>
        </w:rPr>
      </w:pPr>
      <w:r w:rsidRPr="002D2560">
        <w:rPr>
          <w:b/>
          <w:bCs/>
          <w:lang w:val="en-AU"/>
        </w:rPr>
        <w:t xml:space="preserve">Table </w:t>
      </w:r>
      <w:r w:rsidR="002A50EE" w:rsidRPr="002D2560">
        <w:rPr>
          <w:b/>
          <w:bCs/>
          <w:lang w:val="en-AU"/>
        </w:rPr>
        <w:t>3</w:t>
      </w:r>
      <w:r w:rsidR="005E330F" w:rsidRPr="002D2560">
        <w:rPr>
          <w:b/>
          <w:bCs/>
          <w:lang w:val="en-AU"/>
        </w:rPr>
        <w:t>.</w:t>
      </w:r>
      <w:r w:rsidRPr="002D2560">
        <w:rPr>
          <w:b/>
          <w:bCs/>
          <w:lang w:val="en-AU"/>
        </w:rPr>
        <w:t xml:space="preserve"> Data set specifications to be used in the ABF framework</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Table 10"/>
        <w:tblDescription w:val="Ongoing seconded employees 2021"/>
      </w:tblPr>
      <w:tblGrid>
        <w:gridCol w:w="2547"/>
        <w:gridCol w:w="5812"/>
        <w:gridCol w:w="1368"/>
      </w:tblGrid>
      <w:tr w:rsidR="00AE1DFB" w:rsidRPr="002D2560" w14:paraId="674E3EF9" w14:textId="77777777" w:rsidTr="00B33F98">
        <w:trPr>
          <w:cnfStyle w:val="100000000000" w:firstRow="1" w:lastRow="0" w:firstColumn="0" w:lastColumn="0" w:oddVBand="0" w:evenVBand="0" w:oddHBand="0" w:evenHBand="0" w:firstRowFirstColumn="0" w:firstRowLastColumn="0" w:lastRowFirstColumn="0" w:lastRowLastColumn="0"/>
          <w:trHeight w:val="20"/>
        </w:trPr>
        <w:tc>
          <w:tcPr>
            <w:tcW w:w="2547" w:type="dxa"/>
            <w:shd w:val="clear" w:color="auto" w:fill="104F99" w:themeFill="accent2"/>
          </w:tcPr>
          <w:p w14:paraId="39EB6FDE" w14:textId="77777777" w:rsidR="00AE1DFB" w:rsidRPr="002D2560" w:rsidRDefault="00AE1DFB" w:rsidP="00051A7E">
            <w:pPr>
              <w:spacing w:before="58" w:after="58"/>
              <w:rPr>
                <w:rFonts w:cs="Arial"/>
                <w:b/>
                <w:bCs/>
                <w:color w:val="FFFFFF" w:themeColor="background2"/>
                <w:sz w:val="20"/>
                <w:szCs w:val="20"/>
                <w:lang w:val="en-AU"/>
              </w:rPr>
            </w:pPr>
            <w:r w:rsidRPr="002D2560">
              <w:rPr>
                <w:b/>
                <w:bCs/>
                <w:color w:val="FFFFFF" w:themeColor="background2"/>
                <w:sz w:val="20"/>
                <w:szCs w:val="20"/>
                <w:lang w:val="en-AU"/>
              </w:rPr>
              <w:t>Service category</w:t>
            </w:r>
          </w:p>
        </w:tc>
        <w:tc>
          <w:tcPr>
            <w:tcW w:w="5812" w:type="dxa"/>
            <w:shd w:val="clear" w:color="auto" w:fill="104F99" w:themeFill="accent2"/>
          </w:tcPr>
          <w:p w14:paraId="182F7443" w14:textId="48D4F9AE" w:rsidR="00AE1DFB" w:rsidRPr="002D2560" w:rsidRDefault="00AE1DFB" w:rsidP="00051A7E">
            <w:pPr>
              <w:spacing w:before="58" w:after="58"/>
              <w:rPr>
                <w:rFonts w:cs="Arial"/>
                <w:b/>
                <w:bCs/>
                <w:color w:val="FFFFFF" w:themeColor="background2"/>
                <w:sz w:val="20"/>
                <w:szCs w:val="20"/>
                <w:lang w:val="en-AU"/>
              </w:rPr>
            </w:pPr>
            <w:r w:rsidRPr="002D2560">
              <w:rPr>
                <w:b/>
                <w:bCs/>
                <w:color w:val="FFFFFF" w:themeColor="background2"/>
                <w:sz w:val="20"/>
                <w:szCs w:val="20"/>
                <w:lang w:val="en-AU"/>
              </w:rPr>
              <w:t>Data set specifications</w:t>
            </w:r>
          </w:p>
        </w:tc>
        <w:tc>
          <w:tcPr>
            <w:tcW w:w="1368" w:type="dxa"/>
            <w:shd w:val="clear" w:color="auto" w:fill="104F99" w:themeFill="accent2"/>
            <w:vAlign w:val="center"/>
          </w:tcPr>
          <w:p w14:paraId="6F8BF54B" w14:textId="5835A422" w:rsidR="00AE1DFB" w:rsidRPr="002D2560" w:rsidRDefault="00AE1DFB" w:rsidP="00051A7E">
            <w:pPr>
              <w:spacing w:before="58" w:after="58"/>
              <w:jc w:val="center"/>
              <w:rPr>
                <w:rFonts w:cs="Arial"/>
                <w:b/>
                <w:bCs/>
                <w:color w:val="FFFFFF" w:themeColor="background2"/>
                <w:sz w:val="20"/>
                <w:szCs w:val="20"/>
                <w:lang w:val="en-AU"/>
              </w:rPr>
            </w:pPr>
            <w:r w:rsidRPr="002D2560">
              <w:rPr>
                <w:b/>
                <w:bCs/>
                <w:color w:val="FFFFFF" w:themeColor="background2"/>
                <w:sz w:val="20"/>
                <w:szCs w:val="20"/>
                <w:lang w:val="en-AU"/>
              </w:rPr>
              <w:t>Start date</w:t>
            </w:r>
          </w:p>
        </w:tc>
      </w:tr>
      <w:tr w:rsidR="00AE1DFB" w:rsidRPr="002D2560" w14:paraId="77341392" w14:textId="77777777" w:rsidTr="00051A7E">
        <w:trPr>
          <w:cnfStyle w:val="000000100000" w:firstRow="0" w:lastRow="0" w:firstColumn="0" w:lastColumn="0" w:oddVBand="0" w:evenVBand="0" w:oddHBand="1" w:evenHBand="0" w:firstRowFirstColumn="0" w:firstRowLastColumn="0" w:lastRowFirstColumn="0" w:lastRowLastColumn="0"/>
          <w:trHeight w:val="20"/>
        </w:trPr>
        <w:tc>
          <w:tcPr>
            <w:tcW w:w="254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3FD2B2B2" w14:textId="61AC77FF" w:rsidR="00AE1DFB" w:rsidRPr="002D2560" w:rsidRDefault="00AE1DFB" w:rsidP="00051A7E">
            <w:pPr>
              <w:spacing w:before="58" w:after="58"/>
              <w:rPr>
                <w:rFonts w:cs="Arial"/>
                <w:color w:val="000000"/>
                <w:sz w:val="20"/>
                <w:szCs w:val="20"/>
                <w:lang w:val="en-AU"/>
              </w:rPr>
            </w:pPr>
            <w:r w:rsidRPr="002D2560">
              <w:rPr>
                <w:rFonts w:cs="Arial"/>
                <w:color w:val="000000"/>
                <w:sz w:val="20"/>
                <w:szCs w:val="20"/>
                <w:lang w:val="en-AU"/>
              </w:rPr>
              <w:t>Admitted acute</w:t>
            </w:r>
          </w:p>
        </w:tc>
        <w:tc>
          <w:tcPr>
            <w:tcW w:w="58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A0CE77" w14:textId="0A873C90" w:rsidR="00AE1DFB" w:rsidRPr="002D2560" w:rsidRDefault="00AE1DFB" w:rsidP="00051A7E">
            <w:pPr>
              <w:spacing w:before="58" w:after="58"/>
              <w:rPr>
                <w:rFonts w:cs="Arial"/>
                <w:color w:val="000000"/>
                <w:sz w:val="20"/>
                <w:szCs w:val="20"/>
                <w:lang w:val="en-AU"/>
              </w:rPr>
            </w:pPr>
            <w:r w:rsidRPr="002D2560">
              <w:rPr>
                <w:rFonts w:cs="Arial"/>
                <w:color w:val="000000"/>
                <w:sz w:val="20"/>
                <w:szCs w:val="20"/>
                <w:lang w:val="en-AU"/>
              </w:rPr>
              <w:t xml:space="preserve">Admitted </w:t>
            </w:r>
            <w:r w:rsidR="006171CB" w:rsidRPr="002D2560">
              <w:rPr>
                <w:rFonts w:cs="Arial"/>
                <w:color w:val="000000"/>
                <w:sz w:val="20"/>
                <w:szCs w:val="20"/>
                <w:lang w:val="en-AU"/>
              </w:rPr>
              <w:t>p</w:t>
            </w:r>
            <w:r w:rsidRPr="002D2560">
              <w:rPr>
                <w:rFonts w:cs="Arial"/>
                <w:color w:val="000000"/>
                <w:sz w:val="20"/>
                <w:szCs w:val="20"/>
                <w:lang w:val="en-AU"/>
              </w:rPr>
              <w:t xml:space="preserve">atient </w:t>
            </w:r>
            <w:r w:rsidR="006171CB" w:rsidRPr="002D2560">
              <w:rPr>
                <w:rFonts w:cs="Arial"/>
                <w:color w:val="000000"/>
                <w:sz w:val="20"/>
                <w:szCs w:val="20"/>
                <w:lang w:val="en-AU"/>
              </w:rPr>
              <w:t>c</w:t>
            </w:r>
            <w:r w:rsidRPr="002D2560">
              <w:rPr>
                <w:rFonts w:cs="Arial"/>
                <w:color w:val="000000"/>
                <w:sz w:val="20"/>
                <w:szCs w:val="20"/>
                <w:lang w:val="en-AU"/>
              </w:rPr>
              <w:t>are NMDS (APC NMDS)</w:t>
            </w:r>
            <w:r w:rsidR="006171CB" w:rsidRPr="002D2560">
              <w:rPr>
                <w:rFonts w:cs="Arial"/>
                <w:color w:val="000000"/>
                <w:sz w:val="20"/>
                <w:szCs w:val="20"/>
                <w:lang w:val="en-AU"/>
              </w:rPr>
              <w:t xml:space="preserve"> 2023–24</w:t>
            </w:r>
          </w:p>
          <w:p w14:paraId="111E2125" w14:textId="1462053C" w:rsidR="00AE1DFB" w:rsidRPr="002D2560" w:rsidRDefault="00AE1DFB" w:rsidP="00051A7E">
            <w:pPr>
              <w:spacing w:before="58" w:after="58"/>
              <w:rPr>
                <w:rFonts w:cs="Arial"/>
                <w:color w:val="000000"/>
                <w:sz w:val="20"/>
                <w:szCs w:val="20"/>
                <w:lang w:val="en-AU"/>
              </w:rPr>
            </w:pPr>
            <w:r w:rsidRPr="002D2560">
              <w:rPr>
                <w:rFonts w:cs="Arial"/>
                <w:color w:val="000000"/>
                <w:sz w:val="20"/>
                <w:szCs w:val="20"/>
                <w:lang w:val="en-AU"/>
              </w:rPr>
              <w:t xml:space="preserve">Admitted </w:t>
            </w:r>
            <w:r w:rsidR="006171CB" w:rsidRPr="002D2560">
              <w:rPr>
                <w:rFonts w:cs="Arial"/>
                <w:color w:val="000000"/>
                <w:sz w:val="20"/>
                <w:szCs w:val="20"/>
                <w:lang w:val="en-AU"/>
              </w:rPr>
              <w:t>p</w:t>
            </w:r>
            <w:r w:rsidRPr="002D2560">
              <w:rPr>
                <w:rFonts w:cs="Arial"/>
                <w:color w:val="000000"/>
                <w:sz w:val="20"/>
                <w:szCs w:val="20"/>
                <w:lang w:val="en-AU"/>
              </w:rPr>
              <w:t xml:space="preserve">atient </w:t>
            </w:r>
            <w:r w:rsidR="006171CB" w:rsidRPr="002D2560">
              <w:rPr>
                <w:rFonts w:cs="Arial"/>
                <w:color w:val="000000"/>
                <w:sz w:val="20"/>
                <w:szCs w:val="20"/>
                <w:lang w:val="en-AU"/>
              </w:rPr>
              <w:t>c</w:t>
            </w:r>
            <w:r w:rsidRPr="002D2560">
              <w:rPr>
                <w:rFonts w:cs="Arial"/>
                <w:color w:val="000000"/>
                <w:sz w:val="20"/>
                <w:szCs w:val="20"/>
                <w:lang w:val="en-AU"/>
              </w:rPr>
              <w:t>are NBEDS (APC NBEDS)</w:t>
            </w:r>
            <w:r w:rsidR="006171CB" w:rsidRPr="002D2560">
              <w:rPr>
                <w:rFonts w:cs="Arial"/>
                <w:color w:val="000000"/>
                <w:sz w:val="20"/>
                <w:szCs w:val="20"/>
                <w:lang w:val="en-AU"/>
              </w:rPr>
              <w:t xml:space="preserve"> 2023–24</w:t>
            </w:r>
          </w:p>
        </w:tc>
        <w:tc>
          <w:tcPr>
            <w:tcW w:w="13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BEA510C" w14:textId="0F6F9DD9" w:rsidR="00AE1DFB" w:rsidRPr="002D2560" w:rsidRDefault="00AE1DFB" w:rsidP="00051A7E">
            <w:pPr>
              <w:spacing w:before="58" w:after="58"/>
              <w:jc w:val="center"/>
              <w:rPr>
                <w:rFonts w:cs="Arial"/>
                <w:color w:val="1C1C1C"/>
                <w:sz w:val="20"/>
                <w:szCs w:val="20"/>
                <w:lang w:val="en-AU"/>
              </w:rPr>
            </w:pPr>
            <w:r w:rsidRPr="002D2560">
              <w:rPr>
                <w:sz w:val="20"/>
                <w:szCs w:val="20"/>
                <w:lang w:val="en-AU"/>
              </w:rPr>
              <w:t>1 July 202</w:t>
            </w:r>
            <w:r w:rsidR="006171CB" w:rsidRPr="002D2560">
              <w:rPr>
                <w:sz w:val="20"/>
                <w:szCs w:val="20"/>
                <w:lang w:val="en-AU"/>
              </w:rPr>
              <w:t>3</w:t>
            </w:r>
          </w:p>
        </w:tc>
      </w:tr>
      <w:tr w:rsidR="006171CB" w:rsidRPr="002D2560" w14:paraId="213256C7" w14:textId="77777777" w:rsidTr="00051A7E">
        <w:trPr>
          <w:cnfStyle w:val="000000010000" w:firstRow="0" w:lastRow="0" w:firstColumn="0" w:lastColumn="0" w:oddVBand="0" w:evenVBand="0" w:oddHBand="0" w:evenHBand="1" w:firstRowFirstColumn="0" w:firstRowLastColumn="0" w:lastRowFirstColumn="0" w:lastRowLastColumn="0"/>
          <w:trHeight w:val="20"/>
        </w:trPr>
        <w:tc>
          <w:tcPr>
            <w:tcW w:w="2547" w:type="dxa"/>
            <w:shd w:val="clear" w:color="auto" w:fill="auto"/>
            <w:vAlign w:val="center"/>
          </w:tcPr>
          <w:p w14:paraId="7580F84C" w14:textId="5D972589" w:rsidR="006171CB" w:rsidRPr="002D2560" w:rsidRDefault="006171CB" w:rsidP="00051A7E">
            <w:pPr>
              <w:spacing w:before="58" w:after="58"/>
              <w:rPr>
                <w:rFonts w:cs="Arial"/>
                <w:color w:val="000000"/>
                <w:sz w:val="20"/>
                <w:szCs w:val="20"/>
                <w:lang w:val="en-AU"/>
              </w:rPr>
            </w:pPr>
            <w:r w:rsidRPr="002D2560">
              <w:rPr>
                <w:sz w:val="20"/>
                <w:szCs w:val="20"/>
                <w:lang w:val="en-AU"/>
              </w:rPr>
              <w:t>Admitted subacute and non-acute</w:t>
            </w:r>
          </w:p>
        </w:tc>
        <w:tc>
          <w:tcPr>
            <w:tcW w:w="5812" w:type="dxa"/>
            <w:shd w:val="clear" w:color="auto" w:fill="auto"/>
          </w:tcPr>
          <w:p w14:paraId="6FC2754A" w14:textId="48075982" w:rsidR="006171CB" w:rsidRPr="002D2560" w:rsidRDefault="006171CB" w:rsidP="00051A7E">
            <w:pPr>
              <w:spacing w:before="58" w:after="58"/>
              <w:rPr>
                <w:rFonts w:cs="Arial"/>
                <w:color w:val="000000"/>
                <w:sz w:val="20"/>
                <w:szCs w:val="20"/>
                <w:lang w:val="en-AU"/>
              </w:rPr>
            </w:pPr>
            <w:r w:rsidRPr="002D2560">
              <w:rPr>
                <w:sz w:val="20"/>
                <w:szCs w:val="20"/>
                <w:lang w:val="en-AU"/>
              </w:rPr>
              <w:t xml:space="preserve">Admitted subacute and non-acute hospital care NBEDS (ASNHC NBEDS) </w:t>
            </w:r>
            <w:r w:rsidRPr="002D2560">
              <w:rPr>
                <w:rFonts w:cs="Arial"/>
                <w:color w:val="000000"/>
                <w:sz w:val="20"/>
                <w:szCs w:val="20"/>
                <w:lang w:val="en-AU"/>
              </w:rPr>
              <w:t>2023–24</w:t>
            </w:r>
          </w:p>
        </w:tc>
        <w:tc>
          <w:tcPr>
            <w:tcW w:w="1368" w:type="dxa"/>
            <w:shd w:val="clear" w:color="auto" w:fill="auto"/>
            <w:vAlign w:val="center"/>
          </w:tcPr>
          <w:p w14:paraId="121A977D" w14:textId="5D01BB99" w:rsidR="006171CB" w:rsidRPr="002D2560" w:rsidRDefault="006171CB" w:rsidP="00051A7E">
            <w:pPr>
              <w:spacing w:before="58" w:after="58"/>
              <w:jc w:val="center"/>
              <w:rPr>
                <w:sz w:val="20"/>
                <w:szCs w:val="20"/>
                <w:lang w:val="en-AU"/>
              </w:rPr>
            </w:pPr>
            <w:r w:rsidRPr="002D2560">
              <w:rPr>
                <w:sz w:val="20"/>
                <w:szCs w:val="20"/>
                <w:lang w:val="en-AU"/>
              </w:rPr>
              <w:t>1 July 2023</w:t>
            </w:r>
          </w:p>
        </w:tc>
      </w:tr>
      <w:tr w:rsidR="006171CB" w:rsidRPr="002D2560" w14:paraId="249E1CA5" w14:textId="77777777" w:rsidTr="00051A7E">
        <w:trPr>
          <w:cnfStyle w:val="000000100000" w:firstRow="0" w:lastRow="0" w:firstColumn="0" w:lastColumn="0" w:oddVBand="0" w:evenVBand="0" w:oddHBand="1" w:evenHBand="0" w:firstRowFirstColumn="0" w:firstRowLastColumn="0" w:lastRowFirstColumn="0" w:lastRowLastColumn="0"/>
          <w:trHeight w:val="20"/>
        </w:trPr>
        <w:tc>
          <w:tcPr>
            <w:tcW w:w="254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3A0CDF4" w14:textId="2686C196" w:rsidR="006171CB" w:rsidRPr="002D2560" w:rsidRDefault="006171CB" w:rsidP="00051A7E">
            <w:pPr>
              <w:spacing w:before="58" w:after="58"/>
              <w:rPr>
                <w:rFonts w:cs="Arial"/>
                <w:color w:val="000000"/>
                <w:sz w:val="20"/>
                <w:szCs w:val="20"/>
                <w:lang w:val="en-AU"/>
              </w:rPr>
            </w:pPr>
            <w:r w:rsidRPr="002D2560">
              <w:rPr>
                <w:rFonts w:cs="Arial"/>
                <w:color w:val="000000"/>
                <w:sz w:val="20"/>
                <w:szCs w:val="20"/>
                <w:lang w:val="en-AU"/>
              </w:rPr>
              <w:t>Emergency</w:t>
            </w:r>
            <w:r w:rsidRPr="002D2560">
              <w:rPr>
                <w:rFonts w:cs="Arial"/>
                <w:color w:val="000000"/>
                <w:sz w:val="20"/>
                <w:szCs w:val="20"/>
                <w:lang w:val="en-AU"/>
              </w:rPr>
              <w:br/>
              <w:t xml:space="preserve">(Levels 3B </w:t>
            </w:r>
            <w:r w:rsidR="00EE517D" w:rsidRPr="002D2560">
              <w:rPr>
                <w:rFonts w:cs="Arial"/>
                <w:color w:val="000000"/>
                <w:sz w:val="20"/>
                <w:szCs w:val="20"/>
                <w:lang w:val="en-AU"/>
              </w:rPr>
              <w:t>and</w:t>
            </w:r>
            <w:r w:rsidRPr="002D2560">
              <w:rPr>
                <w:rFonts w:cs="Arial"/>
                <w:color w:val="000000"/>
                <w:sz w:val="20"/>
                <w:szCs w:val="20"/>
                <w:lang w:val="en-AU"/>
              </w:rPr>
              <w:t xml:space="preserve"> above)</w:t>
            </w:r>
          </w:p>
        </w:tc>
        <w:tc>
          <w:tcPr>
            <w:tcW w:w="58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B09F05E" w14:textId="4AA8D9B2" w:rsidR="006171CB" w:rsidRPr="002D2560" w:rsidRDefault="006171CB" w:rsidP="00051A7E">
            <w:pPr>
              <w:spacing w:before="58" w:after="58"/>
              <w:rPr>
                <w:rFonts w:cs="Arial"/>
                <w:color w:val="000000"/>
                <w:sz w:val="20"/>
                <w:szCs w:val="20"/>
                <w:lang w:val="en-AU"/>
              </w:rPr>
            </w:pPr>
            <w:r w:rsidRPr="002D2560">
              <w:rPr>
                <w:rFonts w:cs="Arial"/>
                <w:color w:val="000000"/>
                <w:sz w:val="20"/>
                <w:szCs w:val="20"/>
                <w:lang w:val="en-AU"/>
              </w:rPr>
              <w:t>Non-admitted patient emergency department care NMDS (NAPEDC NMDS) 2023–24</w:t>
            </w:r>
          </w:p>
        </w:tc>
        <w:tc>
          <w:tcPr>
            <w:tcW w:w="13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3757211D" w14:textId="4AB46E03" w:rsidR="006171CB" w:rsidRPr="002D2560" w:rsidRDefault="006171CB" w:rsidP="00051A7E">
            <w:pPr>
              <w:spacing w:before="58" w:after="58"/>
              <w:jc w:val="center"/>
              <w:rPr>
                <w:rFonts w:cs="Arial"/>
                <w:color w:val="1C1C1C"/>
                <w:sz w:val="20"/>
                <w:szCs w:val="20"/>
                <w:lang w:val="en-AU"/>
              </w:rPr>
            </w:pPr>
            <w:r w:rsidRPr="002D2560">
              <w:rPr>
                <w:sz w:val="20"/>
                <w:szCs w:val="20"/>
                <w:lang w:val="en-AU"/>
              </w:rPr>
              <w:t>1 July 2023</w:t>
            </w:r>
          </w:p>
        </w:tc>
      </w:tr>
      <w:tr w:rsidR="006171CB" w:rsidRPr="002D2560" w14:paraId="4996FF99" w14:textId="77777777" w:rsidTr="00051A7E">
        <w:trPr>
          <w:cnfStyle w:val="000000010000" w:firstRow="0" w:lastRow="0" w:firstColumn="0" w:lastColumn="0" w:oddVBand="0" w:evenVBand="0" w:oddHBand="0" w:evenHBand="1" w:firstRowFirstColumn="0" w:firstRowLastColumn="0" w:lastRowFirstColumn="0" w:lastRowLastColumn="0"/>
          <w:trHeight w:val="20"/>
        </w:trPr>
        <w:tc>
          <w:tcPr>
            <w:tcW w:w="2547" w:type="dxa"/>
            <w:tcBorders>
              <w:top w:val="none" w:sz="0" w:space="0" w:color="auto"/>
              <w:bottom w:val="none" w:sz="0" w:space="0" w:color="auto"/>
            </w:tcBorders>
            <w:shd w:val="clear" w:color="auto" w:fill="auto"/>
            <w:vAlign w:val="center"/>
          </w:tcPr>
          <w:p w14:paraId="59EB69E4" w14:textId="06ED4C99" w:rsidR="006171CB" w:rsidRPr="002D2560" w:rsidRDefault="006171CB" w:rsidP="00051A7E">
            <w:pPr>
              <w:spacing w:before="58" w:after="58"/>
              <w:rPr>
                <w:rFonts w:cs="Arial"/>
                <w:color w:val="000000"/>
                <w:sz w:val="20"/>
                <w:szCs w:val="20"/>
                <w:lang w:val="en-AU"/>
              </w:rPr>
            </w:pPr>
            <w:r w:rsidRPr="002D2560">
              <w:rPr>
                <w:rFonts w:cs="Arial"/>
                <w:color w:val="000000"/>
                <w:sz w:val="20"/>
                <w:szCs w:val="20"/>
                <w:lang w:val="en-AU"/>
              </w:rPr>
              <w:t>Emergency</w:t>
            </w:r>
            <w:r w:rsidRPr="002D2560">
              <w:rPr>
                <w:rFonts w:cs="Arial"/>
                <w:color w:val="000000"/>
                <w:sz w:val="20"/>
                <w:szCs w:val="20"/>
                <w:lang w:val="en-AU"/>
              </w:rPr>
              <w:br/>
              <w:t xml:space="preserve">(Levels 3A </w:t>
            </w:r>
            <w:r w:rsidR="00EE517D" w:rsidRPr="002D2560">
              <w:rPr>
                <w:rFonts w:cs="Arial"/>
                <w:color w:val="000000"/>
                <w:sz w:val="20"/>
                <w:szCs w:val="20"/>
                <w:lang w:val="en-AU"/>
              </w:rPr>
              <w:t>and</w:t>
            </w:r>
            <w:r w:rsidRPr="002D2560">
              <w:rPr>
                <w:rFonts w:cs="Arial"/>
                <w:color w:val="000000"/>
                <w:sz w:val="20"/>
                <w:szCs w:val="20"/>
                <w:lang w:val="en-AU"/>
              </w:rPr>
              <w:t xml:space="preserve"> below)</w:t>
            </w:r>
          </w:p>
        </w:tc>
        <w:tc>
          <w:tcPr>
            <w:tcW w:w="5812" w:type="dxa"/>
            <w:tcBorders>
              <w:top w:val="none" w:sz="0" w:space="0" w:color="auto"/>
              <w:bottom w:val="none" w:sz="0" w:space="0" w:color="auto"/>
            </w:tcBorders>
            <w:shd w:val="clear" w:color="auto" w:fill="auto"/>
          </w:tcPr>
          <w:p w14:paraId="374A386E" w14:textId="39C23B9B" w:rsidR="006171CB" w:rsidRPr="002D2560" w:rsidRDefault="006171CB" w:rsidP="00051A7E">
            <w:pPr>
              <w:spacing w:before="58" w:after="58"/>
              <w:rPr>
                <w:rFonts w:cs="Arial"/>
                <w:color w:val="000000"/>
                <w:sz w:val="20"/>
                <w:szCs w:val="20"/>
                <w:lang w:val="en-AU"/>
              </w:rPr>
            </w:pPr>
            <w:r w:rsidRPr="002D2560">
              <w:rPr>
                <w:rFonts w:cs="Arial"/>
                <w:color w:val="000000"/>
                <w:sz w:val="20"/>
                <w:szCs w:val="20"/>
                <w:lang w:val="en-AU"/>
              </w:rPr>
              <w:t>Emergency service care NBEDS (ESC NBEDS) 2023–24</w:t>
            </w:r>
            <w:r w:rsidR="00641DBF" w:rsidRPr="002D2560">
              <w:rPr>
                <w:rFonts w:cs="Arial"/>
                <w:color w:val="000000"/>
                <w:sz w:val="20"/>
                <w:szCs w:val="20"/>
                <w:lang w:val="en-AU"/>
              </w:rPr>
              <w:br/>
            </w:r>
            <w:r w:rsidRPr="002D2560">
              <w:rPr>
                <w:rFonts w:cs="Arial"/>
                <w:color w:val="000000"/>
                <w:sz w:val="20"/>
                <w:szCs w:val="20"/>
                <w:lang w:val="en-AU"/>
              </w:rPr>
              <w:t>Emergency service care aggregate NBEDS (ESCA NBEDS)</w:t>
            </w:r>
            <w:r w:rsidR="00641DBF" w:rsidRPr="002D2560">
              <w:rPr>
                <w:rFonts w:cs="Arial"/>
                <w:color w:val="000000"/>
                <w:sz w:val="20"/>
                <w:szCs w:val="20"/>
                <w:lang w:val="en-AU"/>
              </w:rPr>
              <w:t xml:space="preserve"> </w:t>
            </w:r>
            <w:r w:rsidRPr="002D2560">
              <w:rPr>
                <w:rFonts w:cs="Arial"/>
                <w:color w:val="000000"/>
                <w:sz w:val="20"/>
                <w:szCs w:val="20"/>
                <w:lang w:val="en-AU"/>
              </w:rPr>
              <w:t>2023–24</w:t>
            </w:r>
          </w:p>
        </w:tc>
        <w:tc>
          <w:tcPr>
            <w:tcW w:w="1368" w:type="dxa"/>
            <w:tcBorders>
              <w:top w:val="none" w:sz="0" w:space="0" w:color="auto"/>
              <w:bottom w:val="none" w:sz="0" w:space="0" w:color="auto"/>
            </w:tcBorders>
            <w:shd w:val="clear" w:color="auto" w:fill="auto"/>
            <w:vAlign w:val="center"/>
          </w:tcPr>
          <w:p w14:paraId="35639D51" w14:textId="6B756A45" w:rsidR="006171CB" w:rsidRPr="002D2560" w:rsidRDefault="006171CB" w:rsidP="00051A7E">
            <w:pPr>
              <w:spacing w:before="58" w:after="58"/>
              <w:jc w:val="center"/>
              <w:rPr>
                <w:sz w:val="20"/>
                <w:szCs w:val="20"/>
                <w:lang w:val="en-AU"/>
              </w:rPr>
            </w:pPr>
            <w:r w:rsidRPr="002D2560">
              <w:rPr>
                <w:sz w:val="20"/>
                <w:szCs w:val="20"/>
                <w:lang w:val="en-AU"/>
              </w:rPr>
              <w:t>1 July 2023</w:t>
            </w:r>
          </w:p>
        </w:tc>
      </w:tr>
      <w:tr w:rsidR="006171CB" w:rsidRPr="002D2560" w14:paraId="5CA86915" w14:textId="77777777" w:rsidTr="00051A7E">
        <w:trPr>
          <w:cnfStyle w:val="000000100000" w:firstRow="0" w:lastRow="0" w:firstColumn="0" w:lastColumn="0" w:oddVBand="0" w:evenVBand="0" w:oddHBand="1" w:evenHBand="0" w:firstRowFirstColumn="0" w:firstRowLastColumn="0" w:lastRowFirstColumn="0" w:lastRowLastColumn="0"/>
          <w:trHeight w:val="20"/>
        </w:trPr>
        <w:tc>
          <w:tcPr>
            <w:tcW w:w="254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503C171" w14:textId="1D3098DB" w:rsidR="006171CB" w:rsidRPr="002D2560" w:rsidRDefault="006171CB" w:rsidP="00051A7E">
            <w:pPr>
              <w:spacing w:before="58" w:after="58"/>
              <w:rPr>
                <w:rFonts w:cs="Arial"/>
                <w:color w:val="000000"/>
                <w:sz w:val="20"/>
                <w:szCs w:val="20"/>
                <w:lang w:val="en-AU"/>
              </w:rPr>
            </w:pPr>
            <w:r w:rsidRPr="002D2560">
              <w:rPr>
                <w:sz w:val="20"/>
                <w:szCs w:val="20"/>
                <w:lang w:val="en-AU"/>
              </w:rPr>
              <w:t>Non-admitted services</w:t>
            </w:r>
          </w:p>
        </w:tc>
        <w:tc>
          <w:tcPr>
            <w:tcW w:w="58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20D6AE" w14:textId="574E37C4" w:rsidR="006171CB" w:rsidRPr="002D2560" w:rsidRDefault="006171CB" w:rsidP="00051A7E">
            <w:pPr>
              <w:spacing w:before="58" w:after="58"/>
              <w:rPr>
                <w:rFonts w:cs="Arial"/>
                <w:color w:val="000000"/>
                <w:sz w:val="20"/>
                <w:szCs w:val="20"/>
                <w:lang w:val="en-AU"/>
              </w:rPr>
            </w:pPr>
            <w:r w:rsidRPr="002D2560">
              <w:rPr>
                <w:sz w:val="20"/>
                <w:szCs w:val="20"/>
                <w:lang w:val="en-AU"/>
              </w:rPr>
              <w:t xml:space="preserve">Non-admitted patient NBEDS (NAP NBEDS) </w:t>
            </w:r>
            <w:r w:rsidRPr="002D2560">
              <w:rPr>
                <w:rFonts w:cs="Arial"/>
                <w:color w:val="000000"/>
                <w:sz w:val="20"/>
                <w:szCs w:val="20"/>
                <w:lang w:val="en-AU"/>
              </w:rPr>
              <w:t>2023–24</w:t>
            </w:r>
          </w:p>
        </w:tc>
        <w:tc>
          <w:tcPr>
            <w:tcW w:w="13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2D8A7C1" w14:textId="6EBE2FFE" w:rsidR="006171CB" w:rsidRPr="002D2560" w:rsidRDefault="006171CB" w:rsidP="00051A7E">
            <w:pPr>
              <w:spacing w:before="58" w:after="58"/>
              <w:jc w:val="center"/>
              <w:rPr>
                <w:sz w:val="20"/>
                <w:szCs w:val="20"/>
                <w:lang w:val="en-AU"/>
              </w:rPr>
            </w:pPr>
            <w:r w:rsidRPr="002D2560">
              <w:rPr>
                <w:sz w:val="20"/>
                <w:szCs w:val="20"/>
                <w:lang w:val="en-AU"/>
              </w:rPr>
              <w:t>1 July 2023</w:t>
            </w:r>
          </w:p>
        </w:tc>
      </w:tr>
      <w:tr w:rsidR="006171CB" w:rsidRPr="002D2560" w14:paraId="79874D16" w14:textId="77777777" w:rsidTr="00051A7E">
        <w:trPr>
          <w:cnfStyle w:val="000000010000" w:firstRow="0" w:lastRow="0" w:firstColumn="0" w:lastColumn="0" w:oddVBand="0" w:evenVBand="0" w:oddHBand="0" w:evenHBand="1" w:firstRowFirstColumn="0" w:firstRowLastColumn="0" w:lastRowFirstColumn="0" w:lastRowLastColumn="0"/>
          <w:trHeight w:val="20"/>
        </w:trPr>
        <w:tc>
          <w:tcPr>
            <w:tcW w:w="2547" w:type="dxa"/>
            <w:tcBorders>
              <w:top w:val="none" w:sz="0" w:space="0" w:color="auto"/>
              <w:bottom w:val="none" w:sz="0" w:space="0" w:color="auto"/>
            </w:tcBorders>
            <w:shd w:val="clear" w:color="auto" w:fill="auto"/>
            <w:vAlign w:val="center"/>
          </w:tcPr>
          <w:p w14:paraId="23FAA68D" w14:textId="25F89AB6" w:rsidR="006171CB" w:rsidRPr="002D2560" w:rsidRDefault="006171CB" w:rsidP="00051A7E">
            <w:pPr>
              <w:spacing w:before="58" w:after="58"/>
              <w:rPr>
                <w:rFonts w:cs="Arial"/>
                <w:color w:val="000000"/>
                <w:sz w:val="20"/>
                <w:szCs w:val="20"/>
                <w:lang w:val="en-AU"/>
              </w:rPr>
            </w:pPr>
            <w:r w:rsidRPr="002D2560">
              <w:rPr>
                <w:sz w:val="20"/>
                <w:szCs w:val="20"/>
                <w:lang w:val="en-AU"/>
              </w:rPr>
              <w:t>Mental health</w:t>
            </w:r>
          </w:p>
        </w:tc>
        <w:tc>
          <w:tcPr>
            <w:tcW w:w="5812" w:type="dxa"/>
            <w:tcBorders>
              <w:top w:val="none" w:sz="0" w:space="0" w:color="auto"/>
              <w:bottom w:val="none" w:sz="0" w:space="0" w:color="auto"/>
            </w:tcBorders>
            <w:shd w:val="clear" w:color="auto" w:fill="auto"/>
          </w:tcPr>
          <w:p w14:paraId="61D43F05" w14:textId="4F84ECDD" w:rsidR="006171CB" w:rsidRPr="002D2560" w:rsidRDefault="006171CB" w:rsidP="00051A7E">
            <w:pPr>
              <w:spacing w:before="58" w:after="58"/>
              <w:rPr>
                <w:rFonts w:cs="Arial"/>
                <w:color w:val="000000"/>
                <w:sz w:val="20"/>
                <w:szCs w:val="20"/>
                <w:lang w:val="en-AU"/>
              </w:rPr>
            </w:pPr>
            <w:r w:rsidRPr="002D2560">
              <w:rPr>
                <w:sz w:val="20"/>
                <w:szCs w:val="20"/>
                <w:lang w:val="en-AU"/>
              </w:rPr>
              <w:t>Activity based funding: Mental health care NBEDS (ABF MH</w:t>
            </w:r>
            <w:r w:rsidRPr="002D2560">
              <w:rPr>
                <w:rFonts w:cs="Arial"/>
                <w:sz w:val="20"/>
                <w:szCs w:val="20"/>
                <w:lang w:val="en-AU"/>
              </w:rPr>
              <w:t xml:space="preserve">C </w:t>
            </w:r>
            <w:r w:rsidRPr="002D2560">
              <w:rPr>
                <w:sz w:val="20"/>
                <w:szCs w:val="20"/>
                <w:lang w:val="en-AU"/>
              </w:rPr>
              <w:t xml:space="preserve">NBEDS) </w:t>
            </w:r>
            <w:r w:rsidRPr="002D2560">
              <w:rPr>
                <w:rFonts w:cs="Arial"/>
                <w:color w:val="000000"/>
                <w:sz w:val="20"/>
                <w:szCs w:val="20"/>
                <w:lang w:val="en-AU"/>
              </w:rPr>
              <w:t>2023–24</w:t>
            </w:r>
          </w:p>
        </w:tc>
        <w:tc>
          <w:tcPr>
            <w:tcW w:w="1368" w:type="dxa"/>
            <w:tcBorders>
              <w:top w:val="none" w:sz="0" w:space="0" w:color="auto"/>
              <w:bottom w:val="none" w:sz="0" w:space="0" w:color="auto"/>
            </w:tcBorders>
            <w:shd w:val="clear" w:color="auto" w:fill="auto"/>
            <w:vAlign w:val="center"/>
          </w:tcPr>
          <w:p w14:paraId="26828DD1" w14:textId="397FCAE7" w:rsidR="006171CB" w:rsidRPr="002D2560" w:rsidRDefault="006171CB" w:rsidP="00051A7E">
            <w:pPr>
              <w:spacing w:before="58" w:after="58"/>
              <w:jc w:val="center"/>
              <w:rPr>
                <w:sz w:val="20"/>
                <w:szCs w:val="20"/>
                <w:lang w:val="en-AU"/>
              </w:rPr>
            </w:pPr>
            <w:r w:rsidRPr="002D2560">
              <w:rPr>
                <w:sz w:val="20"/>
                <w:szCs w:val="20"/>
                <w:lang w:val="en-AU"/>
              </w:rPr>
              <w:t>1 July 2023</w:t>
            </w:r>
          </w:p>
        </w:tc>
      </w:tr>
      <w:tr w:rsidR="006171CB" w:rsidRPr="002D2560" w14:paraId="4D7649D3" w14:textId="77777777" w:rsidTr="00051A7E">
        <w:trPr>
          <w:cnfStyle w:val="000000100000" w:firstRow="0" w:lastRow="0" w:firstColumn="0" w:lastColumn="0" w:oddVBand="0" w:evenVBand="0" w:oddHBand="1" w:evenHBand="0" w:firstRowFirstColumn="0" w:firstRowLastColumn="0" w:lastRowFirstColumn="0" w:lastRowLastColumn="0"/>
          <w:trHeight w:val="20"/>
        </w:trPr>
        <w:tc>
          <w:tcPr>
            <w:tcW w:w="254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0BDA7E0" w14:textId="7D27413C" w:rsidR="006171CB" w:rsidRPr="002D2560" w:rsidRDefault="006171CB" w:rsidP="00051A7E">
            <w:pPr>
              <w:spacing w:before="58" w:after="58"/>
              <w:rPr>
                <w:sz w:val="20"/>
                <w:szCs w:val="20"/>
                <w:lang w:val="en-AU"/>
              </w:rPr>
            </w:pPr>
            <w:r w:rsidRPr="002D2560">
              <w:rPr>
                <w:sz w:val="20"/>
                <w:szCs w:val="20"/>
                <w:lang w:val="en-AU"/>
              </w:rPr>
              <w:t>Teaching, training and research</w:t>
            </w:r>
          </w:p>
        </w:tc>
        <w:tc>
          <w:tcPr>
            <w:tcW w:w="58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6DE3695" w14:textId="7697D9FB" w:rsidR="006171CB" w:rsidRPr="002D2560" w:rsidRDefault="006171CB" w:rsidP="00051A7E">
            <w:pPr>
              <w:spacing w:before="58" w:after="58"/>
              <w:rPr>
                <w:sz w:val="20"/>
                <w:szCs w:val="20"/>
                <w:lang w:val="en-AU"/>
              </w:rPr>
            </w:pPr>
            <w:r w:rsidRPr="002D2560">
              <w:rPr>
                <w:sz w:val="20"/>
                <w:szCs w:val="20"/>
                <w:lang w:val="en-AU"/>
              </w:rPr>
              <w:t xml:space="preserve">Hospital teaching, training and research activities NBEDS (HTTRA NBEDS) </w:t>
            </w:r>
            <w:r w:rsidRPr="002D2560">
              <w:rPr>
                <w:rFonts w:cs="Arial"/>
                <w:color w:val="000000"/>
                <w:sz w:val="20"/>
                <w:szCs w:val="20"/>
                <w:lang w:val="en-AU"/>
              </w:rPr>
              <w:t>2023–24</w:t>
            </w:r>
          </w:p>
        </w:tc>
        <w:tc>
          <w:tcPr>
            <w:tcW w:w="13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75E0D5C8" w14:textId="3A9258C3" w:rsidR="006171CB" w:rsidRPr="002D2560" w:rsidRDefault="006171CB" w:rsidP="00051A7E">
            <w:pPr>
              <w:spacing w:before="58" w:after="58"/>
              <w:jc w:val="center"/>
              <w:rPr>
                <w:sz w:val="20"/>
                <w:szCs w:val="20"/>
                <w:lang w:val="en-AU"/>
              </w:rPr>
            </w:pPr>
            <w:r w:rsidRPr="002D2560">
              <w:rPr>
                <w:sz w:val="20"/>
                <w:szCs w:val="20"/>
                <w:lang w:val="en-AU"/>
              </w:rPr>
              <w:t>1 July 2023</w:t>
            </w:r>
          </w:p>
        </w:tc>
      </w:tr>
      <w:tr w:rsidR="006171CB" w:rsidRPr="002D2560" w14:paraId="3E73768C" w14:textId="77777777" w:rsidTr="00051A7E">
        <w:trPr>
          <w:cnfStyle w:val="000000010000" w:firstRow="0" w:lastRow="0" w:firstColumn="0" w:lastColumn="0" w:oddVBand="0" w:evenVBand="0" w:oddHBand="0" w:evenHBand="1" w:firstRowFirstColumn="0" w:firstRowLastColumn="0" w:lastRowFirstColumn="0" w:lastRowLastColumn="0"/>
          <w:trHeight w:val="20"/>
        </w:trPr>
        <w:tc>
          <w:tcPr>
            <w:tcW w:w="2547" w:type="dxa"/>
            <w:tcBorders>
              <w:top w:val="none" w:sz="0" w:space="0" w:color="auto"/>
              <w:bottom w:val="none" w:sz="0" w:space="0" w:color="auto"/>
            </w:tcBorders>
            <w:shd w:val="clear" w:color="auto" w:fill="auto"/>
            <w:vAlign w:val="center"/>
          </w:tcPr>
          <w:p w14:paraId="4DFAFA58" w14:textId="700F28E4" w:rsidR="006171CB" w:rsidRPr="002D2560" w:rsidRDefault="006171CB" w:rsidP="00051A7E">
            <w:pPr>
              <w:spacing w:before="58" w:after="58"/>
              <w:rPr>
                <w:sz w:val="20"/>
                <w:szCs w:val="20"/>
                <w:lang w:val="en-AU"/>
              </w:rPr>
            </w:pPr>
            <w:r w:rsidRPr="002D2560">
              <w:rPr>
                <w:sz w:val="20"/>
                <w:szCs w:val="20"/>
                <w:lang w:val="en-AU"/>
              </w:rPr>
              <w:t>Alternative funding source</w:t>
            </w:r>
          </w:p>
        </w:tc>
        <w:tc>
          <w:tcPr>
            <w:tcW w:w="5812" w:type="dxa"/>
            <w:tcBorders>
              <w:top w:val="none" w:sz="0" w:space="0" w:color="auto"/>
              <w:bottom w:val="none" w:sz="0" w:space="0" w:color="auto"/>
            </w:tcBorders>
            <w:shd w:val="clear" w:color="auto" w:fill="auto"/>
          </w:tcPr>
          <w:p w14:paraId="3062E1E1" w14:textId="56531414" w:rsidR="006171CB" w:rsidRPr="002D2560" w:rsidRDefault="006171CB" w:rsidP="00051A7E">
            <w:pPr>
              <w:spacing w:before="58" w:after="58"/>
              <w:rPr>
                <w:sz w:val="20"/>
                <w:szCs w:val="20"/>
                <w:lang w:val="en-AU"/>
              </w:rPr>
            </w:pPr>
            <w:r w:rsidRPr="002D2560">
              <w:rPr>
                <w:sz w:val="20"/>
                <w:szCs w:val="20"/>
                <w:lang w:val="en-AU"/>
              </w:rPr>
              <w:t>Supplementary file to identify activity in the ABF data sets eligible for alternative funding arrangement under the NHRA or the National Partnership on COVID-19 Response (NPA). Utilises standard rules for reporting and coding episodes</w:t>
            </w:r>
          </w:p>
        </w:tc>
        <w:tc>
          <w:tcPr>
            <w:tcW w:w="1368" w:type="dxa"/>
            <w:tcBorders>
              <w:top w:val="none" w:sz="0" w:space="0" w:color="auto"/>
              <w:bottom w:val="none" w:sz="0" w:space="0" w:color="auto"/>
            </w:tcBorders>
            <w:shd w:val="clear" w:color="auto" w:fill="auto"/>
            <w:vAlign w:val="center"/>
          </w:tcPr>
          <w:p w14:paraId="5C803B65" w14:textId="4C361E87" w:rsidR="006171CB" w:rsidRPr="002D2560" w:rsidRDefault="006171CB" w:rsidP="00051A7E">
            <w:pPr>
              <w:spacing w:before="58" w:after="58"/>
              <w:jc w:val="center"/>
              <w:rPr>
                <w:sz w:val="20"/>
                <w:szCs w:val="20"/>
                <w:lang w:val="en-AU"/>
              </w:rPr>
            </w:pPr>
            <w:r w:rsidRPr="002D2560">
              <w:rPr>
                <w:sz w:val="20"/>
                <w:szCs w:val="20"/>
                <w:lang w:val="en-AU"/>
              </w:rPr>
              <w:t>1 July 2023</w:t>
            </w:r>
          </w:p>
        </w:tc>
      </w:tr>
      <w:tr w:rsidR="006171CB" w:rsidRPr="002D2560" w14:paraId="502E7BF9" w14:textId="77777777" w:rsidTr="00051A7E">
        <w:trPr>
          <w:cnfStyle w:val="000000100000" w:firstRow="0" w:lastRow="0" w:firstColumn="0" w:lastColumn="0" w:oddVBand="0" w:evenVBand="0" w:oddHBand="1" w:evenHBand="0" w:firstRowFirstColumn="0" w:firstRowLastColumn="0" w:lastRowFirstColumn="0" w:lastRowLastColumn="0"/>
          <w:trHeight w:val="20"/>
        </w:trPr>
        <w:tc>
          <w:tcPr>
            <w:tcW w:w="254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E979F11" w14:textId="7C88D3B0" w:rsidR="006171CB" w:rsidRPr="002D2560" w:rsidRDefault="006171CB" w:rsidP="00051A7E">
            <w:pPr>
              <w:spacing w:before="58" w:after="58"/>
              <w:rPr>
                <w:sz w:val="20"/>
                <w:szCs w:val="20"/>
                <w:lang w:val="en-AU"/>
              </w:rPr>
            </w:pPr>
            <w:r w:rsidRPr="002D2560">
              <w:rPr>
                <w:sz w:val="20"/>
                <w:szCs w:val="20"/>
                <w:lang w:val="en-AU"/>
              </w:rPr>
              <w:t>Individual Healthcare Identifier (IHI)</w:t>
            </w:r>
          </w:p>
        </w:tc>
        <w:tc>
          <w:tcPr>
            <w:tcW w:w="58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9BE3095" w14:textId="533E0406" w:rsidR="006171CB" w:rsidRPr="002D2560" w:rsidRDefault="006171CB" w:rsidP="00051A7E">
            <w:pPr>
              <w:spacing w:before="58" w:after="58"/>
              <w:rPr>
                <w:sz w:val="20"/>
                <w:szCs w:val="20"/>
                <w:lang w:val="en-AU"/>
              </w:rPr>
            </w:pPr>
            <w:r w:rsidRPr="002D2560">
              <w:rPr>
                <w:sz w:val="20"/>
                <w:szCs w:val="20"/>
                <w:lang w:val="en-AU"/>
              </w:rPr>
              <w:t xml:space="preserve">Individual Healthcare Identifier NBEDS (IHI NBEDS) </w:t>
            </w:r>
            <w:r w:rsidRPr="002D2560">
              <w:rPr>
                <w:rFonts w:cs="Arial"/>
                <w:color w:val="000000"/>
                <w:sz w:val="20"/>
                <w:szCs w:val="20"/>
                <w:lang w:val="en-AU"/>
              </w:rPr>
              <w:t>2023–24</w:t>
            </w:r>
          </w:p>
        </w:tc>
        <w:tc>
          <w:tcPr>
            <w:tcW w:w="13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05AA311" w14:textId="0D2D3200" w:rsidR="006171CB" w:rsidRPr="002D2560" w:rsidRDefault="006171CB" w:rsidP="00051A7E">
            <w:pPr>
              <w:spacing w:before="58" w:after="58"/>
              <w:jc w:val="center"/>
              <w:rPr>
                <w:sz w:val="20"/>
                <w:szCs w:val="20"/>
                <w:lang w:val="en-AU"/>
              </w:rPr>
            </w:pPr>
            <w:r w:rsidRPr="002D2560">
              <w:rPr>
                <w:sz w:val="20"/>
                <w:szCs w:val="20"/>
                <w:lang w:val="en-AU"/>
              </w:rPr>
              <w:t>1 July 2023</w:t>
            </w:r>
          </w:p>
        </w:tc>
      </w:tr>
    </w:tbl>
    <w:p w14:paraId="6D694CDF" w14:textId="642E9369" w:rsidR="003156D4" w:rsidRPr="002D2560" w:rsidRDefault="005F15C4" w:rsidP="003156D4">
      <w:pPr>
        <w:pStyle w:val="Heading3"/>
      </w:pPr>
      <w:r w:rsidRPr="002D2560">
        <w:t>5</w:t>
      </w:r>
      <w:r w:rsidR="00384CF7" w:rsidRPr="002D2560">
        <w:t>.2.2</w:t>
      </w:r>
      <w:r w:rsidR="00384CF7" w:rsidRPr="002D2560">
        <w:tab/>
      </w:r>
      <w:r w:rsidR="003156D4" w:rsidRPr="002D2560">
        <w:t>Cost data</w:t>
      </w:r>
    </w:p>
    <w:p w14:paraId="7BB6FBF9" w14:textId="19E3D8FC" w:rsidR="003156D4" w:rsidRPr="002D2560" w:rsidRDefault="003156D4" w:rsidP="00107591">
      <w:pPr>
        <w:rPr>
          <w:lang w:val="en-AU"/>
        </w:rPr>
      </w:pPr>
      <w:r w:rsidRPr="002D2560">
        <w:rPr>
          <w:lang w:val="en-AU"/>
        </w:rPr>
        <w:t>IH</w:t>
      </w:r>
      <w:r w:rsidR="007F1B0A" w:rsidRPr="002D2560">
        <w:rPr>
          <w:lang w:val="en-AU"/>
        </w:rPr>
        <w:t>AC</w:t>
      </w:r>
      <w:r w:rsidRPr="002D2560">
        <w:rPr>
          <w:lang w:val="en-AU"/>
        </w:rPr>
        <w:t xml:space="preserve">PA released Version 4.1 of the </w:t>
      </w:r>
      <w:hyperlink r:id="rId30" w:history="1">
        <w:r w:rsidRPr="002D2560">
          <w:rPr>
            <w:rStyle w:val="Hyperlink"/>
            <w:lang w:val="en-AU"/>
          </w:rPr>
          <w:t>Australian Hospital Patient Costing Standards</w:t>
        </w:r>
      </w:hyperlink>
      <w:r w:rsidRPr="002D2560">
        <w:rPr>
          <w:lang w:val="en-AU"/>
        </w:rPr>
        <w:t xml:space="preserve"> in August 2021. </w:t>
      </w:r>
    </w:p>
    <w:p w14:paraId="35ED6E21" w14:textId="6AEABFCB" w:rsidR="003156D4" w:rsidRPr="002D2560" w:rsidRDefault="005F15C4" w:rsidP="003156D4">
      <w:pPr>
        <w:pStyle w:val="Heading3"/>
      </w:pPr>
      <w:r w:rsidRPr="002D2560">
        <w:t>5</w:t>
      </w:r>
      <w:r w:rsidR="00384CF7" w:rsidRPr="002D2560">
        <w:t>.2.3</w:t>
      </w:r>
      <w:r w:rsidR="00384CF7" w:rsidRPr="002D2560">
        <w:tab/>
      </w:r>
      <w:r w:rsidR="003156D4" w:rsidRPr="002D2560">
        <w:t>Process for updating data set specifications</w:t>
      </w:r>
    </w:p>
    <w:p w14:paraId="70A6A667" w14:textId="7C770E67" w:rsidR="003156D4" w:rsidRPr="002D2560" w:rsidRDefault="003156D4" w:rsidP="00107591">
      <w:pPr>
        <w:rPr>
          <w:lang w:val="en-AU"/>
        </w:rPr>
      </w:pPr>
      <w:r w:rsidRPr="002D2560">
        <w:rPr>
          <w:lang w:val="en-AU"/>
        </w:rPr>
        <w:t>Data set specifications are updated to ensure that they continue to capture the data relevant to a particular service category for ABF purposes. Wherever possible, IH</w:t>
      </w:r>
      <w:r w:rsidR="007F1B0A" w:rsidRPr="002D2560">
        <w:rPr>
          <w:lang w:val="en-AU"/>
        </w:rPr>
        <w:t>AC</w:t>
      </w:r>
      <w:r w:rsidRPr="002D2560">
        <w:rPr>
          <w:lang w:val="en-AU"/>
        </w:rPr>
        <w:t>PA uses established national data sets and governance structures. However, the final responsibility for making the change remains with IH</w:t>
      </w:r>
      <w:r w:rsidR="007F1B0A" w:rsidRPr="002D2560">
        <w:rPr>
          <w:lang w:val="en-AU"/>
        </w:rPr>
        <w:t>AC</w:t>
      </w:r>
      <w:r w:rsidRPr="002D2560">
        <w:rPr>
          <w:lang w:val="en-AU"/>
        </w:rPr>
        <w:t>PA. Changes can vary in complexity and may subsequently require more time to update.</w:t>
      </w:r>
    </w:p>
    <w:p w14:paraId="444AA305" w14:textId="2BC5B23A" w:rsidR="003156D4" w:rsidRPr="002D2560" w:rsidRDefault="00051A7E" w:rsidP="003156D4">
      <w:pPr>
        <w:pStyle w:val="Heading2"/>
      </w:pPr>
      <w:r w:rsidRPr="002D2560">
        <w:lastRenderedPageBreak/>
        <w:t>Local hospital networks</w:t>
      </w:r>
      <w:r w:rsidR="00E763E3" w:rsidRPr="002D2560">
        <w:t>/</w:t>
      </w:r>
      <w:r w:rsidR="003156D4" w:rsidRPr="002D2560">
        <w:t xml:space="preserve">Public </w:t>
      </w:r>
      <w:r w:rsidRPr="002D2560">
        <w:t>h</w:t>
      </w:r>
      <w:r w:rsidR="003156D4" w:rsidRPr="002D2560">
        <w:t xml:space="preserve">ospital </w:t>
      </w:r>
      <w:r w:rsidRPr="002D2560">
        <w:t>e</w:t>
      </w:r>
      <w:r w:rsidR="003156D4" w:rsidRPr="002D2560">
        <w:t>stablishments NMDS</w:t>
      </w:r>
    </w:p>
    <w:p w14:paraId="7E5CDC57" w14:textId="550A9F7E" w:rsidR="003156D4" w:rsidRPr="002D2560" w:rsidRDefault="003156D4" w:rsidP="00107591">
      <w:pPr>
        <w:rPr>
          <w:lang w:val="en-AU"/>
        </w:rPr>
      </w:pPr>
      <w:r w:rsidRPr="002D2560">
        <w:rPr>
          <w:lang w:val="en-AU"/>
        </w:rPr>
        <w:t xml:space="preserve">The AIHW’s </w:t>
      </w:r>
      <w:hyperlink r:id="rId31" w:anchor=":~:text=The%20National%20Public%20Hospital%20Establishment,information%20collected%20for%20financial%20years." w:history="1">
        <w:r w:rsidRPr="002D2560">
          <w:rPr>
            <w:rStyle w:val="Hyperlink"/>
            <w:lang w:val="en-AU"/>
          </w:rPr>
          <w:t>National Public Hospital Establishments Database</w:t>
        </w:r>
      </w:hyperlink>
      <w:r w:rsidRPr="002D2560">
        <w:rPr>
          <w:lang w:val="en-AU"/>
        </w:rPr>
        <w:t xml:space="preserve"> is compiled from data specified by state and territory health authorities. The database holds a collection of resources, expenditure and services data for all public and repatriation hospitals in Australia. The Local </w:t>
      </w:r>
      <w:r w:rsidR="00051A7E" w:rsidRPr="002D2560">
        <w:rPr>
          <w:lang w:val="en-AU"/>
        </w:rPr>
        <w:t>h</w:t>
      </w:r>
      <w:r w:rsidRPr="002D2560">
        <w:rPr>
          <w:lang w:val="en-AU"/>
        </w:rPr>
        <w:t xml:space="preserve">ospital </w:t>
      </w:r>
      <w:r w:rsidR="00051A7E" w:rsidRPr="002D2560">
        <w:rPr>
          <w:lang w:val="en-AU"/>
        </w:rPr>
        <w:t>n</w:t>
      </w:r>
      <w:r w:rsidRPr="002D2560">
        <w:rPr>
          <w:lang w:val="en-AU"/>
        </w:rPr>
        <w:t xml:space="preserve">etworks/Public </w:t>
      </w:r>
      <w:r w:rsidR="00051A7E" w:rsidRPr="002D2560">
        <w:rPr>
          <w:lang w:val="en-AU"/>
        </w:rPr>
        <w:t>h</w:t>
      </w:r>
      <w:r w:rsidRPr="002D2560">
        <w:rPr>
          <w:lang w:val="en-AU"/>
        </w:rPr>
        <w:t xml:space="preserve">ospital </w:t>
      </w:r>
      <w:r w:rsidR="00051A7E" w:rsidRPr="002D2560">
        <w:rPr>
          <w:lang w:val="en-AU"/>
        </w:rPr>
        <w:t>e</w:t>
      </w:r>
      <w:r w:rsidRPr="002D2560">
        <w:rPr>
          <w:lang w:val="en-AU"/>
        </w:rPr>
        <w:t>stablishments NMDS is one of the primary data sources available to IH</w:t>
      </w:r>
      <w:r w:rsidR="007F1B0A" w:rsidRPr="002D2560">
        <w:rPr>
          <w:lang w:val="en-AU"/>
        </w:rPr>
        <w:t>AC</w:t>
      </w:r>
      <w:r w:rsidRPr="002D2560">
        <w:rPr>
          <w:lang w:val="en-AU"/>
        </w:rPr>
        <w:t>PA to determine the NEC for block funded services.</w:t>
      </w:r>
    </w:p>
    <w:p w14:paraId="4B7DFA87" w14:textId="319E5133" w:rsidR="003156D4" w:rsidRPr="002D2560" w:rsidRDefault="003156D4" w:rsidP="003156D4">
      <w:pPr>
        <w:pStyle w:val="Heading2"/>
      </w:pPr>
      <w:r w:rsidRPr="002D2560">
        <w:t>Commonwealth pharmaceutical program payments</w:t>
      </w:r>
    </w:p>
    <w:p w14:paraId="3B00EFE0" w14:textId="6174DAD6" w:rsidR="003156D4" w:rsidRPr="002D2560" w:rsidRDefault="003156D4" w:rsidP="00107591">
      <w:pPr>
        <w:rPr>
          <w:lang w:val="en-AU"/>
        </w:rPr>
      </w:pPr>
      <w:r w:rsidRPr="002D2560">
        <w:rPr>
          <w:lang w:val="en-AU"/>
        </w:rPr>
        <w:t>The Addendum requires IH</w:t>
      </w:r>
      <w:r w:rsidR="007F1B0A" w:rsidRPr="002D2560">
        <w:rPr>
          <w:lang w:val="en-AU"/>
        </w:rPr>
        <w:t>AC</w:t>
      </w:r>
      <w:r w:rsidRPr="002D2560">
        <w:rPr>
          <w:lang w:val="en-AU"/>
        </w:rPr>
        <w:t>PA to remove costs associated with programs that the Commonwealth funds through other programs, including pharmaceutical program payments. IH</w:t>
      </w:r>
      <w:r w:rsidR="007F1B0A" w:rsidRPr="002D2560">
        <w:rPr>
          <w:lang w:val="en-AU"/>
        </w:rPr>
        <w:t>AC</w:t>
      </w:r>
      <w:r w:rsidRPr="002D2560">
        <w:rPr>
          <w:lang w:val="en-AU"/>
        </w:rPr>
        <w:t xml:space="preserve">PA identifies </w:t>
      </w:r>
      <w:r w:rsidR="00771747" w:rsidRPr="002D2560">
        <w:rPr>
          <w:lang w:val="en-AU"/>
        </w:rPr>
        <w:t xml:space="preserve">and undertakes episode level matching for </w:t>
      </w:r>
      <w:r w:rsidRPr="002D2560">
        <w:rPr>
          <w:lang w:val="en-AU"/>
        </w:rPr>
        <w:t xml:space="preserve">these payments using </w:t>
      </w:r>
      <w:r w:rsidR="00771747" w:rsidRPr="002D2560">
        <w:rPr>
          <w:lang w:val="en-AU"/>
        </w:rPr>
        <w:t xml:space="preserve">de-identified Medicare PIN data provided by Services Australia, </w:t>
      </w:r>
      <w:r w:rsidRPr="002D2560">
        <w:rPr>
          <w:lang w:val="en-AU"/>
        </w:rPr>
        <w:t>patient</w:t>
      </w:r>
      <w:r w:rsidR="001E51CB" w:rsidRPr="002D2560">
        <w:rPr>
          <w:lang w:val="en-AU"/>
        </w:rPr>
        <w:t>-</w:t>
      </w:r>
      <w:r w:rsidRPr="002D2560">
        <w:rPr>
          <w:lang w:val="en-AU"/>
        </w:rPr>
        <w:t xml:space="preserve">level Commonwealth pharmaceutical program payments data provided by the Department of Health </w:t>
      </w:r>
      <w:r w:rsidR="007F1B0A" w:rsidRPr="002D2560">
        <w:rPr>
          <w:lang w:val="en-AU"/>
        </w:rPr>
        <w:t>and Aged Care</w:t>
      </w:r>
      <w:r w:rsidR="00771747" w:rsidRPr="002D2560">
        <w:rPr>
          <w:lang w:val="en-AU"/>
        </w:rPr>
        <w:t xml:space="preserve"> and the National Hospital Cost Data Collection (NHCDC) data</w:t>
      </w:r>
      <w:r w:rsidRPr="002D2560">
        <w:rPr>
          <w:lang w:val="en-AU"/>
        </w:rPr>
        <w:t>. This data is required according to the timelines below</w:t>
      </w:r>
      <w:r w:rsidR="005E330F" w:rsidRPr="002D2560">
        <w:rPr>
          <w:lang w:val="en-AU"/>
        </w:rPr>
        <w:t>.</w:t>
      </w:r>
    </w:p>
    <w:p w14:paraId="2DFF2E41" w14:textId="36FF1F58" w:rsidR="003156D4" w:rsidRPr="002D2560" w:rsidRDefault="003156D4" w:rsidP="003156D4">
      <w:pPr>
        <w:rPr>
          <w:b/>
          <w:bCs/>
          <w:lang w:val="en-AU"/>
        </w:rPr>
      </w:pPr>
      <w:r w:rsidRPr="002D2560">
        <w:rPr>
          <w:b/>
          <w:bCs/>
          <w:lang w:val="en-AU"/>
        </w:rPr>
        <w:t xml:space="preserve">Table </w:t>
      </w:r>
      <w:r w:rsidR="002A50EE" w:rsidRPr="002D2560">
        <w:rPr>
          <w:b/>
          <w:bCs/>
          <w:lang w:val="en-AU"/>
        </w:rPr>
        <w:t>4</w:t>
      </w:r>
      <w:r w:rsidR="005E330F" w:rsidRPr="002D2560">
        <w:rPr>
          <w:b/>
          <w:bCs/>
          <w:lang w:val="en-AU"/>
        </w:rPr>
        <w:t>.</w:t>
      </w:r>
      <w:r w:rsidRPr="002D2560">
        <w:rPr>
          <w:b/>
          <w:bCs/>
          <w:lang w:val="en-AU"/>
        </w:rPr>
        <w:t xml:space="preserve"> Timeline for Commonwealth in-scope patient</w:t>
      </w:r>
      <w:r w:rsidR="001E51CB" w:rsidRPr="002D2560">
        <w:rPr>
          <w:b/>
          <w:bCs/>
          <w:lang w:val="en-AU"/>
        </w:rPr>
        <w:t>-</w:t>
      </w:r>
      <w:r w:rsidRPr="002D2560">
        <w:rPr>
          <w:b/>
          <w:bCs/>
          <w:lang w:val="en-AU"/>
        </w:rPr>
        <w:t>level pharmaceutical program payments data submission</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863"/>
        <w:gridCol w:w="4864"/>
      </w:tblGrid>
      <w:tr w:rsidR="003156D4" w:rsidRPr="002D2560" w14:paraId="48EC3F46" w14:textId="77777777" w:rsidTr="00353390">
        <w:trPr>
          <w:cnfStyle w:val="100000000000" w:firstRow="1" w:lastRow="0" w:firstColumn="0" w:lastColumn="0" w:oddVBand="0" w:evenVBand="0" w:oddHBand="0" w:evenHBand="0" w:firstRowFirstColumn="0" w:firstRowLastColumn="0" w:lastRowFirstColumn="0" w:lastRowLastColumn="0"/>
          <w:trHeight w:val="20"/>
        </w:trPr>
        <w:tc>
          <w:tcPr>
            <w:tcW w:w="4863" w:type="dxa"/>
            <w:tcBorders>
              <w:bottom w:val="single" w:sz="4" w:space="0" w:color="auto"/>
            </w:tcBorders>
            <w:shd w:val="clear" w:color="auto" w:fill="104F99" w:themeFill="accent2"/>
            <w:vAlign w:val="center"/>
          </w:tcPr>
          <w:p w14:paraId="36D1D15B" w14:textId="13313E08" w:rsidR="003156D4" w:rsidRPr="002D2560" w:rsidRDefault="003156D4" w:rsidP="00051A7E">
            <w:pPr>
              <w:spacing w:before="60" w:after="60"/>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reporting period</w:t>
            </w:r>
          </w:p>
        </w:tc>
        <w:tc>
          <w:tcPr>
            <w:tcW w:w="4864" w:type="dxa"/>
            <w:tcBorders>
              <w:bottom w:val="single" w:sz="4" w:space="0" w:color="auto"/>
            </w:tcBorders>
            <w:shd w:val="clear" w:color="auto" w:fill="104F99" w:themeFill="accent2"/>
            <w:vAlign w:val="center"/>
          </w:tcPr>
          <w:p w14:paraId="4431E35D" w14:textId="3E4BCB7B" w:rsidR="003156D4" w:rsidRPr="002D2560" w:rsidRDefault="003156D4" w:rsidP="00051A7E">
            <w:pPr>
              <w:spacing w:before="60" w:after="60"/>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required</w:t>
            </w:r>
          </w:p>
        </w:tc>
      </w:tr>
      <w:tr w:rsidR="003156D4" w:rsidRPr="002D2560" w14:paraId="65690225" w14:textId="77777777" w:rsidTr="00353390">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single" w:sz="4" w:space="0" w:color="auto"/>
              <w:bottom w:val="none" w:sz="0" w:space="0" w:color="auto"/>
              <w:right w:val="single" w:sz="4" w:space="0" w:color="auto"/>
            </w:tcBorders>
            <w:shd w:val="clear" w:color="auto" w:fill="auto"/>
            <w:vAlign w:val="center"/>
          </w:tcPr>
          <w:p w14:paraId="65BA1427" w14:textId="1BA6BA5E" w:rsidR="003156D4" w:rsidRPr="002D2560" w:rsidRDefault="003156D4" w:rsidP="00051A7E">
            <w:pPr>
              <w:spacing w:before="60" w:after="60"/>
              <w:jc w:val="center"/>
              <w:rPr>
                <w:rFonts w:cs="Arial"/>
                <w:color w:val="000000"/>
                <w:sz w:val="20"/>
                <w:szCs w:val="20"/>
                <w:lang w:val="en-AU"/>
              </w:rPr>
            </w:pPr>
            <w:r w:rsidRPr="002D2560">
              <w:rPr>
                <w:sz w:val="20"/>
                <w:szCs w:val="20"/>
                <w:lang w:val="en-AU"/>
              </w:rPr>
              <w:t>2022–23</w:t>
            </w:r>
          </w:p>
        </w:tc>
        <w:tc>
          <w:tcPr>
            <w:tcW w:w="4864" w:type="dxa"/>
            <w:tcBorders>
              <w:top w:val="none" w:sz="0" w:space="0" w:color="auto"/>
              <w:left w:val="single" w:sz="4" w:space="0" w:color="auto"/>
              <w:bottom w:val="none" w:sz="0" w:space="0" w:color="auto"/>
              <w:right w:val="single" w:sz="4" w:space="0" w:color="auto"/>
            </w:tcBorders>
            <w:shd w:val="clear" w:color="auto" w:fill="auto"/>
            <w:vAlign w:val="center"/>
          </w:tcPr>
          <w:p w14:paraId="2EA40538" w14:textId="664863B7" w:rsidR="003156D4" w:rsidRPr="002D2560" w:rsidRDefault="003156D4" w:rsidP="00051A7E">
            <w:pPr>
              <w:spacing w:before="60" w:after="60"/>
              <w:jc w:val="center"/>
              <w:rPr>
                <w:rFonts w:cs="Arial"/>
                <w:color w:val="1C1C1C"/>
                <w:sz w:val="20"/>
                <w:szCs w:val="20"/>
                <w:lang w:val="en-AU"/>
              </w:rPr>
            </w:pPr>
            <w:r w:rsidRPr="002D2560">
              <w:rPr>
                <w:sz w:val="20"/>
                <w:szCs w:val="20"/>
                <w:lang w:val="en-AU"/>
              </w:rPr>
              <w:t>31 Jul 2024</w:t>
            </w:r>
          </w:p>
        </w:tc>
      </w:tr>
      <w:tr w:rsidR="003156D4" w:rsidRPr="002D2560" w14:paraId="481696B3" w14:textId="77777777" w:rsidTr="003156D4">
        <w:trPr>
          <w:cnfStyle w:val="000000010000" w:firstRow="0" w:lastRow="0" w:firstColumn="0" w:lastColumn="0" w:oddVBand="0" w:evenVBand="0" w:oddHBand="0" w:evenHBand="1" w:firstRowFirstColumn="0" w:firstRowLastColumn="0" w:lastRowFirstColumn="0" w:lastRowLastColumn="0"/>
          <w:trHeight w:val="20"/>
        </w:trPr>
        <w:tc>
          <w:tcPr>
            <w:tcW w:w="4863" w:type="dxa"/>
            <w:tcBorders>
              <w:top w:val="none" w:sz="0" w:space="0" w:color="auto"/>
              <w:bottom w:val="none" w:sz="0" w:space="0" w:color="auto"/>
            </w:tcBorders>
            <w:shd w:val="clear" w:color="auto" w:fill="auto"/>
            <w:vAlign w:val="center"/>
          </w:tcPr>
          <w:p w14:paraId="3EA3F5AF" w14:textId="02265856" w:rsidR="003156D4" w:rsidRPr="002D2560" w:rsidRDefault="003156D4" w:rsidP="00051A7E">
            <w:pPr>
              <w:spacing w:before="60" w:after="60"/>
              <w:jc w:val="center"/>
              <w:rPr>
                <w:rFonts w:cs="Arial"/>
                <w:color w:val="000000"/>
                <w:sz w:val="20"/>
                <w:szCs w:val="20"/>
                <w:lang w:val="en-AU"/>
              </w:rPr>
            </w:pPr>
            <w:r w:rsidRPr="002D2560">
              <w:rPr>
                <w:sz w:val="20"/>
                <w:szCs w:val="20"/>
                <w:lang w:val="en-AU"/>
              </w:rPr>
              <w:t>2023–24</w:t>
            </w:r>
          </w:p>
        </w:tc>
        <w:tc>
          <w:tcPr>
            <w:tcW w:w="4864" w:type="dxa"/>
            <w:tcBorders>
              <w:top w:val="none" w:sz="0" w:space="0" w:color="auto"/>
              <w:bottom w:val="none" w:sz="0" w:space="0" w:color="auto"/>
            </w:tcBorders>
            <w:shd w:val="clear" w:color="auto" w:fill="auto"/>
            <w:vAlign w:val="center"/>
          </w:tcPr>
          <w:p w14:paraId="331502BB" w14:textId="141785CE" w:rsidR="003156D4" w:rsidRPr="002D2560" w:rsidRDefault="003156D4" w:rsidP="00051A7E">
            <w:pPr>
              <w:spacing w:before="60" w:after="60"/>
              <w:jc w:val="center"/>
              <w:rPr>
                <w:rFonts w:cs="Arial"/>
                <w:color w:val="1C1C1C"/>
                <w:sz w:val="20"/>
                <w:szCs w:val="20"/>
                <w:lang w:val="en-AU"/>
              </w:rPr>
            </w:pPr>
            <w:r w:rsidRPr="002D2560">
              <w:rPr>
                <w:sz w:val="20"/>
                <w:szCs w:val="20"/>
                <w:lang w:val="en-AU"/>
              </w:rPr>
              <w:t>31 Jul 2025</w:t>
            </w:r>
          </w:p>
        </w:tc>
      </w:tr>
      <w:tr w:rsidR="007622B9" w:rsidRPr="002D2560" w14:paraId="69BB63EB" w14:textId="77777777" w:rsidTr="00353390">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single" w:sz="4" w:space="0" w:color="auto"/>
              <w:bottom w:val="none" w:sz="0" w:space="0" w:color="auto"/>
              <w:right w:val="single" w:sz="4" w:space="0" w:color="auto"/>
            </w:tcBorders>
            <w:shd w:val="clear" w:color="auto" w:fill="auto"/>
            <w:vAlign w:val="center"/>
          </w:tcPr>
          <w:p w14:paraId="3DE7B353" w14:textId="58310D1C" w:rsidR="007622B9" w:rsidRPr="002D2560" w:rsidRDefault="007622B9" w:rsidP="00051A7E">
            <w:pPr>
              <w:spacing w:before="60" w:after="60"/>
              <w:jc w:val="center"/>
              <w:rPr>
                <w:sz w:val="20"/>
                <w:szCs w:val="20"/>
                <w:lang w:val="en-AU"/>
              </w:rPr>
            </w:pPr>
            <w:r w:rsidRPr="002D2560">
              <w:rPr>
                <w:sz w:val="20"/>
                <w:szCs w:val="20"/>
                <w:lang w:val="en-AU"/>
              </w:rPr>
              <w:t>2024–25</w:t>
            </w:r>
          </w:p>
        </w:tc>
        <w:tc>
          <w:tcPr>
            <w:tcW w:w="4864" w:type="dxa"/>
            <w:tcBorders>
              <w:top w:val="none" w:sz="0" w:space="0" w:color="auto"/>
              <w:left w:val="single" w:sz="4" w:space="0" w:color="auto"/>
              <w:bottom w:val="none" w:sz="0" w:space="0" w:color="auto"/>
              <w:right w:val="single" w:sz="4" w:space="0" w:color="auto"/>
            </w:tcBorders>
            <w:shd w:val="clear" w:color="auto" w:fill="auto"/>
            <w:vAlign w:val="center"/>
          </w:tcPr>
          <w:p w14:paraId="7CD74693" w14:textId="57901B02" w:rsidR="007622B9" w:rsidRPr="002D2560" w:rsidRDefault="007622B9" w:rsidP="00051A7E">
            <w:pPr>
              <w:spacing w:before="60" w:after="60"/>
              <w:jc w:val="center"/>
              <w:rPr>
                <w:sz w:val="20"/>
                <w:szCs w:val="20"/>
                <w:lang w:val="en-AU"/>
              </w:rPr>
            </w:pPr>
            <w:r w:rsidRPr="002D2560">
              <w:rPr>
                <w:sz w:val="20"/>
                <w:szCs w:val="20"/>
                <w:lang w:val="en-AU"/>
              </w:rPr>
              <w:t>31 Jul 2026</w:t>
            </w:r>
          </w:p>
        </w:tc>
      </w:tr>
    </w:tbl>
    <w:p w14:paraId="6224E067" w14:textId="5DC88A73" w:rsidR="00D2543C" w:rsidRPr="002D2560" w:rsidRDefault="00D2543C" w:rsidP="00D2543C">
      <w:pPr>
        <w:pStyle w:val="Heading2"/>
      </w:pPr>
      <w:r w:rsidRPr="002D2560">
        <w:t>Commonwealth Medicare Benefits Schedule</w:t>
      </w:r>
    </w:p>
    <w:p w14:paraId="53B6197D" w14:textId="5AFC1D81" w:rsidR="00771747" w:rsidRPr="002D2560" w:rsidRDefault="00771747" w:rsidP="00771747">
      <w:pPr>
        <w:rPr>
          <w:lang w:val="en-AU"/>
        </w:rPr>
      </w:pPr>
      <w:r w:rsidRPr="002D2560">
        <w:rPr>
          <w:lang w:val="en-AU"/>
        </w:rPr>
        <w:t>Medicare Benefits Schedule (MBS) data supports IHACPA to model and evaluate the impact of new and innovative approaches to health care funding for improving the efficiency of services delivered by public hospitals and health care services. To undertake episode level matching between NHCDC data and MBS data, IHACPA uses the same linking method as for pharmaceutical program payments data.</w:t>
      </w:r>
    </w:p>
    <w:p w14:paraId="117E2405" w14:textId="79781BE7" w:rsidR="00D2543C" w:rsidRPr="002D2560" w:rsidRDefault="00D2543C" w:rsidP="00D2543C">
      <w:pPr>
        <w:rPr>
          <w:b/>
          <w:bCs/>
          <w:lang w:val="en-AU"/>
        </w:rPr>
      </w:pPr>
      <w:r w:rsidRPr="002D2560">
        <w:rPr>
          <w:b/>
          <w:bCs/>
          <w:lang w:val="en-AU"/>
        </w:rPr>
        <w:t xml:space="preserve">Table </w:t>
      </w:r>
      <w:r w:rsidR="002A50EE" w:rsidRPr="002D2560">
        <w:rPr>
          <w:b/>
          <w:bCs/>
          <w:lang w:val="en-AU"/>
        </w:rPr>
        <w:t>5</w:t>
      </w:r>
      <w:r w:rsidRPr="002D2560">
        <w:rPr>
          <w:b/>
          <w:bCs/>
          <w:lang w:val="en-AU"/>
        </w:rPr>
        <w:t>. Timeline for Commonwealth in-scope patient-level Medicare Benefits Schedule data submission</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863"/>
        <w:gridCol w:w="4864"/>
      </w:tblGrid>
      <w:tr w:rsidR="00D2543C" w:rsidRPr="002D2560" w14:paraId="55BC4527" w14:textId="77777777" w:rsidTr="00DE7F6A">
        <w:trPr>
          <w:cnfStyle w:val="100000000000" w:firstRow="1" w:lastRow="0" w:firstColumn="0" w:lastColumn="0" w:oddVBand="0" w:evenVBand="0" w:oddHBand="0" w:evenHBand="0" w:firstRowFirstColumn="0" w:firstRowLastColumn="0" w:lastRowFirstColumn="0" w:lastRowLastColumn="0"/>
          <w:trHeight w:val="20"/>
        </w:trPr>
        <w:tc>
          <w:tcPr>
            <w:tcW w:w="4863" w:type="dxa"/>
            <w:shd w:val="clear" w:color="auto" w:fill="104F99" w:themeFill="accent2"/>
            <w:vAlign w:val="center"/>
          </w:tcPr>
          <w:p w14:paraId="2F388E90" w14:textId="77777777" w:rsidR="00D2543C" w:rsidRPr="002D2560" w:rsidRDefault="00D2543C" w:rsidP="00DE7F6A">
            <w:pPr>
              <w:spacing w:before="60" w:after="60"/>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reporting period</w:t>
            </w:r>
          </w:p>
        </w:tc>
        <w:tc>
          <w:tcPr>
            <w:tcW w:w="4864" w:type="dxa"/>
            <w:shd w:val="clear" w:color="auto" w:fill="104F99" w:themeFill="accent2"/>
            <w:vAlign w:val="center"/>
          </w:tcPr>
          <w:p w14:paraId="27C1ED60" w14:textId="77777777" w:rsidR="00D2543C" w:rsidRPr="002D2560" w:rsidRDefault="00D2543C" w:rsidP="00DE7F6A">
            <w:pPr>
              <w:spacing w:before="60" w:after="60"/>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required</w:t>
            </w:r>
          </w:p>
        </w:tc>
      </w:tr>
      <w:tr w:rsidR="00D2543C" w:rsidRPr="002D2560" w14:paraId="06C5A35E" w14:textId="77777777" w:rsidTr="00D2543C">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B5DBBC" w14:textId="14757844" w:rsidR="00D2543C" w:rsidRPr="002D2560" w:rsidRDefault="00D2543C" w:rsidP="00D2543C">
            <w:pPr>
              <w:spacing w:before="60" w:after="60"/>
              <w:jc w:val="center"/>
              <w:rPr>
                <w:rFonts w:cs="Arial"/>
                <w:color w:val="000000"/>
                <w:sz w:val="20"/>
                <w:szCs w:val="20"/>
                <w:lang w:val="en-AU"/>
              </w:rPr>
            </w:pPr>
            <w:r w:rsidRPr="002D2560">
              <w:rPr>
                <w:sz w:val="20"/>
                <w:szCs w:val="20"/>
                <w:lang w:val="en-AU"/>
              </w:rPr>
              <w:t>2022–23</w:t>
            </w:r>
          </w:p>
        </w:tc>
        <w:tc>
          <w:tcPr>
            <w:tcW w:w="4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5BB8ABA" w14:textId="68F9FC05" w:rsidR="00D2543C" w:rsidRPr="002D2560" w:rsidRDefault="00D2543C" w:rsidP="00D2543C">
            <w:pPr>
              <w:spacing w:before="60" w:after="60"/>
              <w:jc w:val="center"/>
              <w:rPr>
                <w:rFonts w:cs="Arial"/>
                <w:color w:val="1C1C1C"/>
                <w:sz w:val="20"/>
                <w:szCs w:val="20"/>
                <w:lang w:val="en-AU"/>
              </w:rPr>
            </w:pPr>
            <w:r w:rsidRPr="002D2560">
              <w:rPr>
                <w:sz w:val="20"/>
                <w:szCs w:val="20"/>
                <w:lang w:val="en-AU"/>
              </w:rPr>
              <w:t>31 Jul 2024</w:t>
            </w:r>
          </w:p>
        </w:tc>
      </w:tr>
      <w:tr w:rsidR="00D2543C" w:rsidRPr="002D2560" w14:paraId="2C0534FC" w14:textId="77777777" w:rsidTr="00D2543C">
        <w:trPr>
          <w:cnfStyle w:val="000000010000" w:firstRow="0" w:lastRow="0" w:firstColumn="0" w:lastColumn="0" w:oddVBand="0" w:evenVBand="0" w:oddHBand="0" w:evenHBand="1" w:firstRowFirstColumn="0" w:firstRowLastColumn="0" w:lastRowFirstColumn="0" w:lastRowLastColumn="0"/>
          <w:trHeight w:val="20"/>
        </w:trPr>
        <w:tc>
          <w:tcPr>
            <w:tcW w:w="4863" w:type="dxa"/>
            <w:tcBorders>
              <w:top w:val="none" w:sz="0" w:space="0" w:color="auto"/>
              <w:bottom w:val="none" w:sz="0" w:space="0" w:color="auto"/>
            </w:tcBorders>
            <w:shd w:val="clear" w:color="auto" w:fill="auto"/>
          </w:tcPr>
          <w:p w14:paraId="6718FD8D" w14:textId="4CFBADE5" w:rsidR="00D2543C" w:rsidRPr="002D2560" w:rsidRDefault="00D2543C" w:rsidP="00D2543C">
            <w:pPr>
              <w:spacing w:before="60" w:after="60"/>
              <w:jc w:val="center"/>
              <w:rPr>
                <w:rFonts w:cs="Arial"/>
                <w:color w:val="000000"/>
                <w:sz w:val="20"/>
                <w:szCs w:val="20"/>
                <w:lang w:val="en-AU"/>
              </w:rPr>
            </w:pPr>
            <w:r w:rsidRPr="002D2560">
              <w:rPr>
                <w:sz w:val="20"/>
                <w:szCs w:val="20"/>
                <w:lang w:val="en-AU"/>
              </w:rPr>
              <w:t>2023–24</w:t>
            </w:r>
          </w:p>
        </w:tc>
        <w:tc>
          <w:tcPr>
            <w:tcW w:w="4864" w:type="dxa"/>
            <w:tcBorders>
              <w:top w:val="none" w:sz="0" w:space="0" w:color="auto"/>
              <w:bottom w:val="none" w:sz="0" w:space="0" w:color="auto"/>
            </w:tcBorders>
            <w:shd w:val="clear" w:color="auto" w:fill="auto"/>
          </w:tcPr>
          <w:p w14:paraId="44C3F119" w14:textId="31DF62CE" w:rsidR="00D2543C" w:rsidRPr="002D2560" w:rsidRDefault="00D2543C" w:rsidP="00D2543C">
            <w:pPr>
              <w:spacing w:before="60" w:after="60"/>
              <w:jc w:val="center"/>
              <w:rPr>
                <w:rFonts w:cs="Arial"/>
                <w:color w:val="1C1C1C"/>
                <w:sz w:val="20"/>
                <w:szCs w:val="20"/>
                <w:lang w:val="en-AU"/>
              </w:rPr>
            </w:pPr>
            <w:r w:rsidRPr="002D2560">
              <w:rPr>
                <w:sz w:val="20"/>
                <w:szCs w:val="20"/>
                <w:lang w:val="en-AU"/>
              </w:rPr>
              <w:t>31 Jul 2025</w:t>
            </w:r>
          </w:p>
        </w:tc>
      </w:tr>
      <w:tr w:rsidR="00D2543C" w:rsidRPr="002D2560" w14:paraId="205651F8" w14:textId="77777777" w:rsidTr="00D2543C">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ECE6669" w14:textId="4F04D3CF" w:rsidR="00D2543C" w:rsidRPr="002D2560" w:rsidRDefault="00D2543C" w:rsidP="00D2543C">
            <w:pPr>
              <w:spacing w:before="60" w:after="60"/>
              <w:jc w:val="center"/>
              <w:rPr>
                <w:rFonts w:cs="Arial"/>
                <w:color w:val="000000"/>
                <w:sz w:val="20"/>
                <w:szCs w:val="20"/>
                <w:lang w:val="en-AU"/>
              </w:rPr>
            </w:pPr>
            <w:r w:rsidRPr="002D2560">
              <w:rPr>
                <w:sz w:val="20"/>
                <w:szCs w:val="20"/>
                <w:lang w:val="en-AU"/>
              </w:rPr>
              <w:t>2024–25</w:t>
            </w:r>
          </w:p>
        </w:tc>
        <w:tc>
          <w:tcPr>
            <w:tcW w:w="4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F3BB332" w14:textId="5FF3D43B" w:rsidR="00D2543C" w:rsidRPr="002D2560" w:rsidRDefault="00D2543C" w:rsidP="00D2543C">
            <w:pPr>
              <w:spacing w:before="60" w:after="60"/>
              <w:jc w:val="center"/>
              <w:rPr>
                <w:rFonts w:cs="Arial"/>
                <w:color w:val="1C1C1C"/>
                <w:sz w:val="20"/>
                <w:szCs w:val="20"/>
                <w:lang w:val="en-AU"/>
              </w:rPr>
            </w:pPr>
            <w:r w:rsidRPr="002D2560">
              <w:rPr>
                <w:sz w:val="20"/>
                <w:szCs w:val="20"/>
                <w:lang w:val="en-AU"/>
              </w:rPr>
              <w:t>31 Jul 2026</w:t>
            </w:r>
          </w:p>
        </w:tc>
      </w:tr>
    </w:tbl>
    <w:p w14:paraId="283C0161" w14:textId="602EEA5A" w:rsidR="00D2543C" w:rsidRPr="002D2560" w:rsidRDefault="00D2543C" w:rsidP="00D2543C">
      <w:pPr>
        <w:pStyle w:val="Heading2"/>
      </w:pPr>
      <w:r w:rsidRPr="002D2560">
        <w:lastRenderedPageBreak/>
        <w:t>Commonwealth Medicare data (‘Submission B’ data file)</w:t>
      </w:r>
    </w:p>
    <w:p w14:paraId="413BB79E" w14:textId="6EDB6A8D" w:rsidR="003B479C" w:rsidRPr="002D2560" w:rsidRDefault="003B479C" w:rsidP="003B479C">
      <w:pPr>
        <w:rPr>
          <w:lang w:val="en-AU"/>
        </w:rPr>
      </w:pPr>
      <w:r w:rsidRPr="002D2560">
        <w:rPr>
          <w:lang w:val="en-AU"/>
        </w:rPr>
        <w:t xml:space="preserve">For adjusting costs associated with programs that are funded by the Commonwealth separately, IHACPA requires access to de-identified Medicare PIN and associated information from Services Australia to link payments such as pharmaceutical program and MBS to NHCDC data. This </w:t>
      </w:r>
      <w:r>
        <w:rPr>
          <w:lang w:val="en-AU"/>
        </w:rPr>
        <w:t xml:space="preserve">enables better understanding of patient care delivered across care settings and </w:t>
      </w:r>
      <w:r w:rsidR="0048371B">
        <w:rPr>
          <w:lang w:val="en-AU"/>
        </w:rPr>
        <w:t>supports IHACPA’s work in facilitating trials of innovative funding models</w:t>
      </w:r>
      <w:r w:rsidRPr="002D2560">
        <w:rPr>
          <w:lang w:val="en-AU"/>
        </w:rPr>
        <w:t>.</w:t>
      </w:r>
    </w:p>
    <w:p w14:paraId="224A6D98" w14:textId="2040DCFF" w:rsidR="00D2543C" w:rsidRPr="002D2560" w:rsidRDefault="00D2543C" w:rsidP="00D2543C">
      <w:pPr>
        <w:rPr>
          <w:b/>
          <w:bCs/>
          <w:lang w:val="en-AU"/>
        </w:rPr>
      </w:pPr>
      <w:r w:rsidRPr="002D2560">
        <w:rPr>
          <w:b/>
          <w:bCs/>
          <w:lang w:val="en-AU"/>
        </w:rPr>
        <w:t xml:space="preserve">Table </w:t>
      </w:r>
      <w:r w:rsidR="002A50EE" w:rsidRPr="002D2560">
        <w:rPr>
          <w:b/>
          <w:bCs/>
          <w:lang w:val="en-AU"/>
        </w:rPr>
        <w:t>6</w:t>
      </w:r>
      <w:r w:rsidRPr="002D2560">
        <w:rPr>
          <w:b/>
          <w:bCs/>
          <w:lang w:val="en-AU"/>
        </w:rPr>
        <w:t>. Timeline for Commonwealth Medicare data submission</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863"/>
        <w:gridCol w:w="4864"/>
      </w:tblGrid>
      <w:tr w:rsidR="00D2543C" w:rsidRPr="002D2560" w14:paraId="6CAB9AF7" w14:textId="77777777" w:rsidTr="00D2543C">
        <w:trPr>
          <w:cnfStyle w:val="100000000000" w:firstRow="1" w:lastRow="0" w:firstColumn="0" w:lastColumn="0" w:oddVBand="0" w:evenVBand="0" w:oddHBand="0" w:evenHBand="0" w:firstRowFirstColumn="0" w:firstRowLastColumn="0" w:lastRowFirstColumn="0" w:lastRowLastColumn="0"/>
          <w:trHeight w:val="20"/>
        </w:trPr>
        <w:tc>
          <w:tcPr>
            <w:tcW w:w="4863" w:type="dxa"/>
            <w:shd w:val="clear" w:color="auto" w:fill="104F99" w:themeFill="accent2"/>
            <w:vAlign w:val="center"/>
          </w:tcPr>
          <w:p w14:paraId="1C5B21DC" w14:textId="77777777" w:rsidR="00D2543C" w:rsidRPr="002D2560" w:rsidRDefault="00D2543C" w:rsidP="00DE7F6A">
            <w:pPr>
              <w:spacing w:before="60" w:after="60"/>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reporting period</w:t>
            </w:r>
          </w:p>
        </w:tc>
        <w:tc>
          <w:tcPr>
            <w:tcW w:w="4864" w:type="dxa"/>
            <w:shd w:val="clear" w:color="auto" w:fill="104F99" w:themeFill="accent2"/>
            <w:vAlign w:val="center"/>
          </w:tcPr>
          <w:p w14:paraId="6F2EACE4" w14:textId="77777777" w:rsidR="00D2543C" w:rsidRPr="002D2560" w:rsidRDefault="00D2543C" w:rsidP="00DE7F6A">
            <w:pPr>
              <w:spacing w:before="60" w:after="60"/>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required</w:t>
            </w:r>
          </w:p>
        </w:tc>
      </w:tr>
      <w:tr w:rsidR="00D2543C" w:rsidRPr="002D2560" w14:paraId="652F01C3" w14:textId="77777777" w:rsidTr="00D2543C">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E64E48E" w14:textId="424DC3A1" w:rsidR="00D2543C" w:rsidRPr="002D2560" w:rsidRDefault="00D2543C" w:rsidP="00D2543C">
            <w:pPr>
              <w:spacing w:before="60" w:after="60"/>
              <w:jc w:val="center"/>
              <w:rPr>
                <w:rFonts w:cs="Arial"/>
                <w:color w:val="000000"/>
                <w:sz w:val="20"/>
                <w:szCs w:val="20"/>
                <w:lang w:val="en-AU"/>
              </w:rPr>
            </w:pPr>
            <w:r w:rsidRPr="002D2560">
              <w:rPr>
                <w:sz w:val="20"/>
                <w:szCs w:val="20"/>
                <w:lang w:val="en-AU"/>
              </w:rPr>
              <w:t>2022–23 (Jun – Dec)</w:t>
            </w:r>
          </w:p>
        </w:tc>
        <w:tc>
          <w:tcPr>
            <w:tcW w:w="4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FA0C193" w14:textId="0025A3DD" w:rsidR="00D2543C" w:rsidRPr="002D2560" w:rsidRDefault="00D2543C" w:rsidP="00D2543C">
            <w:pPr>
              <w:spacing w:before="60" w:after="60"/>
              <w:jc w:val="center"/>
              <w:rPr>
                <w:rFonts w:cs="Arial"/>
                <w:color w:val="1C1C1C"/>
                <w:sz w:val="20"/>
                <w:szCs w:val="20"/>
                <w:lang w:val="en-AU"/>
              </w:rPr>
            </w:pPr>
            <w:r w:rsidRPr="002D2560">
              <w:rPr>
                <w:sz w:val="20"/>
                <w:szCs w:val="20"/>
                <w:lang w:val="en-AU"/>
              </w:rPr>
              <w:t>28 Apr 2023</w:t>
            </w:r>
          </w:p>
        </w:tc>
      </w:tr>
      <w:tr w:rsidR="00D2543C" w:rsidRPr="002D2560" w14:paraId="27A260B1" w14:textId="77777777" w:rsidTr="00D2543C">
        <w:trPr>
          <w:cnfStyle w:val="000000010000" w:firstRow="0" w:lastRow="0" w:firstColumn="0" w:lastColumn="0" w:oddVBand="0" w:evenVBand="0" w:oddHBand="0" w:evenHBand="1" w:firstRowFirstColumn="0" w:firstRowLastColumn="0" w:lastRowFirstColumn="0" w:lastRowLastColumn="0"/>
          <w:trHeight w:val="20"/>
        </w:trPr>
        <w:tc>
          <w:tcPr>
            <w:tcW w:w="4863" w:type="dxa"/>
            <w:tcBorders>
              <w:top w:val="none" w:sz="0" w:space="0" w:color="auto"/>
              <w:bottom w:val="none" w:sz="0" w:space="0" w:color="auto"/>
            </w:tcBorders>
            <w:shd w:val="clear" w:color="auto" w:fill="auto"/>
          </w:tcPr>
          <w:p w14:paraId="27E3D5AD" w14:textId="3F0C14E6" w:rsidR="00D2543C" w:rsidRPr="002D2560" w:rsidRDefault="00D2543C" w:rsidP="00D2543C">
            <w:pPr>
              <w:spacing w:before="60" w:after="60"/>
              <w:jc w:val="center"/>
              <w:rPr>
                <w:rFonts w:cs="Arial"/>
                <w:color w:val="000000"/>
                <w:sz w:val="20"/>
                <w:szCs w:val="20"/>
                <w:lang w:val="en-AU"/>
              </w:rPr>
            </w:pPr>
            <w:r w:rsidRPr="002D2560">
              <w:rPr>
                <w:sz w:val="20"/>
                <w:szCs w:val="20"/>
                <w:lang w:val="en-AU"/>
              </w:rPr>
              <w:t>2022–23 full year</w:t>
            </w:r>
          </w:p>
        </w:tc>
        <w:tc>
          <w:tcPr>
            <w:tcW w:w="4864" w:type="dxa"/>
            <w:tcBorders>
              <w:top w:val="none" w:sz="0" w:space="0" w:color="auto"/>
              <w:bottom w:val="none" w:sz="0" w:space="0" w:color="auto"/>
            </w:tcBorders>
            <w:shd w:val="clear" w:color="auto" w:fill="auto"/>
          </w:tcPr>
          <w:p w14:paraId="6A8912C8" w14:textId="4D8A9D90" w:rsidR="00D2543C" w:rsidRPr="002D2560" w:rsidRDefault="00D2543C" w:rsidP="00D2543C">
            <w:pPr>
              <w:spacing w:before="60" w:after="60"/>
              <w:jc w:val="center"/>
              <w:rPr>
                <w:rFonts w:cs="Arial"/>
                <w:color w:val="1C1C1C"/>
                <w:sz w:val="20"/>
                <w:szCs w:val="20"/>
                <w:lang w:val="en-AU"/>
              </w:rPr>
            </w:pPr>
            <w:r w:rsidRPr="002D2560">
              <w:rPr>
                <w:sz w:val="20"/>
                <w:szCs w:val="20"/>
                <w:lang w:val="en-AU"/>
              </w:rPr>
              <w:t>31 Oct 2023</w:t>
            </w:r>
          </w:p>
        </w:tc>
      </w:tr>
      <w:tr w:rsidR="00D2543C" w:rsidRPr="002D2560" w14:paraId="684C3DE8" w14:textId="77777777" w:rsidTr="00D2543C">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0066566" w14:textId="6F1DCA62" w:rsidR="00D2543C" w:rsidRPr="002D2560" w:rsidRDefault="00D2543C" w:rsidP="00D2543C">
            <w:pPr>
              <w:spacing w:before="60" w:after="60"/>
              <w:jc w:val="center"/>
              <w:rPr>
                <w:rFonts w:cs="Arial"/>
                <w:color w:val="000000"/>
                <w:sz w:val="20"/>
                <w:szCs w:val="20"/>
                <w:lang w:val="en-AU"/>
              </w:rPr>
            </w:pPr>
            <w:r w:rsidRPr="002D2560">
              <w:rPr>
                <w:sz w:val="20"/>
                <w:szCs w:val="20"/>
                <w:lang w:val="en-AU"/>
              </w:rPr>
              <w:t>2023–24 (Jun – Dec)</w:t>
            </w:r>
          </w:p>
        </w:tc>
        <w:tc>
          <w:tcPr>
            <w:tcW w:w="4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06CC849" w14:textId="6D6D676D" w:rsidR="00D2543C" w:rsidRPr="002D2560" w:rsidRDefault="00D2543C" w:rsidP="00D2543C">
            <w:pPr>
              <w:spacing w:before="60" w:after="60"/>
              <w:jc w:val="center"/>
              <w:rPr>
                <w:rFonts w:cs="Arial"/>
                <w:color w:val="1C1C1C"/>
                <w:sz w:val="20"/>
                <w:szCs w:val="20"/>
                <w:lang w:val="en-AU"/>
              </w:rPr>
            </w:pPr>
            <w:r w:rsidRPr="002D2560">
              <w:rPr>
                <w:sz w:val="20"/>
                <w:szCs w:val="20"/>
                <w:lang w:val="en-AU"/>
              </w:rPr>
              <w:t>30 Apr 2024</w:t>
            </w:r>
          </w:p>
        </w:tc>
      </w:tr>
      <w:tr w:rsidR="00D2543C" w:rsidRPr="002D2560" w14:paraId="5F64E58B" w14:textId="77777777" w:rsidTr="00D2543C">
        <w:trPr>
          <w:cnfStyle w:val="000000010000" w:firstRow="0" w:lastRow="0" w:firstColumn="0" w:lastColumn="0" w:oddVBand="0" w:evenVBand="0" w:oddHBand="0" w:evenHBand="1" w:firstRowFirstColumn="0" w:firstRowLastColumn="0" w:lastRowFirstColumn="0" w:lastRowLastColumn="0"/>
          <w:trHeight w:val="20"/>
        </w:trPr>
        <w:tc>
          <w:tcPr>
            <w:tcW w:w="4863" w:type="dxa"/>
            <w:tcBorders>
              <w:top w:val="none" w:sz="0" w:space="0" w:color="auto"/>
              <w:bottom w:val="none" w:sz="0" w:space="0" w:color="auto"/>
            </w:tcBorders>
            <w:shd w:val="clear" w:color="auto" w:fill="auto"/>
          </w:tcPr>
          <w:p w14:paraId="499C3369" w14:textId="19259FAF" w:rsidR="00D2543C" w:rsidRPr="002D2560" w:rsidRDefault="00D2543C" w:rsidP="00D2543C">
            <w:pPr>
              <w:spacing w:before="60" w:after="60"/>
              <w:jc w:val="center"/>
              <w:rPr>
                <w:rFonts w:cs="Arial"/>
                <w:color w:val="000000"/>
                <w:sz w:val="20"/>
                <w:szCs w:val="20"/>
                <w:lang w:val="en-AU"/>
              </w:rPr>
            </w:pPr>
            <w:r w:rsidRPr="002D2560">
              <w:rPr>
                <w:sz w:val="20"/>
                <w:szCs w:val="20"/>
                <w:lang w:val="en-AU"/>
              </w:rPr>
              <w:t xml:space="preserve">2023–24 full year </w:t>
            </w:r>
          </w:p>
        </w:tc>
        <w:tc>
          <w:tcPr>
            <w:tcW w:w="4864" w:type="dxa"/>
            <w:tcBorders>
              <w:top w:val="none" w:sz="0" w:space="0" w:color="auto"/>
              <w:bottom w:val="none" w:sz="0" w:space="0" w:color="auto"/>
            </w:tcBorders>
            <w:shd w:val="clear" w:color="auto" w:fill="auto"/>
          </w:tcPr>
          <w:p w14:paraId="086D2D06" w14:textId="536BC361" w:rsidR="00D2543C" w:rsidRPr="002D2560" w:rsidRDefault="00D2543C" w:rsidP="00D2543C">
            <w:pPr>
              <w:spacing w:before="60" w:after="60"/>
              <w:jc w:val="center"/>
              <w:rPr>
                <w:rFonts w:cs="Arial"/>
                <w:color w:val="1C1C1C"/>
                <w:sz w:val="20"/>
                <w:szCs w:val="20"/>
                <w:lang w:val="en-AU"/>
              </w:rPr>
            </w:pPr>
            <w:r w:rsidRPr="002D2560">
              <w:rPr>
                <w:sz w:val="20"/>
                <w:szCs w:val="20"/>
                <w:lang w:val="en-AU"/>
              </w:rPr>
              <w:t>31 Oct 2024</w:t>
            </w:r>
          </w:p>
        </w:tc>
      </w:tr>
      <w:tr w:rsidR="00D2543C" w:rsidRPr="002D2560" w14:paraId="16D55C58" w14:textId="77777777" w:rsidTr="00D2543C">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7637C1E" w14:textId="268AC449" w:rsidR="00D2543C" w:rsidRPr="002D2560" w:rsidRDefault="00D2543C" w:rsidP="00D2543C">
            <w:pPr>
              <w:spacing w:before="60" w:after="60"/>
              <w:jc w:val="center"/>
              <w:rPr>
                <w:rFonts w:cs="Arial"/>
                <w:color w:val="000000"/>
                <w:sz w:val="20"/>
                <w:szCs w:val="20"/>
                <w:lang w:val="en-AU"/>
              </w:rPr>
            </w:pPr>
            <w:r w:rsidRPr="002D2560">
              <w:rPr>
                <w:sz w:val="20"/>
                <w:szCs w:val="20"/>
                <w:lang w:val="en-AU"/>
              </w:rPr>
              <w:t>2024–25 (Jun – Dec)</w:t>
            </w:r>
          </w:p>
        </w:tc>
        <w:tc>
          <w:tcPr>
            <w:tcW w:w="4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E9D626B" w14:textId="140517E0" w:rsidR="00D2543C" w:rsidRPr="002D2560" w:rsidRDefault="00D2543C" w:rsidP="00D2543C">
            <w:pPr>
              <w:spacing w:before="60" w:after="60"/>
              <w:jc w:val="center"/>
              <w:rPr>
                <w:rFonts w:cs="Arial"/>
                <w:color w:val="1C1C1C"/>
                <w:sz w:val="20"/>
                <w:szCs w:val="20"/>
                <w:lang w:val="en-AU"/>
              </w:rPr>
            </w:pPr>
            <w:r w:rsidRPr="002D2560">
              <w:rPr>
                <w:sz w:val="20"/>
                <w:szCs w:val="20"/>
                <w:lang w:val="en-AU"/>
              </w:rPr>
              <w:t>30 Apr 2025</w:t>
            </w:r>
          </w:p>
        </w:tc>
      </w:tr>
      <w:tr w:rsidR="00D2543C" w:rsidRPr="002D2560" w14:paraId="5301838F" w14:textId="77777777" w:rsidTr="00D2543C">
        <w:trPr>
          <w:cnfStyle w:val="000000010000" w:firstRow="0" w:lastRow="0" w:firstColumn="0" w:lastColumn="0" w:oddVBand="0" w:evenVBand="0" w:oddHBand="0" w:evenHBand="1" w:firstRowFirstColumn="0" w:firstRowLastColumn="0" w:lastRowFirstColumn="0" w:lastRowLastColumn="0"/>
          <w:trHeight w:val="20"/>
        </w:trPr>
        <w:tc>
          <w:tcPr>
            <w:tcW w:w="4863" w:type="dxa"/>
            <w:tcBorders>
              <w:top w:val="none" w:sz="0" w:space="0" w:color="auto"/>
              <w:bottom w:val="none" w:sz="0" w:space="0" w:color="auto"/>
            </w:tcBorders>
            <w:shd w:val="clear" w:color="auto" w:fill="auto"/>
          </w:tcPr>
          <w:p w14:paraId="12445BA9" w14:textId="2271A82B" w:rsidR="00D2543C" w:rsidRPr="002D2560" w:rsidRDefault="00D2543C" w:rsidP="00D2543C">
            <w:pPr>
              <w:spacing w:before="60" w:after="60"/>
              <w:jc w:val="center"/>
              <w:rPr>
                <w:rFonts w:cs="Arial"/>
                <w:color w:val="000000"/>
                <w:sz w:val="20"/>
                <w:szCs w:val="20"/>
                <w:lang w:val="en-AU"/>
              </w:rPr>
            </w:pPr>
            <w:r w:rsidRPr="002D2560">
              <w:rPr>
                <w:sz w:val="20"/>
                <w:szCs w:val="20"/>
                <w:lang w:val="en-AU"/>
              </w:rPr>
              <w:t>2024–25 full year</w:t>
            </w:r>
          </w:p>
        </w:tc>
        <w:tc>
          <w:tcPr>
            <w:tcW w:w="4864" w:type="dxa"/>
            <w:tcBorders>
              <w:top w:val="none" w:sz="0" w:space="0" w:color="auto"/>
              <w:bottom w:val="none" w:sz="0" w:space="0" w:color="auto"/>
            </w:tcBorders>
            <w:shd w:val="clear" w:color="auto" w:fill="auto"/>
          </w:tcPr>
          <w:p w14:paraId="637D2501" w14:textId="7D4D5182" w:rsidR="00D2543C" w:rsidRPr="002D2560" w:rsidRDefault="00D2543C" w:rsidP="00D2543C">
            <w:pPr>
              <w:spacing w:before="60" w:after="60"/>
              <w:jc w:val="center"/>
              <w:rPr>
                <w:rFonts w:cs="Arial"/>
                <w:color w:val="1C1C1C"/>
                <w:sz w:val="20"/>
                <w:szCs w:val="20"/>
                <w:lang w:val="en-AU"/>
              </w:rPr>
            </w:pPr>
            <w:r w:rsidRPr="002D2560">
              <w:rPr>
                <w:sz w:val="20"/>
                <w:szCs w:val="20"/>
                <w:lang w:val="en-AU"/>
              </w:rPr>
              <w:t>31 Oct 2025</w:t>
            </w:r>
          </w:p>
        </w:tc>
      </w:tr>
    </w:tbl>
    <w:p w14:paraId="6A96328F" w14:textId="0A570F35" w:rsidR="003156D4" w:rsidRPr="002D2560" w:rsidRDefault="003156D4" w:rsidP="003156D4">
      <w:pPr>
        <w:pStyle w:val="Heading2"/>
      </w:pPr>
      <w:r w:rsidRPr="002D2560">
        <w:t xml:space="preserve">Hospital </w:t>
      </w:r>
      <w:proofErr w:type="spellStart"/>
      <w:r w:rsidRPr="002D2560">
        <w:t>Casemix</w:t>
      </w:r>
      <w:proofErr w:type="spellEnd"/>
      <w:r w:rsidRPr="002D2560">
        <w:t xml:space="preserve"> Protocol </w:t>
      </w:r>
      <w:r w:rsidR="00D2543C" w:rsidRPr="002D2560">
        <w:t xml:space="preserve">and Private Hospital Data Bureau </w:t>
      </w:r>
      <w:r w:rsidRPr="002D2560">
        <w:t>collection</w:t>
      </w:r>
    </w:p>
    <w:p w14:paraId="7352A6C0" w14:textId="468E910C" w:rsidR="003156D4" w:rsidRPr="002D2560" w:rsidRDefault="003156D4" w:rsidP="00107591">
      <w:pPr>
        <w:rPr>
          <w:lang w:val="en-AU"/>
        </w:rPr>
      </w:pPr>
      <w:r w:rsidRPr="002D2560">
        <w:rPr>
          <w:lang w:val="en-AU"/>
        </w:rPr>
        <w:t>The Addendum includes clauses which have the intent to neutralise revenue at the hospital level for public and private patients. To implement these clauses IH</w:t>
      </w:r>
      <w:r w:rsidR="007F1B0A" w:rsidRPr="002D2560">
        <w:rPr>
          <w:lang w:val="en-AU"/>
        </w:rPr>
        <w:t>AC</w:t>
      </w:r>
      <w:r w:rsidRPr="002D2560">
        <w:rPr>
          <w:lang w:val="en-AU"/>
        </w:rPr>
        <w:t xml:space="preserve">PA has developed a methodology which utilises Hospital </w:t>
      </w:r>
      <w:proofErr w:type="spellStart"/>
      <w:r w:rsidRPr="002D2560">
        <w:rPr>
          <w:lang w:val="en-AU"/>
        </w:rPr>
        <w:t>Casemix</w:t>
      </w:r>
      <w:proofErr w:type="spellEnd"/>
      <w:r w:rsidRPr="002D2560">
        <w:rPr>
          <w:lang w:val="en-AU"/>
        </w:rPr>
        <w:t xml:space="preserve"> Protocol (HCP) data. Additional data on the actual state and territory payments to each Local </w:t>
      </w:r>
      <w:r w:rsidR="00D2543C" w:rsidRPr="002D2560">
        <w:rPr>
          <w:lang w:val="en-AU"/>
        </w:rPr>
        <w:t>h</w:t>
      </w:r>
      <w:r w:rsidRPr="002D2560">
        <w:rPr>
          <w:lang w:val="en-AU"/>
        </w:rPr>
        <w:t xml:space="preserve">ospital </w:t>
      </w:r>
      <w:r w:rsidR="00D2543C" w:rsidRPr="002D2560">
        <w:rPr>
          <w:lang w:val="en-AU"/>
        </w:rPr>
        <w:t>n</w:t>
      </w:r>
      <w:r w:rsidRPr="002D2560">
        <w:rPr>
          <w:lang w:val="en-AU"/>
        </w:rPr>
        <w:t>etwork (LHN) for public and private patients will also be required.</w:t>
      </w:r>
      <w:r w:rsidR="00D2543C" w:rsidRPr="002D2560">
        <w:rPr>
          <w:lang w:val="en-AU"/>
        </w:rPr>
        <w:t xml:space="preserve"> </w:t>
      </w:r>
      <w:r w:rsidRPr="002D2560">
        <w:rPr>
          <w:lang w:val="en-AU"/>
        </w:rPr>
        <w:t xml:space="preserve">As the quality and timeliness of the HCP collection is improved, the requirement for actual payments to LHNs may </w:t>
      </w:r>
      <w:r w:rsidR="00D2543C" w:rsidRPr="002D2560">
        <w:rPr>
          <w:lang w:val="en-AU"/>
        </w:rPr>
        <w:t xml:space="preserve">no longer </w:t>
      </w:r>
      <w:r w:rsidRPr="002D2560">
        <w:rPr>
          <w:lang w:val="en-AU"/>
        </w:rPr>
        <w:t>be required.</w:t>
      </w:r>
    </w:p>
    <w:p w14:paraId="7E17FBE5" w14:textId="77777777" w:rsidR="00D2543C" w:rsidRPr="002D2560" w:rsidRDefault="00D2543C" w:rsidP="00107591">
      <w:pPr>
        <w:rPr>
          <w:lang w:val="en-AU"/>
        </w:rPr>
      </w:pPr>
      <w:r w:rsidRPr="002D2560">
        <w:rPr>
          <w:lang w:val="en-AU"/>
        </w:rPr>
        <w:t>The Private Hospital Data Bureau (PHDB) data collection provides a national representation of all admitted episodes of care provided within private hospitals and day facilities, together with clinical, demographic and administrative information associated with these episodes, and associated charges raised by the hospital or day facility.</w:t>
      </w:r>
    </w:p>
    <w:p w14:paraId="44D416A6" w14:textId="606F01D1" w:rsidR="003156D4" w:rsidRPr="002D2560" w:rsidRDefault="003156D4" w:rsidP="00107591">
      <w:pPr>
        <w:rPr>
          <w:lang w:val="en-AU"/>
        </w:rPr>
      </w:pPr>
      <w:r w:rsidRPr="002D2560">
        <w:rPr>
          <w:lang w:val="en-AU"/>
        </w:rPr>
        <w:t>IH</w:t>
      </w:r>
      <w:r w:rsidR="007F1B0A" w:rsidRPr="002D2560">
        <w:rPr>
          <w:lang w:val="en-AU"/>
        </w:rPr>
        <w:t>AC</w:t>
      </w:r>
      <w:r w:rsidRPr="002D2560">
        <w:rPr>
          <w:lang w:val="en-AU"/>
        </w:rPr>
        <w:t xml:space="preserve">PA uses the HCP </w:t>
      </w:r>
      <w:r w:rsidR="00FB2F89" w:rsidRPr="002D2560">
        <w:rPr>
          <w:lang w:val="en-AU"/>
        </w:rPr>
        <w:t xml:space="preserve">and PHDB </w:t>
      </w:r>
      <w:r w:rsidRPr="002D2560">
        <w:rPr>
          <w:lang w:val="en-AU"/>
        </w:rPr>
        <w:t xml:space="preserve">collection provided by the Department of Health </w:t>
      </w:r>
      <w:r w:rsidR="007F1B0A" w:rsidRPr="002D2560">
        <w:rPr>
          <w:lang w:val="en-AU"/>
        </w:rPr>
        <w:t>and Aged Care</w:t>
      </w:r>
      <w:r w:rsidR="00FB2F89" w:rsidRPr="002D2560">
        <w:rPr>
          <w:lang w:val="en-AU"/>
        </w:rPr>
        <w:t xml:space="preserve"> according to the timelines outlined below</w:t>
      </w:r>
      <w:r w:rsidR="007F1B0A" w:rsidRPr="002D2560">
        <w:rPr>
          <w:lang w:val="en-AU"/>
        </w:rPr>
        <w:t xml:space="preserve"> </w:t>
      </w:r>
      <w:r w:rsidRPr="002D2560">
        <w:rPr>
          <w:lang w:val="en-AU"/>
        </w:rPr>
        <w:t>to:</w:t>
      </w:r>
    </w:p>
    <w:p w14:paraId="704A84F5" w14:textId="77777777" w:rsidR="003156D4" w:rsidRPr="002D2560" w:rsidRDefault="003156D4" w:rsidP="005318DB">
      <w:pPr>
        <w:pStyle w:val="ListParagraph"/>
        <w:numPr>
          <w:ilvl w:val="0"/>
          <w:numId w:val="12"/>
        </w:numPr>
        <w:ind w:right="-177"/>
        <w:rPr>
          <w:lang w:val="en-AU"/>
        </w:rPr>
      </w:pPr>
      <w:r w:rsidRPr="002D2560">
        <w:rPr>
          <w:lang w:val="en-AU"/>
        </w:rPr>
        <w:t>determine a correction factor for under-attribution of medical costs across all patients as costs associated with medical practitioners are applied equally across public and private patients</w:t>
      </w:r>
    </w:p>
    <w:p w14:paraId="743FE491" w14:textId="665F60FC" w:rsidR="00FB2F89" w:rsidRPr="002D2560" w:rsidRDefault="003156D4" w:rsidP="003156D4">
      <w:pPr>
        <w:pStyle w:val="ListParagraph"/>
        <w:numPr>
          <w:ilvl w:val="0"/>
          <w:numId w:val="12"/>
        </w:numPr>
        <w:rPr>
          <w:lang w:val="en-AU"/>
        </w:rPr>
      </w:pPr>
      <w:r w:rsidRPr="002D2560">
        <w:rPr>
          <w:lang w:val="en-AU"/>
        </w:rPr>
        <w:t xml:space="preserve">identify payments made by insurers and the </w:t>
      </w:r>
      <w:r w:rsidR="00D2543C" w:rsidRPr="002D2560">
        <w:rPr>
          <w:lang w:val="en-AU"/>
        </w:rPr>
        <w:t>MBS</w:t>
      </w:r>
      <w:r w:rsidRPr="002D2560">
        <w:rPr>
          <w:lang w:val="en-AU"/>
        </w:rPr>
        <w:t xml:space="preserve"> for private patients in public hospitals</w:t>
      </w:r>
    </w:p>
    <w:p w14:paraId="281F4BE5" w14:textId="421E7937" w:rsidR="00062AB7" w:rsidRPr="002D2560" w:rsidRDefault="00FB2F89" w:rsidP="003156D4">
      <w:pPr>
        <w:pStyle w:val="ListParagraph"/>
        <w:numPr>
          <w:ilvl w:val="0"/>
          <w:numId w:val="12"/>
        </w:numPr>
        <w:rPr>
          <w:lang w:val="en-AU"/>
        </w:rPr>
      </w:pPr>
      <w:r w:rsidRPr="002D2560">
        <w:rPr>
          <w:lang w:val="en-AU"/>
        </w:rPr>
        <w:t xml:space="preserve">quantify </w:t>
      </w:r>
      <w:r w:rsidR="002A50EE" w:rsidRPr="002D2560">
        <w:rPr>
          <w:lang w:val="en-AU"/>
        </w:rPr>
        <w:t>and</w:t>
      </w:r>
      <w:r w:rsidRPr="002D2560">
        <w:rPr>
          <w:lang w:val="en-AU"/>
        </w:rPr>
        <w:t xml:space="preserve"> analyse admitted activity undertaken in private hospitals and day facilities</w:t>
      </w:r>
    </w:p>
    <w:p w14:paraId="1C091F64" w14:textId="45C02030" w:rsidR="003156D4" w:rsidRPr="002D2560" w:rsidRDefault="00FB2F89" w:rsidP="003156D4">
      <w:pPr>
        <w:pStyle w:val="ListParagraph"/>
        <w:numPr>
          <w:ilvl w:val="0"/>
          <w:numId w:val="12"/>
        </w:numPr>
        <w:rPr>
          <w:lang w:val="en-AU"/>
        </w:rPr>
      </w:pPr>
      <w:r w:rsidRPr="002D2560">
        <w:rPr>
          <w:lang w:val="en-AU"/>
        </w:rPr>
        <w:t>provide</w:t>
      </w:r>
      <w:r w:rsidR="00062AB7" w:rsidRPr="002D2560">
        <w:rPr>
          <w:lang w:val="en-AU"/>
        </w:rPr>
        <w:t xml:space="preserve"> advice</w:t>
      </w:r>
      <w:r w:rsidRPr="002D2560">
        <w:rPr>
          <w:lang w:val="en-AU"/>
        </w:rPr>
        <w:t xml:space="preserve"> to the </w:t>
      </w:r>
      <w:r w:rsidR="00DE6715" w:rsidRPr="002D2560">
        <w:rPr>
          <w:lang w:val="en-AU"/>
        </w:rPr>
        <w:t xml:space="preserve">Commonwealth </w:t>
      </w:r>
      <w:r w:rsidRPr="002D2560">
        <w:rPr>
          <w:lang w:val="en-AU"/>
        </w:rPr>
        <w:t>Department of Health and Aged Care to support the implementation of Prostheses List reforms</w:t>
      </w:r>
      <w:r w:rsidR="003156D4" w:rsidRPr="002D2560">
        <w:rPr>
          <w:lang w:val="en-AU"/>
        </w:rPr>
        <w:t>.</w:t>
      </w:r>
    </w:p>
    <w:p w14:paraId="44A10A5E" w14:textId="74188566" w:rsidR="003156D4" w:rsidRPr="002D2560" w:rsidRDefault="003156D4" w:rsidP="003156D4">
      <w:pPr>
        <w:rPr>
          <w:b/>
          <w:bCs/>
          <w:lang w:val="en-AU"/>
        </w:rPr>
      </w:pPr>
      <w:r w:rsidRPr="002D2560">
        <w:rPr>
          <w:b/>
          <w:bCs/>
          <w:lang w:val="en-AU"/>
        </w:rPr>
        <w:lastRenderedPageBreak/>
        <w:t xml:space="preserve">Table </w:t>
      </w:r>
      <w:r w:rsidR="002A50EE" w:rsidRPr="002D2560">
        <w:rPr>
          <w:b/>
          <w:bCs/>
          <w:lang w:val="en-AU"/>
        </w:rPr>
        <w:t>7</w:t>
      </w:r>
      <w:r w:rsidR="005E330F" w:rsidRPr="002D2560">
        <w:rPr>
          <w:b/>
          <w:bCs/>
          <w:lang w:val="en-AU"/>
        </w:rPr>
        <w:t>.</w:t>
      </w:r>
      <w:r w:rsidRPr="002D2560">
        <w:rPr>
          <w:b/>
          <w:bCs/>
          <w:lang w:val="en-AU"/>
        </w:rPr>
        <w:t xml:space="preserve"> Timeline for Commonwealth Hospital </w:t>
      </w:r>
      <w:proofErr w:type="spellStart"/>
      <w:r w:rsidRPr="002D2560">
        <w:rPr>
          <w:b/>
          <w:bCs/>
          <w:lang w:val="en-AU"/>
        </w:rPr>
        <w:t>Casemix</w:t>
      </w:r>
      <w:proofErr w:type="spellEnd"/>
      <w:r w:rsidRPr="002D2560">
        <w:rPr>
          <w:b/>
          <w:bCs/>
          <w:lang w:val="en-AU"/>
        </w:rPr>
        <w:t xml:space="preserve"> Protocol </w:t>
      </w:r>
      <w:r w:rsidR="00FB2F89" w:rsidRPr="002D2560">
        <w:rPr>
          <w:b/>
          <w:bCs/>
          <w:lang w:val="en-AU"/>
        </w:rPr>
        <w:t xml:space="preserve">and Private Hospital Data Bureau </w:t>
      </w:r>
      <w:r w:rsidRPr="002D2560">
        <w:rPr>
          <w:b/>
          <w:bCs/>
          <w:lang w:val="en-AU"/>
        </w:rPr>
        <w:t>data submission</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863"/>
        <w:gridCol w:w="4864"/>
      </w:tblGrid>
      <w:tr w:rsidR="003156D4" w:rsidRPr="002D2560" w14:paraId="6337D139" w14:textId="77777777" w:rsidTr="00B33F98">
        <w:trPr>
          <w:cnfStyle w:val="100000000000" w:firstRow="1" w:lastRow="0" w:firstColumn="0" w:lastColumn="0" w:oddVBand="0" w:evenVBand="0" w:oddHBand="0" w:evenHBand="0" w:firstRowFirstColumn="0" w:firstRowLastColumn="0" w:lastRowFirstColumn="0" w:lastRowLastColumn="0"/>
          <w:trHeight w:val="20"/>
        </w:trPr>
        <w:tc>
          <w:tcPr>
            <w:tcW w:w="4863" w:type="dxa"/>
            <w:shd w:val="clear" w:color="auto" w:fill="104F99" w:themeFill="accent2"/>
            <w:vAlign w:val="center"/>
          </w:tcPr>
          <w:p w14:paraId="1259C81D" w14:textId="77777777" w:rsidR="003156D4" w:rsidRPr="002D2560" w:rsidRDefault="003156D4" w:rsidP="00FB2F89">
            <w:pPr>
              <w:spacing w:before="60" w:after="60"/>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reporting period</w:t>
            </w:r>
          </w:p>
        </w:tc>
        <w:tc>
          <w:tcPr>
            <w:tcW w:w="4864" w:type="dxa"/>
            <w:shd w:val="clear" w:color="auto" w:fill="104F99" w:themeFill="accent2"/>
            <w:vAlign w:val="center"/>
          </w:tcPr>
          <w:p w14:paraId="195EC1A7" w14:textId="77777777" w:rsidR="003156D4" w:rsidRPr="002D2560" w:rsidRDefault="003156D4" w:rsidP="00FB2F89">
            <w:pPr>
              <w:spacing w:before="60" w:after="60"/>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required</w:t>
            </w:r>
          </w:p>
        </w:tc>
      </w:tr>
      <w:tr w:rsidR="003156D4" w:rsidRPr="002D2560" w14:paraId="1E6293A9" w14:textId="77777777" w:rsidTr="00B33F98">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B152784" w14:textId="3393458D" w:rsidR="003156D4" w:rsidRPr="002D2560" w:rsidRDefault="003156D4" w:rsidP="00FB2F89">
            <w:pPr>
              <w:spacing w:before="60" w:after="60"/>
              <w:jc w:val="center"/>
              <w:rPr>
                <w:sz w:val="20"/>
                <w:szCs w:val="20"/>
                <w:lang w:val="en-AU"/>
              </w:rPr>
            </w:pPr>
            <w:r w:rsidRPr="002D2560">
              <w:rPr>
                <w:sz w:val="20"/>
                <w:szCs w:val="20"/>
                <w:lang w:val="en-AU"/>
              </w:rPr>
              <w:t>2022–23 (Jun – Dec)</w:t>
            </w:r>
          </w:p>
        </w:tc>
        <w:tc>
          <w:tcPr>
            <w:tcW w:w="4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599F541" w14:textId="33E0107C" w:rsidR="003156D4" w:rsidRPr="002D2560" w:rsidRDefault="003156D4" w:rsidP="00FB2F89">
            <w:pPr>
              <w:spacing w:before="60" w:after="60"/>
              <w:jc w:val="center"/>
              <w:rPr>
                <w:sz w:val="20"/>
                <w:szCs w:val="20"/>
                <w:lang w:val="en-AU"/>
              </w:rPr>
            </w:pPr>
            <w:r w:rsidRPr="002D2560">
              <w:rPr>
                <w:sz w:val="20"/>
                <w:szCs w:val="20"/>
                <w:lang w:val="en-AU"/>
              </w:rPr>
              <w:t>28 Apr 2023</w:t>
            </w:r>
          </w:p>
        </w:tc>
      </w:tr>
      <w:tr w:rsidR="003156D4" w:rsidRPr="002D2560" w14:paraId="6E125470" w14:textId="77777777" w:rsidTr="00B33F98">
        <w:trPr>
          <w:cnfStyle w:val="000000010000" w:firstRow="0" w:lastRow="0" w:firstColumn="0" w:lastColumn="0" w:oddVBand="0" w:evenVBand="0" w:oddHBand="0" w:evenHBand="1" w:firstRowFirstColumn="0" w:firstRowLastColumn="0" w:lastRowFirstColumn="0" w:lastRowLastColumn="0"/>
          <w:trHeight w:val="20"/>
        </w:trPr>
        <w:tc>
          <w:tcPr>
            <w:tcW w:w="4863" w:type="dxa"/>
            <w:tcBorders>
              <w:top w:val="none" w:sz="0" w:space="0" w:color="auto"/>
              <w:bottom w:val="none" w:sz="0" w:space="0" w:color="auto"/>
            </w:tcBorders>
            <w:shd w:val="clear" w:color="auto" w:fill="auto"/>
            <w:vAlign w:val="center"/>
          </w:tcPr>
          <w:p w14:paraId="57CAE5F5" w14:textId="35E52BDB" w:rsidR="003156D4" w:rsidRPr="002D2560" w:rsidRDefault="003156D4" w:rsidP="00FB2F89">
            <w:pPr>
              <w:spacing w:before="60" w:after="60"/>
              <w:jc w:val="center"/>
              <w:rPr>
                <w:sz w:val="20"/>
                <w:szCs w:val="20"/>
                <w:lang w:val="en-AU"/>
              </w:rPr>
            </w:pPr>
            <w:r w:rsidRPr="002D2560">
              <w:rPr>
                <w:sz w:val="20"/>
                <w:szCs w:val="20"/>
                <w:lang w:val="en-AU"/>
              </w:rPr>
              <w:t>2022–23 full year</w:t>
            </w:r>
          </w:p>
        </w:tc>
        <w:tc>
          <w:tcPr>
            <w:tcW w:w="4864" w:type="dxa"/>
            <w:tcBorders>
              <w:top w:val="none" w:sz="0" w:space="0" w:color="auto"/>
              <w:bottom w:val="none" w:sz="0" w:space="0" w:color="auto"/>
            </w:tcBorders>
            <w:shd w:val="clear" w:color="auto" w:fill="auto"/>
            <w:vAlign w:val="center"/>
          </w:tcPr>
          <w:p w14:paraId="1DE4D028" w14:textId="33D03CFD" w:rsidR="003156D4" w:rsidRPr="002D2560" w:rsidRDefault="003156D4" w:rsidP="00FB2F89">
            <w:pPr>
              <w:spacing w:before="60" w:after="60"/>
              <w:jc w:val="center"/>
              <w:rPr>
                <w:sz w:val="20"/>
                <w:szCs w:val="20"/>
                <w:lang w:val="en-AU"/>
              </w:rPr>
            </w:pPr>
            <w:r w:rsidRPr="002D2560">
              <w:rPr>
                <w:sz w:val="20"/>
                <w:szCs w:val="20"/>
                <w:lang w:val="en-AU"/>
              </w:rPr>
              <w:t>31 Oct 2023</w:t>
            </w:r>
          </w:p>
        </w:tc>
      </w:tr>
      <w:tr w:rsidR="003156D4" w:rsidRPr="002D2560" w14:paraId="14A6E239" w14:textId="77777777" w:rsidTr="00B33F98">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9146ACE" w14:textId="56C073E0" w:rsidR="003156D4" w:rsidRPr="002D2560" w:rsidRDefault="003156D4" w:rsidP="00FB2F89">
            <w:pPr>
              <w:spacing w:before="60" w:after="60"/>
              <w:jc w:val="center"/>
              <w:rPr>
                <w:sz w:val="20"/>
                <w:szCs w:val="20"/>
                <w:lang w:val="en-AU"/>
              </w:rPr>
            </w:pPr>
            <w:r w:rsidRPr="002D2560">
              <w:rPr>
                <w:sz w:val="20"/>
                <w:szCs w:val="20"/>
                <w:lang w:val="en-AU"/>
              </w:rPr>
              <w:t>2023–24 (Jun – Dec)</w:t>
            </w:r>
          </w:p>
        </w:tc>
        <w:tc>
          <w:tcPr>
            <w:tcW w:w="4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7F52557F" w14:textId="302A3A88" w:rsidR="003156D4" w:rsidRPr="002D2560" w:rsidRDefault="003156D4" w:rsidP="00FB2F89">
            <w:pPr>
              <w:spacing w:before="60" w:after="60"/>
              <w:jc w:val="center"/>
              <w:rPr>
                <w:sz w:val="20"/>
                <w:szCs w:val="20"/>
                <w:lang w:val="en-AU"/>
              </w:rPr>
            </w:pPr>
            <w:r w:rsidRPr="002D2560">
              <w:rPr>
                <w:sz w:val="20"/>
                <w:szCs w:val="20"/>
                <w:lang w:val="en-AU"/>
              </w:rPr>
              <w:t>30 Apr 2024</w:t>
            </w:r>
          </w:p>
        </w:tc>
      </w:tr>
      <w:tr w:rsidR="003156D4" w:rsidRPr="002D2560" w14:paraId="08852EE2" w14:textId="77777777" w:rsidTr="00FB2F89">
        <w:trPr>
          <w:cnfStyle w:val="000000010000" w:firstRow="0" w:lastRow="0" w:firstColumn="0" w:lastColumn="0" w:oddVBand="0" w:evenVBand="0" w:oddHBand="0" w:evenHBand="1" w:firstRowFirstColumn="0" w:firstRowLastColumn="0" w:lastRowFirstColumn="0" w:lastRowLastColumn="0"/>
          <w:trHeight w:val="20"/>
        </w:trPr>
        <w:tc>
          <w:tcPr>
            <w:tcW w:w="4863" w:type="dxa"/>
            <w:tcBorders>
              <w:top w:val="none" w:sz="0" w:space="0" w:color="auto"/>
              <w:bottom w:val="none" w:sz="0" w:space="0" w:color="auto"/>
            </w:tcBorders>
            <w:shd w:val="clear" w:color="auto" w:fill="auto"/>
            <w:vAlign w:val="center"/>
          </w:tcPr>
          <w:p w14:paraId="7BFE207E" w14:textId="213575E1" w:rsidR="003156D4" w:rsidRPr="002D2560" w:rsidRDefault="003156D4" w:rsidP="00FB2F89">
            <w:pPr>
              <w:spacing w:before="60" w:after="60"/>
              <w:jc w:val="center"/>
              <w:rPr>
                <w:rFonts w:cs="Arial"/>
                <w:color w:val="000000"/>
                <w:sz w:val="20"/>
                <w:szCs w:val="20"/>
                <w:lang w:val="en-AU"/>
              </w:rPr>
            </w:pPr>
            <w:r w:rsidRPr="002D2560">
              <w:rPr>
                <w:sz w:val="20"/>
                <w:szCs w:val="20"/>
                <w:lang w:val="en-AU"/>
              </w:rPr>
              <w:t>2023–24 full year</w:t>
            </w:r>
          </w:p>
        </w:tc>
        <w:tc>
          <w:tcPr>
            <w:tcW w:w="4864" w:type="dxa"/>
            <w:tcBorders>
              <w:top w:val="none" w:sz="0" w:space="0" w:color="auto"/>
              <w:bottom w:val="none" w:sz="0" w:space="0" w:color="auto"/>
            </w:tcBorders>
            <w:shd w:val="clear" w:color="auto" w:fill="auto"/>
            <w:vAlign w:val="center"/>
          </w:tcPr>
          <w:p w14:paraId="5F317C94" w14:textId="5718D08F" w:rsidR="003156D4" w:rsidRPr="002D2560" w:rsidRDefault="003156D4" w:rsidP="00FB2F89">
            <w:pPr>
              <w:spacing w:before="60" w:after="60"/>
              <w:jc w:val="center"/>
              <w:rPr>
                <w:rFonts w:cs="Arial"/>
                <w:color w:val="1C1C1C"/>
                <w:sz w:val="20"/>
                <w:szCs w:val="20"/>
                <w:lang w:val="en-AU"/>
              </w:rPr>
            </w:pPr>
            <w:r w:rsidRPr="002D2560">
              <w:rPr>
                <w:sz w:val="20"/>
                <w:szCs w:val="20"/>
                <w:lang w:val="en-AU"/>
              </w:rPr>
              <w:t>31 Oct 2024</w:t>
            </w:r>
          </w:p>
        </w:tc>
      </w:tr>
      <w:tr w:rsidR="00FB2F89" w:rsidRPr="002D2560" w14:paraId="52288EAE" w14:textId="77777777" w:rsidTr="00FB2F89">
        <w:trPr>
          <w:cnfStyle w:val="000000100000" w:firstRow="0" w:lastRow="0" w:firstColumn="0" w:lastColumn="0" w:oddVBand="0" w:evenVBand="0" w:oddHBand="1" w:evenHBand="0" w:firstRowFirstColumn="0" w:firstRowLastColumn="0" w:lastRowFirstColumn="0" w:lastRowLastColumn="0"/>
          <w:trHeight w:val="20"/>
        </w:trPr>
        <w:tc>
          <w:tcPr>
            <w:tcW w:w="48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6826CA7" w14:textId="53C1A0F2" w:rsidR="00FB2F89" w:rsidRPr="002D2560" w:rsidRDefault="00FB2F89" w:rsidP="00FB2F89">
            <w:pPr>
              <w:spacing w:before="60" w:after="60"/>
              <w:jc w:val="center"/>
              <w:rPr>
                <w:sz w:val="20"/>
                <w:szCs w:val="20"/>
                <w:lang w:val="en-AU"/>
              </w:rPr>
            </w:pPr>
            <w:r w:rsidRPr="002D2560">
              <w:rPr>
                <w:sz w:val="20"/>
                <w:szCs w:val="20"/>
                <w:lang w:val="en-AU"/>
              </w:rPr>
              <w:t>2024–25 (Jun – Dec)</w:t>
            </w:r>
          </w:p>
        </w:tc>
        <w:tc>
          <w:tcPr>
            <w:tcW w:w="4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48F226E" w14:textId="5CE52F29" w:rsidR="00FB2F89" w:rsidRPr="002D2560" w:rsidRDefault="00FB2F89" w:rsidP="00FB2F89">
            <w:pPr>
              <w:spacing w:before="60" w:after="60"/>
              <w:jc w:val="center"/>
              <w:rPr>
                <w:sz w:val="20"/>
                <w:szCs w:val="20"/>
                <w:lang w:val="en-AU"/>
              </w:rPr>
            </w:pPr>
            <w:r w:rsidRPr="002D2560">
              <w:rPr>
                <w:sz w:val="20"/>
                <w:szCs w:val="20"/>
                <w:lang w:val="en-AU"/>
              </w:rPr>
              <w:t>30 Apr 2025</w:t>
            </w:r>
          </w:p>
        </w:tc>
      </w:tr>
      <w:tr w:rsidR="00FB2F89" w:rsidRPr="002D2560" w14:paraId="7DB42719" w14:textId="77777777" w:rsidTr="00FB2F89">
        <w:trPr>
          <w:cnfStyle w:val="000000010000" w:firstRow="0" w:lastRow="0" w:firstColumn="0" w:lastColumn="0" w:oddVBand="0" w:evenVBand="0" w:oddHBand="0" w:evenHBand="1" w:firstRowFirstColumn="0" w:firstRowLastColumn="0" w:lastRowFirstColumn="0" w:lastRowLastColumn="0"/>
          <w:trHeight w:val="20"/>
        </w:trPr>
        <w:tc>
          <w:tcPr>
            <w:tcW w:w="4863" w:type="dxa"/>
            <w:tcBorders>
              <w:top w:val="none" w:sz="0" w:space="0" w:color="auto"/>
              <w:bottom w:val="none" w:sz="0" w:space="0" w:color="auto"/>
            </w:tcBorders>
            <w:shd w:val="clear" w:color="auto" w:fill="auto"/>
            <w:vAlign w:val="center"/>
          </w:tcPr>
          <w:p w14:paraId="65CF710B" w14:textId="5F4F25F6" w:rsidR="00FB2F89" w:rsidRPr="002D2560" w:rsidRDefault="00FB2F89" w:rsidP="00FB2F89">
            <w:pPr>
              <w:spacing w:before="60" w:after="60"/>
              <w:jc w:val="center"/>
              <w:rPr>
                <w:sz w:val="20"/>
                <w:szCs w:val="20"/>
                <w:lang w:val="en-AU"/>
              </w:rPr>
            </w:pPr>
            <w:r w:rsidRPr="002D2560">
              <w:rPr>
                <w:sz w:val="20"/>
                <w:szCs w:val="20"/>
                <w:lang w:val="en-AU"/>
              </w:rPr>
              <w:t>2024–25 full year</w:t>
            </w:r>
          </w:p>
        </w:tc>
        <w:tc>
          <w:tcPr>
            <w:tcW w:w="4864" w:type="dxa"/>
            <w:tcBorders>
              <w:top w:val="none" w:sz="0" w:space="0" w:color="auto"/>
              <w:bottom w:val="none" w:sz="0" w:space="0" w:color="auto"/>
            </w:tcBorders>
            <w:shd w:val="clear" w:color="auto" w:fill="auto"/>
            <w:vAlign w:val="center"/>
          </w:tcPr>
          <w:p w14:paraId="62309AEB" w14:textId="7A70480C" w:rsidR="00FB2F89" w:rsidRPr="002D2560" w:rsidRDefault="00FB2F89" w:rsidP="00FB2F89">
            <w:pPr>
              <w:spacing w:before="60" w:after="60"/>
              <w:jc w:val="center"/>
              <w:rPr>
                <w:sz w:val="20"/>
                <w:szCs w:val="20"/>
                <w:lang w:val="en-AU"/>
              </w:rPr>
            </w:pPr>
            <w:r w:rsidRPr="002D2560">
              <w:rPr>
                <w:sz w:val="20"/>
                <w:szCs w:val="20"/>
                <w:lang w:val="en-AU"/>
              </w:rPr>
              <w:t>31 Oct 2025</w:t>
            </w:r>
          </w:p>
        </w:tc>
      </w:tr>
    </w:tbl>
    <w:p w14:paraId="23C0C4F3" w14:textId="48A28043" w:rsidR="003156D4" w:rsidRPr="002D2560" w:rsidRDefault="003156D4" w:rsidP="003156D4">
      <w:pPr>
        <w:pStyle w:val="Heading2"/>
      </w:pPr>
      <w:r w:rsidRPr="002D2560">
        <w:t>Pricing for safety and quality</w:t>
      </w:r>
    </w:p>
    <w:p w14:paraId="3550586C" w14:textId="3E97F836" w:rsidR="003156D4" w:rsidRPr="002D2560" w:rsidRDefault="003156D4" w:rsidP="00107591">
      <w:pPr>
        <w:rPr>
          <w:lang w:val="en-AU"/>
        </w:rPr>
      </w:pPr>
      <w:r w:rsidRPr="002D2560">
        <w:rPr>
          <w:lang w:val="en-AU"/>
        </w:rPr>
        <w:t>The Addendum requires IH</w:t>
      </w:r>
      <w:r w:rsidR="007F1B0A" w:rsidRPr="002D2560">
        <w:rPr>
          <w:lang w:val="en-AU"/>
        </w:rPr>
        <w:t>AC</w:t>
      </w:r>
      <w:r w:rsidRPr="002D2560">
        <w:rPr>
          <w:lang w:val="en-AU"/>
        </w:rPr>
        <w:t xml:space="preserve">PA to collaborate with </w:t>
      </w:r>
      <w:r w:rsidR="00701FD0" w:rsidRPr="002D2560">
        <w:rPr>
          <w:lang w:val="en-AU"/>
        </w:rPr>
        <w:t xml:space="preserve">the </w:t>
      </w:r>
      <w:r w:rsidRPr="002D2560">
        <w:rPr>
          <w:lang w:val="en-AU"/>
        </w:rPr>
        <w:t xml:space="preserve">jurisdictions and </w:t>
      </w:r>
      <w:r w:rsidR="00701FD0" w:rsidRPr="002D2560">
        <w:rPr>
          <w:lang w:val="en-AU"/>
        </w:rPr>
        <w:t xml:space="preserve">the </w:t>
      </w:r>
      <w:r w:rsidRPr="002D2560">
        <w:rPr>
          <w:lang w:val="en-AU"/>
        </w:rPr>
        <w:t>national bodies to determine how funding and pricing could be used to improve patient outcomes across three key areas:</w:t>
      </w:r>
    </w:p>
    <w:p w14:paraId="3E645949" w14:textId="77777777" w:rsidR="003156D4" w:rsidRPr="002D2560" w:rsidRDefault="003156D4" w:rsidP="003156D4">
      <w:pPr>
        <w:pStyle w:val="ListParagraph"/>
        <w:numPr>
          <w:ilvl w:val="0"/>
          <w:numId w:val="13"/>
        </w:numPr>
        <w:rPr>
          <w:lang w:val="en-AU"/>
        </w:rPr>
      </w:pPr>
      <w:r w:rsidRPr="002D2560">
        <w:rPr>
          <w:lang w:val="en-AU"/>
        </w:rPr>
        <w:t>sentinel events</w:t>
      </w:r>
    </w:p>
    <w:p w14:paraId="5E6ACBEB" w14:textId="77777777" w:rsidR="003156D4" w:rsidRPr="002D2560" w:rsidRDefault="003156D4" w:rsidP="003156D4">
      <w:pPr>
        <w:pStyle w:val="ListParagraph"/>
        <w:numPr>
          <w:ilvl w:val="0"/>
          <w:numId w:val="13"/>
        </w:numPr>
        <w:rPr>
          <w:lang w:val="en-AU"/>
        </w:rPr>
      </w:pPr>
      <w:r w:rsidRPr="002D2560">
        <w:rPr>
          <w:lang w:val="en-AU"/>
        </w:rPr>
        <w:t>hospital acquired complications</w:t>
      </w:r>
    </w:p>
    <w:p w14:paraId="34387E6B" w14:textId="0D38FDBC" w:rsidR="003156D4" w:rsidRPr="002D2560" w:rsidRDefault="003156D4" w:rsidP="003156D4">
      <w:pPr>
        <w:pStyle w:val="ListParagraph"/>
        <w:numPr>
          <w:ilvl w:val="0"/>
          <w:numId w:val="13"/>
        </w:numPr>
        <w:rPr>
          <w:lang w:val="en-AU"/>
        </w:rPr>
      </w:pPr>
      <w:r w:rsidRPr="002D2560">
        <w:rPr>
          <w:lang w:val="en-AU"/>
        </w:rPr>
        <w:t xml:space="preserve">avoidable hospital readmissions. </w:t>
      </w:r>
    </w:p>
    <w:p w14:paraId="7656941A" w14:textId="73B5163C" w:rsidR="003156D4" w:rsidRPr="002D2560" w:rsidRDefault="005F15C4" w:rsidP="003156D4">
      <w:pPr>
        <w:pStyle w:val="Heading3"/>
      </w:pPr>
      <w:r w:rsidRPr="002D2560">
        <w:t>5</w:t>
      </w:r>
      <w:r w:rsidR="001F7524" w:rsidRPr="002D2560">
        <w:t>.</w:t>
      </w:r>
      <w:r w:rsidR="00F74CE6" w:rsidRPr="002D2560">
        <w:t>8</w:t>
      </w:r>
      <w:r w:rsidR="001F7524" w:rsidRPr="002D2560">
        <w:t>.1</w:t>
      </w:r>
      <w:r w:rsidR="001F7524" w:rsidRPr="002D2560">
        <w:tab/>
      </w:r>
      <w:r w:rsidR="003156D4" w:rsidRPr="002D2560">
        <w:t>Sentinel events</w:t>
      </w:r>
    </w:p>
    <w:p w14:paraId="727CA35A" w14:textId="1A1E6C2E" w:rsidR="003156D4" w:rsidRPr="002D2560" w:rsidRDefault="003156D4" w:rsidP="00107591">
      <w:pPr>
        <w:rPr>
          <w:lang w:val="en-AU"/>
        </w:rPr>
      </w:pPr>
      <w:r w:rsidRPr="002D2560">
        <w:rPr>
          <w:lang w:val="en-AU"/>
        </w:rPr>
        <w:t>Since 1 July 2017, an episode of care (across all care streams) where a sentinel event occurs is not funded in its entirety. This funding approach use</w:t>
      </w:r>
      <w:r w:rsidR="002A50EE" w:rsidRPr="002D2560">
        <w:rPr>
          <w:lang w:val="en-AU"/>
        </w:rPr>
        <w:t>s</w:t>
      </w:r>
      <w:r w:rsidRPr="002D2560">
        <w:rPr>
          <w:lang w:val="en-AU"/>
        </w:rPr>
        <w:t xml:space="preserve"> the </w:t>
      </w:r>
      <w:hyperlink r:id="rId32" w:history="1">
        <w:r w:rsidR="00E763E3" w:rsidRPr="002D2560">
          <w:rPr>
            <w:rStyle w:val="Hyperlink"/>
            <w:lang w:val="en-AU"/>
          </w:rPr>
          <w:t>Australian</w:t>
        </w:r>
      </w:hyperlink>
      <w:r w:rsidR="00E763E3" w:rsidRPr="002D2560">
        <w:rPr>
          <w:rStyle w:val="Hyperlink"/>
          <w:lang w:val="en-AU"/>
        </w:rPr>
        <w:t xml:space="preserve"> Sentinel Events List</w:t>
      </w:r>
      <w:r w:rsidRPr="002D2560">
        <w:rPr>
          <w:lang w:val="en-AU"/>
        </w:rPr>
        <w:t xml:space="preserve"> agreed to by Australian Health Ministers in 2002.</w:t>
      </w:r>
    </w:p>
    <w:p w14:paraId="3293A1EA" w14:textId="08D4A379" w:rsidR="003156D4" w:rsidRPr="002D2560" w:rsidRDefault="003156D4" w:rsidP="00107591">
      <w:pPr>
        <w:rPr>
          <w:lang w:val="en-AU"/>
        </w:rPr>
      </w:pPr>
      <w:r w:rsidRPr="002D2560">
        <w:rPr>
          <w:lang w:val="en-AU"/>
        </w:rPr>
        <w:t>Under clause A166 of the Addendum, states and territories agree to apply a digital flag to any episode that includes a sentinel event and report the information to IH</w:t>
      </w:r>
      <w:r w:rsidR="007F1B0A" w:rsidRPr="002D2560">
        <w:rPr>
          <w:lang w:val="en-AU"/>
        </w:rPr>
        <w:t>AC</w:t>
      </w:r>
      <w:r w:rsidRPr="002D2560">
        <w:rPr>
          <w:lang w:val="en-AU"/>
        </w:rPr>
        <w:t xml:space="preserve">PA. The Australian Commission on Safety and Quality in Health Care maintains the data specifications for nationally consistent reporting of sentinel events. </w:t>
      </w:r>
    </w:p>
    <w:p w14:paraId="64B76F56" w14:textId="272DC026" w:rsidR="003156D4" w:rsidRPr="002D2560" w:rsidRDefault="005F15C4" w:rsidP="003156D4">
      <w:pPr>
        <w:pStyle w:val="Heading3"/>
      </w:pPr>
      <w:r w:rsidRPr="002D2560">
        <w:t>5</w:t>
      </w:r>
      <w:r w:rsidR="001F7524" w:rsidRPr="002D2560">
        <w:t>.</w:t>
      </w:r>
      <w:r w:rsidR="00F74CE6" w:rsidRPr="002D2560">
        <w:t>8</w:t>
      </w:r>
      <w:r w:rsidR="001F7524" w:rsidRPr="002D2560">
        <w:t>.2</w:t>
      </w:r>
      <w:r w:rsidR="001F7524" w:rsidRPr="002D2560">
        <w:tab/>
      </w:r>
      <w:r w:rsidR="003156D4" w:rsidRPr="002D2560">
        <w:t>Hospital acquired complications</w:t>
      </w:r>
    </w:p>
    <w:p w14:paraId="6C373492" w14:textId="116D8DAC" w:rsidR="003156D4" w:rsidRPr="002D2560" w:rsidRDefault="003156D4" w:rsidP="00107591">
      <w:pPr>
        <w:rPr>
          <w:lang w:val="en-AU"/>
        </w:rPr>
      </w:pPr>
      <w:r w:rsidRPr="002D2560">
        <w:rPr>
          <w:lang w:val="en-AU"/>
        </w:rPr>
        <w:t>Implementation of the approach for hospital acquired complications does not require states and territories to submit additional data to IH</w:t>
      </w:r>
      <w:r w:rsidR="007F1B0A" w:rsidRPr="002D2560">
        <w:rPr>
          <w:lang w:val="en-AU"/>
        </w:rPr>
        <w:t>AC</w:t>
      </w:r>
      <w:r w:rsidRPr="002D2560">
        <w:rPr>
          <w:lang w:val="en-AU"/>
        </w:rPr>
        <w:t xml:space="preserve">PA. </w:t>
      </w:r>
    </w:p>
    <w:p w14:paraId="1CE8A852" w14:textId="79B73B8D" w:rsidR="003156D4" w:rsidRPr="002D2560" w:rsidRDefault="005F15C4" w:rsidP="003156D4">
      <w:pPr>
        <w:pStyle w:val="Heading3"/>
      </w:pPr>
      <w:r w:rsidRPr="002D2560">
        <w:t>5</w:t>
      </w:r>
      <w:r w:rsidR="001F7524" w:rsidRPr="002D2560">
        <w:t>.</w:t>
      </w:r>
      <w:r w:rsidR="00F74CE6" w:rsidRPr="002D2560">
        <w:t>8</w:t>
      </w:r>
      <w:r w:rsidR="001F7524" w:rsidRPr="002D2560">
        <w:t>.3</w:t>
      </w:r>
      <w:r w:rsidR="001F7524" w:rsidRPr="002D2560">
        <w:tab/>
      </w:r>
      <w:r w:rsidR="003156D4" w:rsidRPr="002D2560">
        <w:t>Avoidable Hospital Readmissions</w:t>
      </w:r>
    </w:p>
    <w:p w14:paraId="248E1F31" w14:textId="77777777" w:rsidR="003156D4" w:rsidRPr="002D2560" w:rsidRDefault="003156D4" w:rsidP="00107591">
      <w:pPr>
        <w:rPr>
          <w:lang w:val="en-AU"/>
        </w:rPr>
      </w:pPr>
      <w:r w:rsidRPr="002D2560">
        <w:rPr>
          <w:lang w:val="en-AU"/>
        </w:rPr>
        <w:t>Implementation of the approach for avoidable hospital readmissions requires a national unique patient identifier to be reported in national data set specifications.</w:t>
      </w:r>
    </w:p>
    <w:p w14:paraId="7B4F66A0" w14:textId="7D8FE3F4" w:rsidR="003156D4" w:rsidRPr="002D2560" w:rsidRDefault="003156D4" w:rsidP="003156D4">
      <w:pPr>
        <w:pStyle w:val="Heading2"/>
      </w:pPr>
      <w:r w:rsidRPr="002D2560">
        <w:lastRenderedPageBreak/>
        <w:t>Inclusion of unique patient identifiers in national data sets</w:t>
      </w:r>
    </w:p>
    <w:p w14:paraId="3021016F" w14:textId="6C202F03" w:rsidR="003156D4" w:rsidRPr="002D2560" w:rsidRDefault="003156D4" w:rsidP="00107591">
      <w:pPr>
        <w:rPr>
          <w:lang w:val="en-AU"/>
        </w:rPr>
      </w:pPr>
      <w:r w:rsidRPr="002D2560">
        <w:rPr>
          <w:lang w:val="en-AU"/>
        </w:rPr>
        <w:t>The Individual Healthcare Identifier (IHI) is a</w:t>
      </w:r>
      <w:r w:rsidR="005318DB" w:rsidRPr="002D2560">
        <w:rPr>
          <w:lang w:val="en-AU"/>
        </w:rPr>
        <w:t xml:space="preserve"> unique patient</w:t>
      </w:r>
      <w:r w:rsidRPr="002D2560">
        <w:rPr>
          <w:lang w:val="en-AU"/>
        </w:rPr>
        <w:t xml:space="preserve"> identifier that was introduced to support the My Health Record system.</w:t>
      </w:r>
    </w:p>
    <w:p w14:paraId="7D40DC28" w14:textId="25A4E1B6" w:rsidR="003156D4" w:rsidRPr="002D2560" w:rsidRDefault="003156D4" w:rsidP="00107591">
      <w:pPr>
        <w:rPr>
          <w:lang w:val="en-AU"/>
        </w:rPr>
      </w:pPr>
      <w:r w:rsidRPr="002D2560">
        <w:rPr>
          <w:lang w:val="en-AU"/>
        </w:rPr>
        <w:t>IH</w:t>
      </w:r>
      <w:r w:rsidR="007F1B0A" w:rsidRPr="002D2560">
        <w:rPr>
          <w:lang w:val="en-AU"/>
        </w:rPr>
        <w:t>AC</w:t>
      </w:r>
      <w:r w:rsidRPr="002D2560">
        <w:rPr>
          <w:lang w:val="en-AU"/>
        </w:rPr>
        <w:t>PA consulted with jurisdictions on the inclusion of the IHI in national data sets used for ABF through NHDISC</w:t>
      </w:r>
      <w:r w:rsidR="005318DB" w:rsidRPr="002D2560">
        <w:rPr>
          <w:lang w:val="en-AU"/>
        </w:rPr>
        <w:t>, the National Health Chief Information Officers Roundtable</w:t>
      </w:r>
      <w:r w:rsidRPr="002D2560">
        <w:rPr>
          <w:lang w:val="en-AU"/>
        </w:rPr>
        <w:t xml:space="preserve"> and </w:t>
      </w:r>
      <w:r w:rsidR="002A50EE" w:rsidRPr="002D2560">
        <w:rPr>
          <w:lang w:val="en-AU"/>
        </w:rPr>
        <w:t xml:space="preserve">public </w:t>
      </w:r>
      <w:r w:rsidRPr="002D2560">
        <w:rPr>
          <w:lang w:val="en-AU"/>
        </w:rPr>
        <w:t xml:space="preserve">consultation processes. The IHI </w:t>
      </w:r>
      <w:r w:rsidR="002A50EE" w:rsidRPr="002D2560">
        <w:rPr>
          <w:lang w:val="en-AU"/>
        </w:rPr>
        <w:t>has been</w:t>
      </w:r>
      <w:r w:rsidRPr="002D2560">
        <w:rPr>
          <w:lang w:val="en-AU"/>
        </w:rPr>
        <w:t xml:space="preserve"> included in national data collections </w:t>
      </w:r>
      <w:r w:rsidR="002A50EE" w:rsidRPr="002D2560">
        <w:rPr>
          <w:lang w:val="en-AU"/>
        </w:rPr>
        <w:t xml:space="preserve">since </w:t>
      </w:r>
      <w:r w:rsidRPr="002D2560">
        <w:rPr>
          <w:lang w:val="en-AU"/>
        </w:rPr>
        <w:t>1 July 2022.</w:t>
      </w:r>
      <w:r w:rsidR="005318DB" w:rsidRPr="002D2560">
        <w:rPr>
          <w:lang w:val="en-AU"/>
        </w:rPr>
        <w:t xml:space="preserve"> Collection of the IHI enable</w:t>
      </w:r>
      <w:r w:rsidR="002A50EE" w:rsidRPr="002D2560">
        <w:rPr>
          <w:lang w:val="en-AU"/>
        </w:rPr>
        <w:t>s</w:t>
      </w:r>
      <w:r w:rsidR="005318DB" w:rsidRPr="002D2560">
        <w:rPr>
          <w:lang w:val="en-AU"/>
        </w:rPr>
        <w:t xml:space="preserve"> IHACPA to accurately identify service delivery to patients across different care settings, financial years and hospitals</w:t>
      </w:r>
      <w:r w:rsidR="0048371B">
        <w:rPr>
          <w:lang w:val="en-AU"/>
        </w:rPr>
        <w:t>.</w:t>
      </w:r>
    </w:p>
    <w:p w14:paraId="3C4AECC2" w14:textId="5EDD1FF7" w:rsidR="003156D4" w:rsidRPr="002D2560" w:rsidRDefault="0048371B" w:rsidP="00107591">
      <w:pPr>
        <w:rPr>
          <w:lang w:val="en-AU"/>
        </w:rPr>
      </w:pPr>
      <w:r w:rsidRPr="002D2560">
        <w:rPr>
          <w:lang w:val="en-AU"/>
        </w:rPr>
        <w:t xml:space="preserve">Collection of the IHI </w:t>
      </w:r>
      <w:r>
        <w:rPr>
          <w:lang w:val="en-AU"/>
        </w:rPr>
        <w:t xml:space="preserve">facilitates improved reporting of patient care delivered across different care settings </w:t>
      </w:r>
      <w:r w:rsidR="003156D4" w:rsidRPr="002D2560">
        <w:rPr>
          <w:lang w:val="en-AU"/>
        </w:rPr>
        <w:t>and is critical in supporting IH</w:t>
      </w:r>
      <w:r w:rsidR="007F1B0A" w:rsidRPr="002D2560">
        <w:rPr>
          <w:lang w:val="en-AU"/>
        </w:rPr>
        <w:t>AC</w:t>
      </w:r>
      <w:r w:rsidR="003156D4" w:rsidRPr="002D2560">
        <w:rPr>
          <w:lang w:val="en-AU"/>
        </w:rPr>
        <w:t xml:space="preserve">PA’s work in developing and trialling innovative </w:t>
      </w:r>
      <w:r w:rsidR="00701FD0" w:rsidRPr="002D2560">
        <w:rPr>
          <w:lang w:val="en-AU"/>
        </w:rPr>
        <w:t xml:space="preserve">funding </w:t>
      </w:r>
      <w:r w:rsidR="003156D4" w:rsidRPr="002D2560">
        <w:rPr>
          <w:lang w:val="en-AU"/>
        </w:rPr>
        <w:t xml:space="preserve">models. The provision of the IHI is fundamental </w:t>
      </w:r>
      <w:r w:rsidR="00701FD0" w:rsidRPr="002D2560">
        <w:rPr>
          <w:lang w:val="en-AU"/>
        </w:rPr>
        <w:t>for the consideration and evaluation of trials of innovative funding models</w:t>
      </w:r>
      <w:r w:rsidR="003156D4" w:rsidRPr="002D2560">
        <w:rPr>
          <w:lang w:val="en-AU"/>
        </w:rPr>
        <w:t xml:space="preserve">. </w:t>
      </w:r>
    </w:p>
    <w:p w14:paraId="21699CA1" w14:textId="0DB1FEB3" w:rsidR="003156D4" w:rsidRPr="002D2560" w:rsidRDefault="003156D4" w:rsidP="003156D4">
      <w:pPr>
        <w:pStyle w:val="Heading2"/>
      </w:pPr>
      <w:r w:rsidRPr="002D2560">
        <w:t>Ad-hoc data requests</w:t>
      </w:r>
    </w:p>
    <w:p w14:paraId="133AA0EE" w14:textId="1983BFFB" w:rsidR="00723269" w:rsidRPr="002D2560" w:rsidRDefault="003156D4" w:rsidP="00107591">
      <w:pPr>
        <w:rPr>
          <w:lang w:val="en-AU"/>
        </w:rPr>
      </w:pPr>
      <w:r w:rsidRPr="002D2560">
        <w:rPr>
          <w:lang w:val="en-AU"/>
        </w:rPr>
        <w:t>IH</w:t>
      </w:r>
      <w:r w:rsidR="007F1B0A" w:rsidRPr="002D2560">
        <w:rPr>
          <w:lang w:val="en-AU"/>
        </w:rPr>
        <w:t>AC</w:t>
      </w:r>
      <w:r w:rsidRPr="002D2560">
        <w:rPr>
          <w:lang w:val="en-AU"/>
        </w:rPr>
        <w:t>PA undertakes ad-hoc data collection and research to inform modelling, reconciliation and verification. All requests for additional data will be considered by IH</w:t>
      </w:r>
      <w:r w:rsidR="007F1B0A" w:rsidRPr="002D2560">
        <w:rPr>
          <w:lang w:val="en-AU"/>
        </w:rPr>
        <w:t>AC</w:t>
      </w:r>
      <w:r w:rsidRPr="002D2560">
        <w:rPr>
          <w:lang w:val="en-AU"/>
        </w:rPr>
        <w:t>PA on a case-by-case basis, in consultation with jurisdictions through the Jurisdictional Advisory Committee and Technical Advisory Committee.</w:t>
      </w:r>
    </w:p>
    <w:p w14:paraId="28183447" w14:textId="193D3D7F" w:rsidR="00701FD0" w:rsidRPr="002D2560" w:rsidRDefault="00701FD0" w:rsidP="00107591">
      <w:pPr>
        <w:rPr>
          <w:lang w:val="en-AU"/>
        </w:rPr>
      </w:pPr>
      <w:r w:rsidRPr="002D2560">
        <w:rPr>
          <w:lang w:val="en-AU"/>
        </w:rPr>
        <w:t>Ad-hoc data collections over the 2023–24 to 2025–26 period may relate to the following areas:</w:t>
      </w:r>
    </w:p>
    <w:p w14:paraId="32809720" w14:textId="77777777" w:rsidR="00701FD0" w:rsidRPr="002D2560" w:rsidRDefault="00701FD0" w:rsidP="00701FD0">
      <w:pPr>
        <w:pStyle w:val="ListParagraph"/>
        <w:numPr>
          <w:ilvl w:val="0"/>
          <w:numId w:val="24"/>
        </w:numPr>
        <w:rPr>
          <w:lang w:val="en-AU"/>
        </w:rPr>
      </w:pPr>
      <w:r w:rsidRPr="002D2560">
        <w:rPr>
          <w:lang w:val="en-AU"/>
        </w:rPr>
        <w:t>exploration and trials of innovative funding models</w:t>
      </w:r>
    </w:p>
    <w:p w14:paraId="68C2B2D5" w14:textId="77777777" w:rsidR="00701FD0" w:rsidRPr="002D2560" w:rsidRDefault="00701FD0" w:rsidP="00701FD0">
      <w:pPr>
        <w:pStyle w:val="ListParagraph"/>
        <w:numPr>
          <w:ilvl w:val="0"/>
          <w:numId w:val="24"/>
        </w:numPr>
        <w:rPr>
          <w:lang w:val="en-AU"/>
        </w:rPr>
      </w:pPr>
      <w:r w:rsidRPr="002D2560">
        <w:rPr>
          <w:lang w:val="en-AU"/>
        </w:rPr>
        <w:t>supporting reform to the Prostheses List to improve the affordability and value of private health insurance for Australians</w:t>
      </w:r>
    </w:p>
    <w:p w14:paraId="70AA36AE" w14:textId="5E8CFDFE" w:rsidR="003156D4" w:rsidRPr="002D2560" w:rsidRDefault="00701FD0" w:rsidP="00701FD0">
      <w:pPr>
        <w:pStyle w:val="ListParagraph"/>
        <w:numPr>
          <w:ilvl w:val="0"/>
          <w:numId w:val="24"/>
        </w:numPr>
        <w:rPr>
          <w:lang w:val="en-AU"/>
        </w:rPr>
      </w:pPr>
      <w:r w:rsidRPr="002D2560">
        <w:rPr>
          <w:lang w:val="en-AU"/>
        </w:rPr>
        <w:t>provision of aged care costing and pricing advice to the Commonwealth Government.</w:t>
      </w:r>
    </w:p>
    <w:p w14:paraId="2C139EBE" w14:textId="77777777" w:rsidR="003156D4" w:rsidRPr="002D2560" w:rsidRDefault="003156D4" w:rsidP="003156D4">
      <w:pPr>
        <w:rPr>
          <w:lang w:val="en-AU"/>
        </w:rPr>
      </w:pPr>
    </w:p>
    <w:p w14:paraId="6A287853" w14:textId="2D9CEFC8" w:rsidR="00723269" w:rsidRPr="002D2560" w:rsidRDefault="00723269">
      <w:pPr>
        <w:spacing w:line="259" w:lineRule="auto"/>
        <w:rPr>
          <w:lang w:val="en-AU"/>
        </w:rPr>
      </w:pPr>
      <w:r w:rsidRPr="002D2560">
        <w:rPr>
          <w:lang w:val="en-AU"/>
        </w:rPr>
        <w:br w:type="page"/>
      </w:r>
    </w:p>
    <w:p w14:paraId="4DF89F2F" w14:textId="4CCACD70" w:rsidR="00723269" w:rsidRPr="002D2560" w:rsidRDefault="00701FD0" w:rsidP="00271FC1">
      <w:pPr>
        <w:pStyle w:val="Heading1"/>
      </w:pPr>
      <w:bookmarkStart w:id="14" w:name="_Toc121927355"/>
      <w:r w:rsidRPr="002D2560">
        <w:lastRenderedPageBreak/>
        <w:t>Hospital d</w:t>
      </w:r>
      <w:r w:rsidR="00384CF7" w:rsidRPr="002D2560">
        <w:t>ata submission and collection schedule</w:t>
      </w:r>
      <w:bookmarkEnd w:id="14"/>
    </w:p>
    <w:p w14:paraId="3D99117A" w14:textId="41F4E9BD" w:rsidR="00384CF7" w:rsidRPr="002D2560" w:rsidRDefault="00384CF7" w:rsidP="00107591">
      <w:pPr>
        <w:rPr>
          <w:lang w:val="en-AU"/>
        </w:rPr>
      </w:pPr>
      <w:r w:rsidRPr="002D2560">
        <w:rPr>
          <w:lang w:val="en-AU"/>
        </w:rPr>
        <w:t>IH</w:t>
      </w:r>
      <w:r w:rsidR="007F1B0A" w:rsidRPr="002D2560">
        <w:rPr>
          <w:lang w:val="en-AU"/>
        </w:rPr>
        <w:t>AC</w:t>
      </w:r>
      <w:r w:rsidRPr="002D2560">
        <w:rPr>
          <w:lang w:val="en-AU"/>
        </w:rPr>
        <w:t>PA has a detailed data submission process and collection schedule, which is essential to obtaining activity and cost data required to determine the NEP and NEC. Submissions will be made through the SDMS.</w:t>
      </w:r>
    </w:p>
    <w:p w14:paraId="55FFBAF2" w14:textId="5DBA4177" w:rsidR="00723269" w:rsidRPr="002D2560" w:rsidRDefault="00384CF7" w:rsidP="003156D4">
      <w:pPr>
        <w:pStyle w:val="Heading2"/>
      </w:pPr>
      <w:r w:rsidRPr="002D2560">
        <w:t>Data submission process</w:t>
      </w:r>
    </w:p>
    <w:p w14:paraId="71C2A44D" w14:textId="6B3DF2C3" w:rsidR="00384CF7" w:rsidRPr="002D2560" w:rsidRDefault="00384CF7" w:rsidP="00384CF7">
      <w:pPr>
        <w:rPr>
          <w:lang w:val="en-AU"/>
        </w:rPr>
      </w:pPr>
      <w:r w:rsidRPr="002D2560">
        <w:rPr>
          <w:lang w:val="en-AU"/>
        </w:rPr>
        <w:t xml:space="preserve">The data submission process is described in </w:t>
      </w:r>
      <w:r w:rsidRPr="002D2560">
        <w:rPr>
          <w:b/>
          <w:bCs/>
          <w:lang w:val="en-AU"/>
        </w:rPr>
        <w:t xml:space="preserve">Table </w:t>
      </w:r>
      <w:r w:rsidR="00BA7591">
        <w:rPr>
          <w:b/>
          <w:bCs/>
          <w:lang w:val="en-AU"/>
        </w:rPr>
        <w:t>8</w:t>
      </w:r>
      <w:r w:rsidRPr="002D2560">
        <w:rPr>
          <w:lang w:val="en-AU"/>
        </w:rPr>
        <w:t>.</w:t>
      </w:r>
    </w:p>
    <w:p w14:paraId="1245A86C" w14:textId="78584759" w:rsidR="00384CF7" w:rsidRPr="002D2560" w:rsidRDefault="00384CF7" w:rsidP="00384CF7">
      <w:pPr>
        <w:keepNext/>
        <w:keepLines/>
        <w:rPr>
          <w:b/>
          <w:bCs/>
          <w:lang w:val="en-AU"/>
        </w:rPr>
      </w:pPr>
      <w:r w:rsidRPr="002D2560">
        <w:rPr>
          <w:b/>
          <w:bCs/>
          <w:lang w:val="en-AU"/>
        </w:rPr>
        <w:t xml:space="preserve">Table </w:t>
      </w:r>
      <w:r w:rsidR="002A50EE" w:rsidRPr="002D2560">
        <w:rPr>
          <w:b/>
          <w:bCs/>
          <w:lang w:val="en-AU"/>
        </w:rPr>
        <w:t>8</w:t>
      </w:r>
      <w:r w:rsidR="005E330F" w:rsidRPr="002D2560">
        <w:rPr>
          <w:b/>
          <w:bCs/>
          <w:lang w:val="en-AU"/>
        </w:rPr>
        <w:t>.</w:t>
      </w:r>
      <w:r w:rsidRPr="002D2560">
        <w:rPr>
          <w:b/>
          <w:bCs/>
          <w:lang w:val="en-AU"/>
        </w:rPr>
        <w:t xml:space="preserve"> Data submission process description</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Table 10"/>
        <w:tblDescription w:val="Ongoing seconded employees 2021"/>
      </w:tblPr>
      <w:tblGrid>
        <w:gridCol w:w="562"/>
        <w:gridCol w:w="2268"/>
        <w:gridCol w:w="6897"/>
      </w:tblGrid>
      <w:tr w:rsidR="00384CF7" w:rsidRPr="002D2560" w14:paraId="4B95511A" w14:textId="77777777" w:rsidTr="00F74CE6">
        <w:trPr>
          <w:cnfStyle w:val="100000000000" w:firstRow="1" w:lastRow="0" w:firstColumn="0" w:lastColumn="0" w:oddVBand="0" w:evenVBand="0" w:oddHBand="0" w:evenHBand="0" w:firstRowFirstColumn="0" w:firstRowLastColumn="0" w:lastRowFirstColumn="0" w:lastRowLastColumn="0"/>
          <w:trHeight w:val="20"/>
          <w:tblHeader/>
        </w:trPr>
        <w:tc>
          <w:tcPr>
            <w:tcW w:w="562" w:type="dxa"/>
            <w:shd w:val="clear" w:color="auto" w:fill="104F99" w:themeFill="accent2"/>
          </w:tcPr>
          <w:p w14:paraId="4EE8D53E" w14:textId="4709AD95" w:rsidR="00384CF7" w:rsidRPr="002D2560" w:rsidRDefault="00384CF7" w:rsidP="00384CF7">
            <w:pPr>
              <w:keepNext/>
              <w:keepLines/>
              <w:spacing w:before="120" w:after="120"/>
              <w:rPr>
                <w:rFonts w:cs="Arial"/>
                <w:b/>
                <w:bCs/>
                <w:color w:val="FFFFFF" w:themeColor="background2"/>
                <w:sz w:val="20"/>
                <w:szCs w:val="20"/>
                <w:lang w:val="en-AU"/>
              </w:rPr>
            </w:pPr>
            <w:r w:rsidRPr="002D2560">
              <w:rPr>
                <w:b/>
                <w:bCs/>
                <w:color w:val="FFFFFF" w:themeColor="background2"/>
                <w:sz w:val="20"/>
                <w:szCs w:val="20"/>
                <w:lang w:val="en-AU"/>
              </w:rPr>
              <w:t>No.</w:t>
            </w:r>
          </w:p>
        </w:tc>
        <w:tc>
          <w:tcPr>
            <w:tcW w:w="2268" w:type="dxa"/>
            <w:shd w:val="clear" w:color="auto" w:fill="104F99" w:themeFill="accent2"/>
          </w:tcPr>
          <w:p w14:paraId="55498E21" w14:textId="59551953" w:rsidR="00384CF7" w:rsidRPr="002D2560" w:rsidRDefault="00384CF7" w:rsidP="00384CF7">
            <w:pPr>
              <w:keepNext/>
              <w:keepLines/>
              <w:spacing w:before="120" w:after="120"/>
              <w:rPr>
                <w:rFonts w:cs="Arial"/>
                <w:b/>
                <w:bCs/>
                <w:color w:val="FFFFFF" w:themeColor="background2"/>
                <w:sz w:val="20"/>
                <w:szCs w:val="20"/>
                <w:lang w:val="en-AU"/>
              </w:rPr>
            </w:pPr>
            <w:r w:rsidRPr="002D2560">
              <w:rPr>
                <w:b/>
                <w:bCs/>
                <w:color w:val="FFFFFF" w:themeColor="background2"/>
                <w:sz w:val="20"/>
                <w:szCs w:val="20"/>
                <w:lang w:val="en-AU"/>
              </w:rPr>
              <w:t>Activity</w:t>
            </w:r>
          </w:p>
        </w:tc>
        <w:tc>
          <w:tcPr>
            <w:tcW w:w="6897" w:type="dxa"/>
            <w:shd w:val="clear" w:color="auto" w:fill="104F99" w:themeFill="accent2"/>
          </w:tcPr>
          <w:p w14:paraId="01DE6354" w14:textId="30B96A15" w:rsidR="00384CF7" w:rsidRPr="002D2560" w:rsidRDefault="00384CF7" w:rsidP="00384CF7">
            <w:pPr>
              <w:keepNext/>
              <w:keepLines/>
              <w:spacing w:before="120" w:after="120"/>
              <w:rPr>
                <w:rFonts w:cs="Arial"/>
                <w:b/>
                <w:bCs/>
                <w:color w:val="FFFFFF" w:themeColor="background2"/>
                <w:sz w:val="20"/>
                <w:szCs w:val="20"/>
                <w:lang w:val="en-AU"/>
              </w:rPr>
            </w:pPr>
            <w:r w:rsidRPr="002D2560">
              <w:rPr>
                <w:b/>
                <w:bCs/>
                <w:color w:val="FFFFFF" w:themeColor="background2"/>
                <w:sz w:val="20"/>
                <w:szCs w:val="20"/>
                <w:lang w:val="en-AU"/>
              </w:rPr>
              <w:t>Description</w:t>
            </w:r>
          </w:p>
        </w:tc>
      </w:tr>
      <w:tr w:rsidR="00384CF7" w:rsidRPr="002D2560" w14:paraId="209A6CFC" w14:textId="77777777" w:rsidTr="00384CF7">
        <w:trPr>
          <w:cnfStyle w:val="000000100000" w:firstRow="0" w:lastRow="0" w:firstColumn="0" w:lastColumn="0" w:oddVBand="0" w:evenVBand="0" w:oddHBand="1" w:evenHBand="0" w:firstRowFirstColumn="0" w:firstRowLastColumn="0" w:lastRowFirstColumn="0" w:lastRowLastColumn="0"/>
          <w:trHeight w:val="20"/>
        </w:trPr>
        <w:tc>
          <w:tcPr>
            <w:tcW w:w="5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A552625" w14:textId="24551A6D" w:rsidR="00384CF7" w:rsidRPr="002D2560" w:rsidRDefault="00384CF7" w:rsidP="00384CF7">
            <w:pPr>
              <w:keepNext/>
              <w:keepLines/>
              <w:spacing w:before="120" w:after="120"/>
              <w:rPr>
                <w:rFonts w:cs="Arial"/>
                <w:color w:val="000000"/>
                <w:sz w:val="20"/>
                <w:szCs w:val="20"/>
                <w:lang w:val="en-AU"/>
              </w:rPr>
            </w:pPr>
            <w:r w:rsidRPr="002D2560">
              <w:rPr>
                <w:sz w:val="20"/>
                <w:szCs w:val="20"/>
                <w:lang w:val="en-AU"/>
              </w:rPr>
              <w:t>1.</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FA51FCC" w14:textId="6FE39A3E" w:rsidR="00384CF7" w:rsidRPr="002D2560" w:rsidRDefault="00384CF7" w:rsidP="00384CF7">
            <w:pPr>
              <w:keepNext/>
              <w:keepLines/>
              <w:spacing w:before="120" w:after="120"/>
              <w:rPr>
                <w:rFonts w:cs="Arial"/>
                <w:color w:val="000000"/>
                <w:sz w:val="20"/>
                <w:szCs w:val="20"/>
                <w:lang w:val="en-AU"/>
              </w:rPr>
            </w:pPr>
            <w:r w:rsidRPr="002D2560">
              <w:rPr>
                <w:sz w:val="20"/>
                <w:szCs w:val="20"/>
                <w:lang w:val="en-AU"/>
              </w:rPr>
              <w:t>Send data request</w:t>
            </w:r>
          </w:p>
        </w:tc>
        <w:tc>
          <w:tcPr>
            <w:tcW w:w="68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D06CC12" w14:textId="063D698E" w:rsidR="00384CF7" w:rsidRPr="002D2560" w:rsidRDefault="00384CF7" w:rsidP="00384CF7">
            <w:pPr>
              <w:keepNext/>
              <w:keepLines/>
              <w:spacing w:before="120" w:after="120"/>
              <w:rPr>
                <w:rFonts w:cs="Arial"/>
                <w:color w:val="1C1C1C"/>
                <w:sz w:val="20"/>
                <w:szCs w:val="20"/>
                <w:lang w:val="en-AU"/>
              </w:rPr>
            </w:pPr>
            <w:r w:rsidRPr="002D2560">
              <w:rPr>
                <w:rFonts w:cs="Arial"/>
                <w:color w:val="1C1C1C"/>
                <w:sz w:val="20"/>
                <w:szCs w:val="20"/>
                <w:lang w:val="en-AU"/>
              </w:rPr>
              <w:t>IH</w:t>
            </w:r>
            <w:r w:rsidR="007F1B0A" w:rsidRPr="002D2560">
              <w:rPr>
                <w:rFonts w:cs="Arial"/>
                <w:color w:val="1C1C1C"/>
                <w:sz w:val="20"/>
                <w:szCs w:val="20"/>
                <w:lang w:val="en-AU"/>
              </w:rPr>
              <w:t>AC</w:t>
            </w:r>
            <w:r w:rsidRPr="002D2560">
              <w:rPr>
                <w:rFonts w:cs="Arial"/>
                <w:color w:val="1C1C1C"/>
                <w:sz w:val="20"/>
                <w:szCs w:val="20"/>
                <w:lang w:val="en-AU"/>
              </w:rPr>
              <w:t>PA will send an email to each jurisdiction with the following instructions:</w:t>
            </w:r>
          </w:p>
          <w:p w14:paraId="109D2458" w14:textId="77777777" w:rsidR="00384CF7" w:rsidRPr="002D2560" w:rsidRDefault="00384CF7" w:rsidP="00384CF7">
            <w:pPr>
              <w:pStyle w:val="ListParagraph"/>
              <w:keepNext/>
              <w:keepLines/>
              <w:numPr>
                <w:ilvl w:val="0"/>
                <w:numId w:val="14"/>
              </w:numPr>
              <w:spacing w:before="120" w:after="120"/>
              <w:rPr>
                <w:rFonts w:cs="Arial"/>
                <w:color w:val="1C1C1C"/>
                <w:sz w:val="20"/>
                <w:szCs w:val="20"/>
                <w:lang w:val="en-AU"/>
              </w:rPr>
            </w:pPr>
            <w:r w:rsidRPr="002D2560">
              <w:rPr>
                <w:rFonts w:cs="Arial"/>
                <w:color w:val="1C1C1C"/>
                <w:sz w:val="20"/>
                <w:szCs w:val="20"/>
                <w:lang w:val="en-AU"/>
              </w:rPr>
              <w:t xml:space="preserve">method of </w:t>
            </w:r>
            <w:proofErr w:type="gramStart"/>
            <w:r w:rsidRPr="002D2560">
              <w:rPr>
                <w:rFonts w:cs="Arial"/>
                <w:color w:val="1C1C1C"/>
                <w:sz w:val="20"/>
                <w:szCs w:val="20"/>
                <w:lang w:val="en-AU"/>
              </w:rPr>
              <w:t>delivery;</w:t>
            </w:r>
            <w:proofErr w:type="gramEnd"/>
          </w:p>
          <w:p w14:paraId="1588F9EC" w14:textId="154ED886" w:rsidR="00384CF7" w:rsidRPr="002D2560" w:rsidRDefault="00384CF7" w:rsidP="00384CF7">
            <w:pPr>
              <w:pStyle w:val="ListParagraph"/>
              <w:keepNext/>
              <w:keepLines/>
              <w:numPr>
                <w:ilvl w:val="0"/>
                <w:numId w:val="14"/>
              </w:numPr>
              <w:spacing w:before="120" w:after="120"/>
              <w:rPr>
                <w:rFonts w:cs="Arial"/>
                <w:color w:val="1C1C1C"/>
                <w:sz w:val="20"/>
                <w:szCs w:val="20"/>
                <w:lang w:val="en-AU"/>
              </w:rPr>
            </w:pPr>
            <w:r w:rsidRPr="002D2560">
              <w:rPr>
                <w:rFonts w:cs="Arial"/>
                <w:color w:val="1C1C1C"/>
                <w:sz w:val="20"/>
                <w:szCs w:val="20"/>
                <w:lang w:val="en-AU"/>
              </w:rPr>
              <w:t xml:space="preserve">contact person at </w:t>
            </w:r>
            <w:proofErr w:type="gramStart"/>
            <w:r w:rsidRPr="002D2560">
              <w:rPr>
                <w:rFonts w:cs="Arial"/>
                <w:color w:val="1C1C1C"/>
                <w:sz w:val="20"/>
                <w:szCs w:val="20"/>
                <w:lang w:val="en-AU"/>
              </w:rPr>
              <w:t>IH</w:t>
            </w:r>
            <w:r w:rsidR="007F1B0A" w:rsidRPr="002D2560">
              <w:rPr>
                <w:rFonts w:cs="Arial"/>
                <w:color w:val="1C1C1C"/>
                <w:sz w:val="20"/>
                <w:szCs w:val="20"/>
                <w:lang w:val="en-AU"/>
              </w:rPr>
              <w:t>AC</w:t>
            </w:r>
            <w:r w:rsidRPr="002D2560">
              <w:rPr>
                <w:rFonts w:cs="Arial"/>
                <w:color w:val="1C1C1C"/>
                <w:sz w:val="20"/>
                <w:szCs w:val="20"/>
                <w:lang w:val="en-AU"/>
              </w:rPr>
              <w:t>PA;</w:t>
            </w:r>
            <w:proofErr w:type="gramEnd"/>
          </w:p>
          <w:p w14:paraId="16C8FCB8" w14:textId="77777777" w:rsidR="00384CF7" w:rsidRPr="002D2560" w:rsidRDefault="00384CF7" w:rsidP="00384CF7">
            <w:pPr>
              <w:pStyle w:val="ListParagraph"/>
              <w:keepNext/>
              <w:keepLines/>
              <w:numPr>
                <w:ilvl w:val="0"/>
                <w:numId w:val="14"/>
              </w:numPr>
              <w:spacing w:before="120" w:after="120"/>
              <w:rPr>
                <w:rFonts w:cs="Arial"/>
                <w:color w:val="1C1C1C"/>
                <w:sz w:val="20"/>
                <w:szCs w:val="20"/>
                <w:lang w:val="en-AU"/>
              </w:rPr>
            </w:pPr>
            <w:r w:rsidRPr="002D2560">
              <w:rPr>
                <w:rFonts w:cs="Arial"/>
                <w:color w:val="1C1C1C"/>
                <w:sz w:val="20"/>
                <w:szCs w:val="20"/>
                <w:lang w:val="en-AU"/>
              </w:rPr>
              <w:t xml:space="preserve">data request, which will include a spreadsheet (or similar) that provides the format in which the data is to be </w:t>
            </w:r>
            <w:proofErr w:type="gramStart"/>
            <w:r w:rsidRPr="002D2560">
              <w:rPr>
                <w:rFonts w:cs="Arial"/>
                <w:color w:val="1C1C1C"/>
                <w:sz w:val="20"/>
                <w:szCs w:val="20"/>
                <w:lang w:val="en-AU"/>
              </w:rPr>
              <w:t>supplied;</w:t>
            </w:r>
            <w:proofErr w:type="gramEnd"/>
          </w:p>
          <w:p w14:paraId="3E6EDFA0" w14:textId="76C6ED0B" w:rsidR="00384CF7" w:rsidRPr="002D2560" w:rsidRDefault="00384CF7" w:rsidP="00384CF7">
            <w:pPr>
              <w:pStyle w:val="ListParagraph"/>
              <w:keepNext/>
              <w:keepLines/>
              <w:numPr>
                <w:ilvl w:val="0"/>
                <w:numId w:val="14"/>
              </w:numPr>
              <w:spacing w:before="120" w:after="120"/>
              <w:rPr>
                <w:rFonts w:cs="Arial"/>
                <w:color w:val="1C1C1C"/>
                <w:sz w:val="20"/>
                <w:szCs w:val="20"/>
                <w:lang w:val="en-AU"/>
              </w:rPr>
            </w:pPr>
            <w:r w:rsidRPr="002D2560">
              <w:rPr>
                <w:rFonts w:cs="Arial"/>
                <w:color w:val="1C1C1C"/>
                <w:sz w:val="20"/>
                <w:szCs w:val="20"/>
                <w:lang w:val="en-AU"/>
              </w:rPr>
              <w:t>validation rules that IH</w:t>
            </w:r>
            <w:r w:rsidR="007F1B0A" w:rsidRPr="002D2560">
              <w:rPr>
                <w:rFonts w:cs="Arial"/>
                <w:color w:val="1C1C1C"/>
                <w:sz w:val="20"/>
                <w:szCs w:val="20"/>
                <w:lang w:val="en-AU"/>
              </w:rPr>
              <w:t>AC</w:t>
            </w:r>
            <w:r w:rsidRPr="002D2560">
              <w:rPr>
                <w:rFonts w:cs="Arial"/>
                <w:color w:val="1C1C1C"/>
                <w:sz w:val="20"/>
                <w:szCs w:val="20"/>
                <w:lang w:val="en-AU"/>
              </w:rPr>
              <w:t xml:space="preserve">PA will apply to ensure that the submitted data meets the specified </w:t>
            </w:r>
            <w:proofErr w:type="gramStart"/>
            <w:r w:rsidRPr="002D2560">
              <w:rPr>
                <w:rFonts w:cs="Arial"/>
                <w:color w:val="1C1C1C"/>
                <w:sz w:val="20"/>
                <w:szCs w:val="20"/>
                <w:lang w:val="en-AU"/>
              </w:rPr>
              <w:t>requirements;</w:t>
            </w:r>
            <w:proofErr w:type="gramEnd"/>
          </w:p>
          <w:p w14:paraId="3D23565B" w14:textId="77777777" w:rsidR="00384CF7" w:rsidRPr="002D2560" w:rsidRDefault="00384CF7" w:rsidP="00384CF7">
            <w:pPr>
              <w:pStyle w:val="ListParagraph"/>
              <w:keepNext/>
              <w:keepLines/>
              <w:numPr>
                <w:ilvl w:val="0"/>
                <w:numId w:val="14"/>
              </w:numPr>
              <w:spacing w:before="120" w:after="120"/>
              <w:rPr>
                <w:rFonts w:cs="Arial"/>
                <w:color w:val="1C1C1C"/>
                <w:sz w:val="20"/>
                <w:szCs w:val="20"/>
                <w:lang w:val="en-AU"/>
              </w:rPr>
            </w:pPr>
            <w:r w:rsidRPr="002D2560">
              <w:rPr>
                <w:rFonts w:cs="Arial"/>
                <w:color w:val="1C1C1C"/>
                <w:sz w:val="20"/>
                <w:szCs w:val="20"/>
                <w:lang w:val="en-AU"/>
              </w:rPr>
              <w:t>summary of changes from previous versions of the data set specification; and</w:t>
            </w:r>
          </w:p>
          <w:p w14:paraId="2CC1C474" w14:textId="77A62D43" w:rsidR="00384CF7" w:rsidRPr="002D2560" w:rsidRDefault="00384CF7" w:rsidP="00384CF7">
            <w:pPr>
              <w:pStyle w:val="ListParagraph"/>
              <w:keepNext/>
              <w:keepLines/>
              <w:numPr>
                <w:ilvl w:val="0"/>
                <w:numId w:val="14"/>
              </w:numPr>
              <w:spacing w:before="120" w:after="120"/>
              <w:rPr>
                <w:rFonts w:cs="Arial"/>
                <w:color w:val="1C1C1C"/>
                <w:sz w:val="20"/>
                <w:szCs w:val="20"/>
                <w:lang w:val="en-AU"/>
              </w:rPr>
            </w:pPr>
            <w:r w:rsidRPr="002D2560">
              <w:rPr>
                <w:rFonts w:cs="Arial"/>
                <w:color w:val="1C1C1C"/>
                <w:sz w:val="20"/>
                <w:szCs w:val="20"/>
                <w:lang w:val="en-AU"/>
              </w:rPr>
              <w:t>due date for submission.</w:t>
            </w:r>
          </w:p>
        </w:tc>
      </w:tr>
      <w:tr w:rsidR="00384CF7" w:rsidRPr="002D2560" w14:paraId="5D3610DB" w14:textId="77777777" w:rsidTr="00384CF7">
        <w:trPr>
          <w:cnfStyle w:val="000000010000" w:firstRow="0" w:lastRow="0" w:firstColumn="0" w:lastColumn="0" w:oddVBand="0" w:evenVBand="0" w:oddHBand="0" w:evenHBand="1" w:firstRowFirstColumn="0" w:firstRowLastColumn="0" w:lastRowFirstColumn="0" w:lastRowLastColumn="0"/>
          <w:trHeight w:val="20"/>
        </w:trPr>
        <w:tc>
          <w:tcPr>
            <w:tcW w:w="562" w:type="dxa"/>
            <w:tcBorders>
              <w:top w:val="none" w:sz="0" w:space="0" w:color="auto"/>
              <w:bottom w:val="none" w:sz="0" w:space="0" w:color="auto"/>
            </w:tcBorders>
            <w:shd w:val="clear" w:color="auto" w:fill="auto"/>
          </w:tcPr>
          <w:p w14:paraId="5F53C707" w14:textId="09A123C7" w:rsidR="00384CF7" w:rsidRPr="002D2560" w:rsidRDefault="00384CF7" w:rsidP="00384CF7">
            <w:pPr>
              <w:keepLines/>
              <w:spacing w:before="120" w:after="120"/>
              <w:rPr>
                <w:rFonts w:cs="Arial"/>
                <w:color w:val="000000"/>
                <w:sz w:val="20"/>
                <w:szCs w:val="20"/>
                <w:lang w:val="en-AU"/>
              </w:rPr>
            </w:pPr>
            <w:r w:rsidRPr="002D2560">
              <w:rPr>
                <w:sz w:val="20"/>
                <w:szCs w:val="20"/>
                <w:lang w:val="en-AU"/>
              </w:rPr>
              <w:t>2.</w:t>
            </w:r>
          </w:p>
        </w:tc>
        <w:tc>
          <w:tcPr>
            <w:tcW w:w="2268" w:type="dxa"/>
            <w:tcBorders>
              <w:top w:val="none" w:sz="0" w:space="0" w:color="auto"/>
              <w:bottom w:val="none" w:sz="0" w:space="0" w:color="auto"/>
            </w:tcBorders>
            <w:shd w:val="clear" w:color="auto" w:fill="auto"/>
          </w:tcPr>
          <w:p w14:paraId="2C073C53" w14:textId="294B279D" w:rsidR="00384CF7" w:rsidRPr="002D2560" w:rsidRDefault="00384CF7" w:rsidP="00384CF7">
            <w:pPr>
              <w:keepLines/>
              <w:spacing w:before="120" w:after="120"/>
              <w:rPr>
                <w:rFonts w:cs="Arial"/>
                <w:color w:val="000000"/>
                <w:sz w:val="20"/>
                <w:szCs w:val="20"/>
                <w:lang w:val="en-AU"/>
              </w:rPr>
            </w:pPr>
            <w:r w:rsidRPr="002D2560">
              <w:rPr>
                <w:sz w:val="20"/>
                <w:szCs w:val="20"/>
                <w:lang w:val="en-AU"/>
              </w:rPr>
              <w:t>Validate data</w:t>
            </w:r>
          </w:p>
        </w:tc>
        <w:tc>
          <w:tcPr>
            <w:tcW w:w="6897" w:type="dxa"/>
            <w:tcBorders>
              <w:top w:val="none" w:sz="0" w:space="0" w:color="auto"/>
              <w:bottom w:val="none" w:sz="0" w:space="0" w:color="auto"/>
            </w:tcBorders>
            <w:shd w:val="clear" w:color="auto" w:fill="auto"/>
          </w:tcPr>
          <w:p w14:paraId="2CA1FB65" w14:textId="6B309A08" w:rsidR="00384CF7" w:rsidRPr="002D2560" w:rsidRDefault="00384CF7" w:rsidP="00384CF7">
            <w:pPr>
              <w:keepLines/>
              <w:spacing w:before="120" w:after="120"/>
              <w:rPr>
                <w:rFonts w:cs="Arial"/>
                <w:color w:val="1C1C1C"/>
                <w:sz w:val="20"/>
                <w:szCs w:val="20"/>
                <w:lang w:val="en-AU"/>
              </w:rPr>
            </w:pPr>
            <w:r w:rsidRPr="002D2560">
              <w:rPr>
                <w:sz w:val="20"/>
                <w:szCs w:val="20"/>
                <w:lang w:val="en-AU"/>
              </w:rPr>
              <w:t>Before submission of data, jurisdictions are able to validate data multiple times through the SDMS before submitting. The data will be validated in accordance with the instructions specified in the data request specification. IH</w:t>
            </w:r>
            <w:r w:rsidR="007F1B0A" w:rsidRPr="002D2560">
              <w:rPr>
                <w:sz w:val="20"/>
                <w:szCs w:val="20"/>
                <w:lang w:val="en-AU"/>
              </w:rPr>
              <w:t>AC</w:t>
            </w:r>
            <w:r w:rsidRPr="002D2560">
              <w:rPr>
                <w:sz w:val="20"/>
                <w:szCs w:val="20"/>
                <w:lang w:val="en-AU"/>
              </w:rPr>
              <w:t xml:space="preserve">PA will ensure that the system is ready for the data validation four weeks before the submission due date. </w:t>
            </w:r>
          </w:p>
        </w:tc>
      </w:tr>
      <w:tr w:rsidR="00384CF7" w:rsidRPr="002D2560" w14:paraId="4268F13D" w14:textId="77777777" w:rsidTr="00384CF7">
        <w:trPr>
          <w:cnfStyle w:val="000000100000" w:firstRow="0" w:lastRow="0" w:firstColumn="0" w:lastColumn="0" w:oddVBand="0" w:evenVBand="0" w:oddHBand="1" w:evenHBand="0" w:firstRowFirstColumn="0" w:firstRowLastColumn="0" w:lastRowFirstColumn="0" w:lastRowLastColumn="0"/>
          <w:trHeight w:val="20"/>
        </w:trPr>
        <w:tc>
          <w:tcPr>
            <w:tcW w:w="5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E31801D" w14:textId="6E768F10" w:rsidR="00384CF7" w:rsidRPr="002D2560" w:rsidRDefault="00384CF7" w:rsidP="00384CF7">
            <w:pPr>
              <w:keepLines/>
              <w:spacing w:before="120" w:after="120"/>
              <w:rPr>
                <w:rFonts w:cs="Arial"/>
                <w:color w:val="000000"/>
                <w:sz w:val="20"/>
                <w:szCs w:val="20"/>
                <w:lang w:val="en-AU"/>
              </w:rPr>
            </w:pPr>
            <w:r w:rsidRPr="002D2560">
              <w:rPr>
                <w:sz w:val="20"/>
                <w:szCs w:val="20"/>
                <w:lang w:val="en-AU"/>
              </w:rPr>
              <w:t xml:space="preserve">3. </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C0CE194" w14:textId="0D00470A" w:rsidR="00384CF7" w:rsidRPr="002D2560" w:rsidRDefault="00384CF7" w:rsidP="00384CF7">
            <w:pPr>
              <w:keepLines/>
              <w:spacing w:before="120" w:after="120"/>
              <w:rPr>
                <w:rFonts w:cs="Arial"/>
                <w:color w:val="000000"/>
                <w:sz w:val="20"/>
                <w:szCs w:val="20"/>
                <w:lang w:val="en-AU"/>
              </w:rPr>
            </w:pPr>
            <w:r w:rsidRPr="002D2560">
              <w:rPr>
                <w:sz w:val="20"/>
                <w:szCs w:val="20"/>
                <w:lang w:val="en-AU"/>
              </w:rPr>
              <w:t>Submit quality assured data to IH</w:t>
            </w:r>
            <w:r w:rsidR="007F1B0A" w:rsidRPr="002D2560">
              <w:rPr>
                <w:sz w:val="20"/>
                <w:szCs w:val="20"/>
                <w:lang w:val="en-AU"/>
              </w:rPr>
              <w:t>AC</w:t>
            </w:r>
            <w:r w:rsidRPr="002D2560">
              <w:rPr>
                <w:sz w:val="20"/>
                <w:szCs w:val="20"/>
                <w:lang w:val="en-AU"/>
              </w:rPr>
              <w:t>PA</w:t>
            </w:r>
          </w:p>
        </w:tc>
        <w:tc>
          <w:tcPr>
            <w:tcW w:w="68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36CD26" w14:textId="08BE119D" w:rsidR="00384CF7" w:rsidRPr="002D2560" w:rsidRDefault="00384CF7" w:rsidP="00384CF7">
            <w:pPr>
              <w:keepLines/>
              <w:spacing w:before="120" w:after="120"/>
              <w:rPr>
                <w:rFonts w:cs="Arial"/>
                <w:color w:val="1C1C1C"/>
                <w:sz w:val="20"/>
                <w:szCs w:val="20"/>
                <w:lang w:val="en-AU"/>
              </w:rPr>
            </w:pPr>
            <w:r w:rsidRPr="002D2560">
              <w:rPr>
                <w:sz w:val="20"/>
                <w:szCs w:val="20"/>
                <w:lang w:val="en-AU"/>
              </w:rPr>
              <w:t xml:space="preserve">Once jurisdictions are satisfied with the data quality based on the feedback generated by the online validation feature, data can be formally submitted within the SDMS. A confirmation email will be issued by the system following submission. </w:t>
            </w:r>
          </w:p>
        </w:tc>
      </w:tr>
      <w:tr w:rsidR="00384CF7" w:rsidRPr="002D2560" w14:paraId="435597D6" w14:textId="77777777" w:rsidTr="00384CF7">
        <w:trPr>
          <w:cnfStyle w:val="000000010000" w:firstRow="0" w:lastRow="0" w:firstColumn="0" w:lastColumn="0" w:oddVBand="0" w:evenVBand="0" w:oddHBand="0" w:evenHBand="1" w:firstRowFirstColumn="0" w:firstRowLastColumn="0" w:lastRowFirstColumn="0" w:lastRowLastColumn="0"/>
          <w:trHeight w:val="20"/>
        </w:trPr>
        <w:tc>
          <w:tcPr>
            <w:tcW w:w="562" w:type="dxa"/>
            <w:tcBorders>
              <w:top w:val="none" w:sz="0" w:space="0" w:color="auto"/>
              <w:bottom w:val="none" w:sz="0" w:space="0" w:color="auto"/>
            </w:tcBorders>
            <w:shd w:val="clear" w:color="auto" w:fill="auto"/>
          </w:tcPr>
          <w:p w14:paraId="4EFB811C" w14:textId="28063328" w:rsidR="00384CF7" w:rsidRPr="002D2560" w:rsidRDefault="00384CF7" w:rsidP="00384CF7">
            <w:pPr>
              <w:keepLines/>
              <w:spacing w:before="120" w:after="120"/>
              <w:rPr>
                <w:rFonts w:cs="Arial"/>
                <w:color w:val="000000"/>
                <w:sz w:val="20"/>
                <w:szCs w:val="20"/>
                <w:lang w:val="en-AU"/>
              </w:rPr>
            </w:pPr>
            <w:r w:rsidRPr="002D2560">
              <w:rPr>
                <w:sz w:val="20"/>
                <w:szCs w:val="20"/>
                <w:lang w:val="en-AU"/>
              </w:rPr>
              <w:t xml:space="preserve">4. </w:t>
            </w:r>
          </w:p>
        </w:tc>
        <w:tc>
          <w:tcPr>
            <w:tcW w:w="2268" w:type="dxa"/>
            <w:tcBorders>
              <w:top w:val="none" w:sz="0" w:space="0" w:color="auto"/>
              <w:bottom w:val="none" w:sz="0" w:space="0" w:color="auto"/>
            </w:tcBorders>
            <w:shd w:val="clear" w:color="auto" w:fill="auto"/>
          </w:tcPr>
          <w:p w14:paraId="2194E1BF" w14:textId="384BCBA4" w:rsidR="00384CF7" w:rsidRPr="002D2560" w:rsidRDefault="00384CF7" w:rsidP="00384CF7">
            <w:pPr>
              <w:keepLines/>
              <w:spacing w:before="120" w:after="120"/>
              <w:rPr>
                <w:rFonts w:cs="Arial"/>
                <w:color w:val="000000"/>
                <w:sz w:val="20"/>
                <w:szCs w:val="20"/>
                <w:lang w:val="en-AU"/>
              </w:rPr>
            </w:pPr>
            <w:r w:rsidRPr="002D2560">
              <w:rPr>
                <w:sz w:val="20"/>
                <w:szCs w:val="20"/>
                <w:lang w:val="en-AU"/>
              </w:rPr>
              <w:t>Review data</w:t>
            </w:r>
          </w:p>
        </w:tc>
        <w:tc>
          <w:tcPr>
            <w:tcW w:w="6897" w:type="dxa"/>
            <w:tcBorders>
              <w:top w:val="none" w:sz="0" w:space="0" w:color="auto"/>
              <w:bottom w:val="none" w:sz="0" w:space="0" w:color="auto"/>
            </w:tcBorders>
            <w:shd w:val="clear" w:color="auto" w:fill="auto"/>
          </w:tcPr>
          <w:p w14:paraId="67A5164E" w14:textId="703449E6" w:rsidR="00384CF7" w:rsidRPr="002D2560" w:rsidRDefault="00384CF7" w:rsidP="00384CF7">
            <w:pPr>
              <w:keepLines/>
              <w:spacing w:before="120" w:after="120"/>
              <w:rPr>
                <w:rFonts w:cs="Arial"/>
                <w:color w:val="1C1C1C"/>
                <w:sz w:val="20"/>
                <w:szCs w:val="20"/>
                <w:lang w:val="en-AU"/>
              </w:rPr>
            </w:pPr>
            <w:r w:rsidRPr="002D2560">
              <w:rPr>
                <w:sz w:val="20"/>
                <w:szCs w:val="20"/>
                <w:lang w:val="en-AU"/>
              </w:rPr>
              <w:t>Any data anomalies or errors identified by IH</w:t>
            </w:r>
            <w:r w:rsidR="007F1B0A" w:rsidRPr="002D2560">
              <w:rPr>
                <w:sz w:val="20"/>
                <w:szCs w:val="20"/>
                <w:lang w:val="en-AU"/>
              </w:rPr>
              <w:t>AC</w:t>
            </w:r>
            <w:r w:rsidRPr="002D2560">
              <w:rPr>
                <w:sz w:val="20"/>
                <w:szCs w:val="20"/>
                <w:lang w:val="en-AU"/>
              </w:rPr>
              <w:t xml:space="preserve">PA will be discussed with the relevant jurisdiction to determine how they will be addressed. </w:t>
            </w:r>
          </w:p>
        </w:tc>
      </w:tr>
      <w:tr w:rsidR="00384CF7" w:rsidRPr="002D2560" w14:paraId="40626A8E" w14:textId="77777777" w:rsidTr="00384CF7">
        <w:trPr>
          <w:cnfStyle w:val="000000100000" w:firstRow="0" w:lastRow="0" w:firstColumn="0" w:lastColumn="0" w:oddVBand="0" w:evenVBand="0" w:oddHBand="1" w:evenHBand="0" w:firstRowFirstColumn="0" w:firstRowLastColumn="0" w:lastRowFirstColumn="0" w:lastRowLastColumn="0"/>
          <w:trHeight w:val="20"/>
        </w:trPr>
        <w:tc>
          <w:tcPr>
            <w:tcW w:w="5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5AEBCFE" w14:textId="47A012AE" w:rsidR="00384CF7" w:rsidRPr="002D2560" w:rsidRDefault="00384CF7" w:rsidP="00384CF7">
            <w:pPr>
              <w:keepLines/>
              <w:spacing w:before="120" w:after="120"/>
              <w:rPr>
                <w:rFonts w:cs="Arial"/>
                <w:color w:val="000000"/>
                <w:sz w:val="20"/>
                <w:szCs w:val="20"/>
                <w:lang w:val="en-AU"/>
              </w:rPr>
            </w:pPr>
            <w:r w:rsidRPr="002D2560">
              <w:rPr>
                <w:sz w:val="20"/>
                <w:szCs w:val="20"/>
                <w:lang w:val="en-AU"/>
              </w:rPr>
              <w:lastRenderedPageBreak/>
              <w:t xml:space="preserve">5. </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95245A" w14:textId="07CA7E91" w:rsidR="00384CF7" w:rsidRPr="002D2560" w:rsidRDefault="00384CF7" w:rsidP="00384CF7">
            <w:pPr>
              <w:keepLines/>
              <w:spacing w:before="120" w:after="120"/>
              <w:rPr>
                <w:rFonts w:cs="Arial"/>
                <w:color w:val="000000"/>
                <w:sz w:val="20"/>
                <w:szCs w:val="20"/>
                <w:lang w:val="en-AU"/>
              </w:rPr>
            </w:pPr>
            <w:r w:rsidRPr="002D2560">
              <w:rPr>
                <w:sz w:val="20"/>
                <w:szCs w:val="20"/>
                <w:lang w:val="en-AU"/>
              </w:rPr>
              <w:t>Decision</w:t>
            </w:r>
          </w:p>
        </w:tc>
        <w:tc>
          <w:tcPr>
            <w:tcW w:w="68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3A086DC" w14:textId="4234EE0D" w:rsidR="00384CF7" w:rsidRPr="002D2560" w:rsidRDefault="00384CF7" w:rsidP="00384CF7">
            <w:pPr>
              <w:keepLines/>
              <w:spacing w:before="120" w:after="120"/>
              <w:rPr>
                <w:rFonts w:cs="Arial"/>
                <w:color w:val="1C1C1C"/>
                <w:sz w:val="20"/>
                <w:szCs w:val="20"/>
                <w:lang w:val="en-AU"/>
              </w:rPr>
            </w:pPr>
            <w:r w:rsidRPr="002D2560">
              <w:rPr>
                <w:sz w:val="20"/>
                <w:szCs w:val="20"/>
                <w:lang w:val="en-AU"/>
              </w:rPr>
              <w:t>If there are no errors or anomalies, the final data</w:t>
            </w:r>
            <w:r w:rsidR="005E330F" w:rsidRPr="002D2560">
              <w:rPr>
                <w:sz w:val="20"/>
                <w:szCs w:val="20"/>
                <w:lang w:val="en-AU"/>
              </w:rPr>
              <w:t xml:space="preserve"> </w:t>
            </w:r>
            <w:r w:rsidRPr="002D2560">
              <w:rPr>
                <w:sz w:val="20"/>
                <w:szCs w:val="20"/>
                <w:lang w:val="en-AU"/>
              </w:rPr>
              <w:t>sets are created. Otherwise, jurisdictions will be asked to make appropriate corrections and re-submit the data to IH</w:t>
            </w:r>
            <w:r w:rsidR="007F1B0A" w:rsidRPr="002D2560">
              <w:rPr>
                <w:sz w:val="20"/>
                <w:szCs w:val="20"/>
                <w:lang w:val="en-AU"/>
              </w:rPr>
              <w:t>AC</w:t>
            </w:r>
            <w:r w:rsidRPr="002D2560">
              <w:rPr>
                <w:sz w:val="20"/>
                <w:szCs w:val="20"/>
                <w:lang w:val="en-AU"/>
              </w:rPr>
              <w:t>PA. Where the issues cannot be corrected, jurisdictions will be asked to advise IH</w:t>
            </w:r>
            <w:r w:rsidR="007F1B0A" w:rsidRPr="002D2560">
              <w:rPr>
                <w:sz w:val="20"/>
                <w:szCs w:val="20"/>
                <w:lang w:val="en-AU"/>
              </w:rPr>
              <w:t>AC</w:t>
            </w:r>
            <w:r w:rsidRPr="002D2560">
              <w:rPr>
                <w:sz w:val="20"/>
                <w:szCs w:val="20"/>
                <w:lang w:val="en-AU"/>
              </w:rPr>
              <w:t>PA that the data is to be used with known issues.</w:t>
            </w:r>
          </w:p>
        </w:tc>
      </w:tr>
      <w:tr w:rsidR="00384CF7" w:rsidRPr="002D2560" w14:paraId="1EB36EEF" w14:textId="77777777" w:rsidTr="00384CF7">
        <w:trPr>
          <w:cnfStyle w:val="000000010000" w:firstRow="0" w:lastRow="0" w:firstColumn="0" w:lastColumn="0" w:oddVBand="0" w:evenVBand="0" w:oddHBand="0" w:evenHBand="1" w:firstRowFirstColumn="0" w:firstRowLastColumn="0" w:lastRowFirstColumn="0" w:lastRowLastColumn="0"/>
          <w:trHeight w:val="20"/>
        </w:trPr>
        <w:tc>
          <w:tcPr>
            <w:tcW w:w="562" w:type="dxa"/>
            <w:tcBorders>
              <w:top w:val="none" w:sz="0" w:space="0" w:color="auto"/>
              <w:bottom w:val="none" w:sz="0" w:space="0" w:color="auto"/>
            </w:tcBorders>
            <w:shd w:val="clear" w:color="auto" w:fill="auto"/>
          </w:tcPr>
          <w:p w14:paraId="6A132084" w14:textId="20A56062" w:rsidR="00384CF7" w:rsidRPr="002D2560" w:rsidRDefault="00384CF7" w:rsidP="00384CF7">
            <w:pPr>
              <w:keepLines/>
              <w:spacing w:before="120" w:after="120"/>
              <w:rPr>
                <w:sz w:val="20"/>
                <w:szCs w:val="20"/>
                <w:lang w:val="en-AU"/>
              </w:rPr>
            </w:pPr>
            <w:r w:rsidRPr="002D2560">
              <w:rPr>
                <w:sz w:val="20"/>
                <w:szCs w:val="20"/>
                <w:lang w:val="en-AU"/>
              </w:rPr>
              <w:t>6.</w:t>
            </w:r>
          </w:p>
        </w:tc>
        <w:tc>
          <w:tcPr>
            <w:tcW w:w="2268" w:type="dxa"/>
            <w:tcBorders>
              <w:top w:val="none" w:sz="0" w:space="0" w:color="auto"/>
              <w:bottom w:val="none" w:sz="0" w:space="0" w:color="auto"/>
            </w:tcBorders>
            <w:shd w:val="clear" w:color="auto" w:fill="auto"/>
          </w:tcPr>
          <w:p w14:paraId="7AD35E1D" w14:textId="036F4554" w:rsidR="00384CF7" w:rsidRPr="002D2560" w:rsidRDefault="00384CF7" w:rsidP="00384CF7">
            <w:pPr>
              <w:keepLines/>
              <w:spacing w:before="120" w:after="120"/>
              <w:rPr>
                <w:sz w:val="20"/>
                <w:szCs w:val="20"/>
                <w:lang w:val="en-AU"/>
              </w:rPr>
            </w:pPr>
            <w:r w:rsidRPr="002D2560">
              <w:rPr>
                <w:sz w:val="20"/>
                <w:szCs w:val="20"/>
                <w:lang w:val="en-AU"/>
              </w:rPr>
              <w:t>Correct identified issues</w:t>
            </w:r>
          </w:p>
        </w:tc>
        <w:tc>
          <w:tcPr>
            <w:tcW w:w="6897" w:type="dxa"/>
            <w:tcBorders>
              <w:top w:val="none" w:sz="0" w:space="0" w:color="auto"/>
              <w:bottom w:val="none" w:sz="0" w:space="0" w:color="auto"/>
            </w:tcBorders>
            <w:shd w:val="clear" w:color="auto" w:fill="auto"/>
          </w:tcPr>
          <w:p w14:paraId="19CE6989" w14:textId="6C7352D1" w:rsidR="00384CF7" w:rsidRPr="002D2560" w:rsidRDefault="00384CF7" w:rsidP="00384CF7">
            <w:pPr>
              <w:keepLines/>
              <w:spacing w:before="120" w:after="120"/>
              <w:rPr>
                <w:rFonts w:cs="Arial"/>
                <w:color w:val="1C1C1C"/>
                <w:sz w:val="20"/>
                <w:szCs w:val="20"/>
                <w:lang w:val="en-AU"/>
              </w:rPr>
            </w:pPr>
            <w:r w:rsidRPr="002D2560">
              <w:rPr>
                <w:sz w:val="20"/>
                <w:szCs w:val="20"/>
                <w:lang w:val="en-AU"/>
              </w:rPr>
              <w:t>Jurisdictions correct any errors or anomalies identified by IH</w:t>
            </w:r>
            <w:r w:rsidR="007F1B0A" w:rsidRPr="002D2560">
              <w:rPr>
                <w:sz w:val="20"/>
                <w:szCs w:val="20"/>
                <w:lang w:val="en-AU"/>
              </w:rPr>
              <w:t>AC</w:t>
            </w:r>
            <w:r w:rsidRPr="002D2560">
              <w:rPr>
                <w:sz w:val="20"/>
                <w:szCs w:val="20"/>
                <w:lang w:val="en-AU"/>
              </w:rPr>
              <w:t>PA and resubmit their data.</w:t>
            </w:r>
          </w:p>
        </w:tc>
      </w:tr>
      <w:tr w:rsidR="00384CF7" w:rsidRPr="002D2560" w14:paraId="2037FC79" w14:textId="77777777" w:rsidTr="00384CF7">
        <w:trPr>
          <w:cnfStyle w:val="000000100000" w:firstRow="0" w:lastRow="0" w:firstColumn="0" w:lastColumn="0" w:oddVBand="0" w:evenVBand="0" w:oddHBand="1" w:evenHBand="0" w:firstRowFirstColumn="0" w:firstRowLastColumn="0" w:lastRowFirstColumn="0" w:lastRowLastColumn="0"/>
          <w:trHeight w:val="20"/>
        </w:trPr>
        <w:tc>
          <w:tcPr>
            <w:tcW w:w="5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A9EB21D" w14:textId="08E2644D" w:rsidR="00384CF7" w:rsidRPr="002D2560" w:rsidRDefault="00384CF7" w:rsidP="00384CF7">
            <w:pPr>
              <w:keepLines/>
              <w:spacing w:before="120" w:after="120"/>
              <w:rPr>
                <w:rFonts w:cs="Arial"/>
                <w:color w:val="000000"/>
                <w:sz w:val="20"/>
                <w:szCs w:val="20"/>
                <w:lang w:val="en-AU"/>
              </w:rPr>
            </w:pPr>
            <w:r w:rsidRPr="002D2560">
              <w:rPr>
                <w:sz w:val="20"/>
                <w:szCs w:val="20"/>
                <w:lang w:val="en-AU"/>
              </w:rPr>
              <w:t>7.</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23C4EC" w14:textId="039D48C9" w:rsidR="00384CF7" w:rsidRPr="002D2560" w:rsidRDefault="00384CF7" w:rsidP="00384CF7">
            <w:pPr>
              <w:keepLines/>
              <w:spacing w:before="120" w:after="120"/>
              <w:rPr>
                <w:rFonts w:cs="Arial"/>
                <w:color w:val="000000"/>
                <w:sz w:val="20"/>
                <w:szCs w:val="20"/>
                <w:lang w:val="en-AU"/>
              </w:rPr>
            </w:pPr>
            <w:r w:rsidRPr="002D2560">
              <w:rPr>
                <w:sz w:val="20"/>
                <w:szCs w:val="20"/>
                <w:lang w:val="en-AU"/>
              </w:rPr>
              <w:t>Create data</w:t>
            </w:r>
            <w:r w:rsidR="005E330F" w:rsidRPr="002D2560">
              <w:rPr>
                <w:sz w:val="20"/>
                <w:szCs w:val="20"/>
                <w:lang w:val="en-AU"/>
              </w:rPr>
              <w:t xml:space="preserve"> </w:t>
            </w:r>
            <w:r w:rsidRPr="002D2560">
              <w:rPr>
                <w:sz w:val="20"/>
                <w:szCs w:val="20"/>
                <w:lang w:val="en-AU"/>
              </w:rPr>
              <w:t>sets</w:t>
            </w:r>
          </w:p>
        </w:tc>
        <w:tc>
          <w:tcPr>
            <w:tcW w:w="68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8466906" w14:textId="43FDF540" w:rsidR="00384CF7" w:rsidRPr="002D2560" w:rsidRDefault="00384CF7" w:rsidP="00384CF7">
            <w:pPr>
              <w:keepLines/>
              <w:spacing w:before="120" w:after="120"/>
              <w:rPr>
                <w:rFonts w:cs="Arial"/>
                <w:color w:val="1C1C1C"/>
                <w:sz w:val="20"/>
                <w:szCs w:val="20"/>
                <w:lang w:val="en-AU"/>
              </w:rPr>
            </w:pPr>
            <w:r w:rsidRPr="002D2560">
              <w:rPr>
                <w:sz w:val="20"/>
                <w:szCs w:val="20"/>
                <w:lang w:val="en-AU"/>
              </w:rPr>
              <w:t>After all issues are resolved the final data</w:t>
            </w:r>
            <w:r w:rsidR="005E330F" w:rsidRPr="002D2560">
              <w:rPr>
                <w:sz w:val="20"/>
                <w:szCs w:val="20"/>
                <w:lang w:val="en-AU"/>
              </w:rPr>
              <w:t xml:space="preserve"> </w:t>
            </w:r>
            <w:r w:rsidRPr="002D2560">
              <w:rPr>
                <w:sz w:val="20"/>
                <w:szCs w:val="20"/>
                <w:lang w:val="en-AU"/>
              </w:rPr>
              <w:t>sets are created and made available to agencies under clause B77 of the Addendum.</w:t>
            </w:r>
          </w:p>
        </w:tc>
      </w:tr>
    </w:tbl>
    <w:p w14:paraId="388917E7" w14:textId="021481B7" w:rsidR="00384CF7" w:rsidRPr="002D2560" w:rsidRDefault="00384CF7" w:rsidP="00384CF7">
      <w:pPr>
        <w:spacing w:before="160"/>
        <w:rPr>
          <w:lang w:val="en-AU"/>
        </w:rPr>
      </w:pPr>
      <w:r w:rsidRPr="002D2560">
        <w:rPr>
          <w:lang w:val="en-AU"/>
        </w:rPr>
        <w:t>States and territories are required to report hospital activity data on a quarterly ‘year to date’ basis to IH</w:t>
      </w:r>
      <w:r w:rsidR="007F1B0A" w:rsidRPr="002D2560">
        <w:rPr>
          <w:lang w:val="en-AU"/>
        </w:rPr>
        <w:t>AC</w:t>
      </w:r>
      <w:r w:rsidRPr="002D2560">
        <w:rPr>
          <w:lang w:val="en-AU"/>
        </w:rPr>
        <w:t xml:space="preserve">PA, while teaching, training and research and hospital cost data provided through the NHCDC is reported on an annual basis. Sentinel events are to be reported every six months as part of the December and June submissions. </w:t>
      </w:r>
    </w:p>
    <w:p w14:paraId="0EBD2A13" w14:textId="48E6F733" w:rsidR="00384CF7" w:rsidRPr="002D2560" w:rsidRDefault="00384CF7" w:rsidP="00107591">
      <w:pPr>
        <w:rPr>
          <w:lang w:val="en-AU"/>
        </w:rPr>
      </w:pPr>
      <w:r w:rsidRPr="002D2560">
        <w:rPr>
          <w:lang w:val="en-AU"/>
        </w:rPr>
        <w:t>Quarterly ‘year to date’ data collection enables data from previous submissions to be corrected. For example, the end of year submission would be considered final, allowing for any missing or erroneous data in the third quarter submission to be corrected.</w:t>
      </w:r>
    </w:p>
    <w:p w14:paraId="5FA64CD9" w14:textId="0822722E" w:rsidR="00384CF7" w:rsidRPr="002D2560" w:rsidRDefault="00384CF7" w:rsidP="00384CF7">
      <w:pPr>
        <w:pStyle w:val="Heading2"/>
      </w:pPr>
      <w:r w:rsidRPr="002D2560">
        <w:t>Activity data collection</w:t>
      </w:r>
    </w:p>
    <w:p w14:paraId="5BE72D4D" w14:textId="12DC0811" w:rsidR="00384CF7" w:rsidRPr="002D2560" w:rsidRDefault="00384CF7" w:rsidP="00107591">
      <w:pPr>
        <w:rPr>
          <w:lang w:val="en-AU"/>
        </w:rPr>
      </w:pPr>
      <w:r w:rsidRPr="002D2560">
        <w:rPr>
          <w:lang w:val="en-AU"/>
        </w:rPr>
        <w:t xml:space="preserve">To </w:t>
      </w:r>
      <w:r w:rsidR="00396ED0" w:rsidRPr="002D2560">
        <w:rPr>
          <w:lang w:val="en-AU"/>
        </w:rPr>
        <w:t xml:space="preserve">align with IHACPA’s commitment of delivering the annual NEP Determination in March for the upcoming financial year (for example, the NEP Determination 2024–25 will be published in March 2024), IHACPA </w:t>
      </w:r>
      <w:r w:rsidRPr="002D2560">
        <w:rPr>
          <w:lang w:val="en-AU"/>
        </w:rPr>
        <w:t>collects data from jurisdictions according to the following principles:</w:t>
      </w:r>
    </w:p>
    <w:p w14:paraId="32B67194" w14:textId="77777777" w:rsidR="00384CF7" w:rsidRPr="002D2560" w:rsidRDefault="00384CF7" w:rsidP="00384CF7">
      <w:pPr>
        <w:pStyle w:val="ListParagraph"/>
        <w:numPr>
          <w:ilvl w:val="0"/>
          <w:numId w:val="15"/>
        </w:numPr>
        <w:rPr>
          <w:lang w:val="en-AU"/>
        </w:rPr>
      </w:pPr>
      <w:r w:rsidRPr="002D2560">
        <w:rPr>
          <w:lang w:val="en-AU"/>
        </w:rPr>
        <w:t>Data requests are sent to jurisdictions in March of each year, three months prior to the start of the next financial year.</w:t>
      </w:r>
    </w:p>
    <w:p w14:paraId="5292E6C6" w14:textId="1E2E1DC3" w:rsidR="00384CF7" w:rsidRPr="002D2560" w:rsidRDefault="00384CF7" w:rsidP="00384CF7">
      <w:pPr>
        <w:pStyle w:val="ListParagraph"/>
        <w:numPr>
          <w:ilvl w:val="0"/>
          <w:numId w:val="15"/>
        </w:numPr>
        <w:rPr>
          <w:lang w:val="en-AU"/>
        </w:rPr>
      </w:pPr>
      <w:r w:rsidRPr="002D2560">
        <w:rPr>
          <w:lang w:val="en-AU"/>
        </w:rPr>
        <w:t>Activity data for service categories (</w:t>
      </w:r>
      <w:proofErr w:type="gramStart"/>
      <w:r w:rsidRPr="002D2560">
        <w:rPr>
          <w:lang w:val="en-AU"/>
        </w:rPr>
        <w:t>with the exception of</w:t>
      </w:r>
      <w:proofErr w:type="gramEnd"/>
      <w:r w:rsidRPr="002D2560">
        <w:rPr>
          <w:lang w:val="en-AU"/>
        </w:rPr>
        <w:t xml:space="preserve"> teaching, training and research) to be submitted to IH</w:t>
      </w:r>
      <w:r w:rsidR="007F1B0A" w:rsidRPr="002D2560">
        <w:rPr>
          <w:lang w:val="en-AU"/>
        </w:rPr>
        <w:t>AC</w:t>
      </w:r>
      <w:r w:rsidRPr="002D2560">
        <w:rPr>
          <w:lang w:val="en-AU"/>
        </w:rPr>
        <w:t>PA quarterly on a year to date basis</w:t>
      </w:r>
      <w:r w:rsidR="00FB2F89" w:rsidRPr="002D2560">
        <w:rPr>
          <w:lang w:val="en-AU"/>
        </w:rPr>
        <w:t>, hence</w:t>
      </w:r>
      <w:r w:rsidRPr="002D2560">
        <w:rPr>
          <w:lang w:val="en-AU"/>
        </w:rPr>
        <w:t xml:space="preserve"> the fourth quarter data submissions will include all activity data for that financial year).</w:t>
      </w:r>
    </w:p>
    <w:p w14:paraId="7C087AF6" w14:textId="0939DA04" w:rsidR="00384CF7" w:rsidRPr="002D2560" w:rsidRDefault="00384CF7" w:rsidP="00384CF7">
      <w:pPr>
        <w:pStyle w:val="ListParagraph"/>
        <w:numPr>
          <w:ilvl w:val="0"/>
          <w:numId w:val="15"/>
        </w:numPr>
        <w:rPr>
          <w:lang w:val="en-AU"/>
        </w:rPr>
      </w:pPr>
      <w:r w:rsidRPr="002D2560">
        <w:rPr>
          <w:lang w:val="en-AU"/>
        </w:rPr>
        <w:t>Sentinel events to be submitted to IH</w:t>
      </w:r>
      <w:r w:rsidR="007F1B0A" w:rsidRPr="002D2560">
        <w:rPr>
          <w:lang w:val="en-AU"/>
        </w:rPr>
        <w:t>AC</w:t>
      </w:r>
      <w:r w:rsidRPr="002D2560">
        <w:rPr>
          <w:lang w:val="en-AU"/>
        </w:rPr>
        <w:t>PA biannually as part of the December and June data submissions.</w:t>
      </w:r>
    </w:p>
    <w:p w14:paraId="7ADDCA9F" w14:textId="02D38054" w:rsidR="00384CF7" w:rsidRPr="002D2560" w:rsidRDefault="00384CF7" w:rsidP="00384CF7">
      <w:pPr>
        <w:pStyle w:val="ListParagraph"/>
        <w:numPr>
          <w:ilvl w:val="0"/>
          <w:numId w:val="15"/>
        </w:numPr>
        <w:rPr>
          <w:lang w:val="en-AU"/>
        </w:rPr>
      </w:pPr>
      <w:r w:rsidRPr="002D2560">
        <w:rPr>
          <w:lang w:val="en-AU"/>
        </w:rPr>
        <w:t>Activity data for teaching, training and research to be submitted to IH</w:t>
      </w:r>
      <w:r w:rsidR="007F1B0A" w:rsidRPr="002D2560">
        <w:rPr>
          <w:lang w:val="en-AU"/>
        </w:rPr>
        <w:t>AC</w:t>
      </w:r>
      <w:r w:rsidRPr="002D2560">
        <w:rPr>
          <w:lang w:val="en-AU"/>
        </w:rPr>
        <w:t>PA on an annual basis.</w:t>
      </w:r>
    </w:p>
    <w:p w14:paraId="3FA8DF6A" w14:textId="4B5A1F19" w:rsidR="00384CF7" w:rsidRPr="002D2560" w:rsidRDefault="00384CF7" w:rsidP="00384CF7">
      <w:pPr>
        <w:pStyle w:val="ListParagraph"/>
        <w:numPr>
          <w:ilvl w:val="0"/>
          <w:numId w:val="15"/>
        </w:numPr>
        <w:rPr>
          <w:lang w:val="en-AU"/>
        </w:rPr>
      </w:pPr>
      <w:r w:rsidRPr="002D2560">
        <w:rPr>
          <w:lang w:val="en-AU"/>
        </w:rPr>
        <w:t>Data for each quarter is due by the last working day of the following quarter (</w:t>
      </w:r>
      <w:r w:rsidR="007F1B0A" w:rsidRPr="002D2560">
        <w:rPr>
          <w:lang w:val="en-AU"/>
        </w:rPr>
        <w:t>for example,</w:t>
      </w:r>
      <w:r w:rsidRPr="002D2560">
        <w:rPr>
          <w:lang w:val="en-AU"/>
        </w:rPr>
        <w:t xml:space="preserve"> data for the June 202</w:t>
      </w:r>
      <w:r w:rsidR="00FB2F89" w:rsidRPr="002D2560">
        <w:rPr>
          <w:lang w:val="en-AU"/>
        </w:rPr>
        <w:t>3</w:t>
      </w:r>
      <w:r w:rsidRPr="002D2560">
        <w:rPr>
          <w:lang w:val="en-AU"/>
        </w:rPr>
        <w:t xml:space="preserve"> quarter period is due on 30 September 202</w:t>
      </w:r>
      <w:r w:rsidR="00FB2F89" w:rsidRPr="002D2560">
        <w:rPr>
          <w:lang w:val="en-AU"/>
        </w:rPr>
        <w:t>3</w:t>
      </w:r>
      <w:r w:rsidRPr="002D2560">
        <w:rPr>
          <w:lang w:val="en-AU"/>
        </w:rPr>
        <w:t>).</w:t>
      </w:r>
    </w:p>
    <w:p w14:paraId="724FE450" w14:textId="192DC9BD" w:rsidR="00384CF7" w:rsidRPr="002D2560" w:rsidRDefault="00384CF7" w:rsidP="00384CF7">
      <w:pPr>
        <w:pStyle w:val="ListParagraph"/>
        <w:numPr>
          <w:ilvl w:val="0"/>
          <w:numId w:val="15"/>
        </w:numPr>
        <w:rPr>
          <w:lang w:val="en-AU"/>
        </w:rPr>
      </w:pPr>
      <w:r w:rsidRPr="002D2560">
        <w:rPr>
          <w:lang w:val="en-AU"/>
        </w:rPr>
        <w:t>IH</w:t>
      </w:r>
      <w:r w:rsidR="007F1B0A" w:rsidRPr="002D2560">
        <w:rPr>
          <w:lang w:val="en-AU"/>
        </w:rPr>
        <w:t>AC</w:t>
      </w:r>
      <w:r w:rsidRPr="002D2560">
        <w:rPr>
          <w:lang w:val="en-AU"/>
        </w:rPr>
        <w:t>PA validates the submitted data within two weeks and provides feedback to jurisdictions who have two weeks to correct any identified issues and resubmit the data to IH</w:t>
      </w:r>
      <w:r w:rsidR="007F1B0A" w:rsidRPr="002D2560">
        <w:rPr>
          <w:lang w:val="en-AU"/>
        </w:rPr>
        <w:t>AC</w:t>
      </w:r>
      <w:r w:rsidRPr="002D2560">
        <w:rPr>
          <w:lang w:val="en-AU"/>
        </w:rPr>
        <w:t>PA.</w:t>
      </w:r>
    </w:p>
    <w:p w14:paraId="2CDB80AD" w14:textId="41303AE3" w:rsidR="00384CF7" w:rsidRPr="002D2560" w:rsidRDefault="00384CF7" w:rsidP="00384CF7">
      <w:pPr>
        <w:pStyle w:val="ListParagraph"/>
        <w:numPr>
          <w:ilvl w:val="0"/>
          <w:numId w:val="15"/>
        </w:numPr>
        <w:rPr>
          <w:lang w:val="en-AU"/>
        </w:rPr>
      </w:pPr>
      <w:r w:rsidRPr="002D2560">
        <w:rPr>
          <w:lang w:val="en-AU"/>
        </w:rPr>
        <w:t>The acceptance of any data resubmissions for the purposes of calculating funding entitlements are a matter for the Administrator.</w:t>
      </w:r>
    </w:p>
    <w:p w14:paraId="7BE43800" w14:textId="10A95B09" w:rsidR="00384CF7" w:rsidRPr="002D2560" w:rsidRDefault="005F15C4" w:rsidP="00384CF7">
      <w:pPr>
        <w:pStyle w:val="Heading3"/>
      </w:pPr>
      <w:r w:rsidRPr="002D2560">
        <w:lastRenderedPageBreak/>
        <w:t>6</w:t>
      </w:r>
      <w:r w:rsidR="00384CF7" w:rsidRPr="002D2560">
        <w:t>.2.1</w:t>
      </w:r>
      <w:r w:rsidR="00384CF7" w:rsidRPr="002D2560">
        <w:tab/>
        <w:t>Admitted patient care activity</w:t>
      </w:r>
    </w:p>
    <w:p w14:paraId="1B965D82" w14:textId="77777777" w:rsidR="00384CF7" w:rsidRPr="002D2560" w:rsidRDefault="00384CF7" w:rsidP="00384CF7">
      <w:pPr>
        <w:pStyle w:val="ListParagraph"/>
        <w:numPr>
          <w:ilvl w:val="0"/>
          <w:numId w:val="15"/>
        </w:numPr>
        <w:rPr>
          <w:lang w:val="en-AU"/>
        </w:rPr>
      </w:pPr>
      <w:r w:rsidRPr="002D2560">
        <w:rPr>
          <w:lang w:val="en-AU"/>
        </w:rPr>
        <w:t>Admitted patient care activity data is reported once a separation has occurred.</w:t>
      </w:r>
    </w:p>
    <w:p w14:paraId="656026AD" w14:textId="5B67D254" w:rsidR="00384CF7" w:rsidRPr="002D2560" w:rsidRDefault="00384CF7" w:rsidP="00384CF7">
      <w:pPr>
        <w:pStyle w:val="ListParagraph"/>
        <w:numPr>
          <w:ilvl w:val="0"/>
          <w:numId w:val="15"/>
        </w:numPr>
        <w:rPr>
          <w:lang w:val="en-AU"/>
        </w:rPr>
      </w:pPr>
      <w:r w:rsidRPr="002D2560">
        <w:rPr>
          <w:lang w:val="en-AU"/>
        </w:rPr>
        <w:t>Due to ‘coding lag’ (elapsed time between the date of service provision and the diagnosis details being coded) previous quarter admitted acute activity data can be revised when the subsequent quarter is submitted.</w:t>
      </w:r>
    </w:p>
    <w:p w14:paraId="3806B8C6" w14:textId="12242B9A" w:rsidR="00FB2F89" w:rsidRPr="002D2560" w:rsidRDefault="005F15C4" w:rsidP="00FB2F89">
      <w:pPr>
        <w:pStyle w:val="Heading3"/>
      </w:pPr>
      <w:r w:rsidRPr="002D2560">
        <w:t>6</w:t>
      </w:r>
      <w:r w:rsidR="00FB2F89" w:rsidRPr="002D2560">
        <w:t>.2.2</w:t>
      </w:r>
      <w:r w:rsidR="00FB2F89" w:rsidRPr="002D2560">
        <w:tab/>
        <w:t>Admitted subacute and non-acute patient care activity</w:t>
      </w:r>
    </w:p>
    <w:p w14:paraId="74EB51A1" w14:textId="77777777" w:rsidR="00FB2F89" w:rsidRPr="002D2560" w:rsidRDefault="00FB2F89" w:rsidP="00FB2F89">
      <w:pPr>
        <w:pStyle w:val="ListParagraph"/>
        <w:numPr>
          <w:ilvl w:val="0"/>
          <w:numId w:val="16"/>
        </w:numPr>
        <w:rPr>
          <w:lang w:val="en-AU"/>
        </w:rPr>
      </w:pPr>
      <w:r w:rsidRPr="002D2560">
        <w:rPr>
          <w:lang w:val="en-AU"/>
        </w:rPr>
        <w:t xml:space="preserve">Admitted subacute and non-acute patient care activity is reported once a separation has occurred. </w:t>
      </w:r>
    </w:p>
    <w:p w14:paraId="34B8A386" w14:textId="2DF3C369" w:rsidR="00384CF7" w:rsidRPr="002D2560" w:rsidRDefault="005F15C4" w:rsidP="00384CF7">
      <w:pPr>
        <w:pStyle w:val="Heading3"/>
      </w:pPr>
      <w:r w:rsidRPr="002D2560">
        <w:t>6</w:t>
      </w:r>
      <w:r w:rsidR="00384CF7" w:rsidRPr="002D2560">
        <w:t>.2.</w:t>
      </w:r>
      <w:r w:rsidR="00FB2F89" w:rsidRPr="002D2560">
        <w:t>3</w:t>
      </w:r>
      <w:r w:rsidR="001F7524" w:rsidRPr="002D2560">
        <w:tab/>
      </w:r>
      <w:r w:rsidR="00384CF7" w:rsidRPr="002D2560">
        <w:t>Emergency patien</w:t>
      </w:r>
      <w:r w:rsidR="002A50EE" w:rsidRPr="002D2560">
        <w:t xml:space="preserve">t </w:t>
      </w:r>
      <w:r w:rsidR="00384CF7" w:rsidRPr="002D2560">
        <w:t xml:space="preserve">care activity </w:t>
      </w:r>
    </w:p>
    <w:p w14:paraId="2A661C01" w14:textId="38FCCEF6" w:rsidR="00384CF7" w:rsidRPr="002D2560" w:rsidRDefault="00384CF7" w:rsidP="001F7524">
      <w:pPr>
        <w:pStyle w:val="ListParagraph"/>
        <w:numPr>
          <w:ilvl w:val="0"/>
          <w:numId w:val="16"/>
        </w:numPr>
        <w:rPr>
          <w:lang w:val="en-AU"/>
        </w:rPr>
      </w:pPr>
      <w:r w:rsidRPr="002D2560">
        <w:rPr>
          <w:lang w:val="en-AU"/>
        </w:rPr>
        <w:t xml:space="preserve">Emergency patient care activity is reported once the emergency department </w:t>
      </w:r>
      <w:r w:rsidR="00FB2F89" w:rsidRPr="002D2560">
        <w:rPr>
          <w:lang w:val="en-AU"/>
        </w:rPr>
        <w:t xml:space="preserve">or emergency service </w:t>
      </w:r>
      <w:r w:rsidRPr="002D2560">
        <w:rPr>
          <w:lang w:val="en-AU"/>
        </w:rPr>
        <w:t xml:space="preserve">stay has been completed. </w:t>
      </w:r>
    </w:p>
    <w:p w14:paraId="2A4D216A" w14:textId="745C4085" w:rsidR="00384CF7" w:rsidRPr="002D2560" w:rsidRDefault="005F15C4" w:rsidP="001F7524">
      <w:pPr>
        <w:pStyle w:val="Heading3"/>
      </w:pPr>
      <w:r w:rsidRPr="002D2560">
        <w:t>6</w:t>
      </w:r>
      <w:r w:rsidR="00384CF7" w:rsidRPr="002D2560">
        <w:t>.2.</w:t>
      </w:r>
      <w:r w:rsidR="00FB2F89" w:rsidRPr="002D2560">
        <w:t>4</w:t>
      </w:r>
      <w:r w:rsidR="00384CF7" w:rsidRPr="002D2560">
        <w:tab/>
      </w:r>
      <w:proofErr w:type="gramStart"/>
      <w:r w:rsidR="00384CF7" w:rsidRPr="002D2560">
        <w:t>Non-admitted</w:t>
      </w:r>
      <w:proofErr w:type="gramEnd"/>
      <w:r w:rsidR="00384CF7" w:rsidRPr="002D2560">
        <w:t xml:space="preserve"> patient care activity</w:t>
      </w:r>
    </w:p>
    <w:p w14:paraId="6C07AB2F" w14:textId="605559EB" w:rsidR="00384CF7" w:rsidRPr="002D2560" w:rsidRDefault="00384CF7" w:rsidP="001F7524">
      <w:pPr>
        <w:pStyle w:val="ListParagraph"/>
        <w:numPr>
          <w:ilvl w:val="0"/>
          <w:numId w:val="16"/>
        </w:numPr>
        <w:rPr>
          <w:lang w:val="en-AU"/>
        </w:rPr>
      </w:pPr>
      <w:r w:rsidRPr="002D2560">
        <w:rPr>
          <w:lang w:val="en-AU"/>
        </w:rPr>
        <w:t xml:space="preserve">Non-admitted patient care activity is reported once the service event has been completed. </w:t>
      </w:r>
    </w:p>
    <w:p w14:paraId="7C280BF5" w14:textId="284B3565" w:rsidR="00384CF7" w:rsidRPr="002D2560" w:rsidRDefault="005F15C4" w:rsidP="005E330F">
      <w:pPr>
        <w:pStyle w:val="Heading3"/>
      </w:pPr>
      <w:r w:rsidRPr="002D2560">
        <w:t>6</w:t>
      </w:r>
      <w:r w:rsidR="00384CF7" w:rsidRPr="002D2560">
        <w:t>.2.5</w:t>
      </w:r>
      <w:r w:rsidR="00384CF7" w:rsidRPr="002D2560">
        <w:tab/>
        <w:t xml:space="preserve">Mental health </w:t>
      </w:r>
      <w:r w:rsidR="00384CF7" w:rsidRPr="002D2560">
        <w:rPr>
          <w:rStyle w:val="Heading3Char"/>
          <w:b/>
        </w:rPr>
        <w:t>patient</w:t>
      </w:r>
      <w:r w:rsidR="00384CF7" w:rsidRPr="002D2560">
        <w:t xml:space="preserve"> care activity</w:t>
      </w:r>
    </w:p>
    <w:p w14:paraId="26B1FBEC" w14:textId="77777777" w:rsidR="001F7524" w:rsidRPr="002D2560" w:rsidRDefault="00384CF7" w:rsidP="00384CF7">
      <w:pPr>
        <w:pStyle w:val="ListParagraph"/>
        <w:numPr>
          <w:ilvl w:val="0"/>
          <w:numId w:val="16"/>
        </w:numPr>
        <w:rPr>
          <w:lang w:val="en-AU"/>
        </w:rPr>
      </w:pPr>
      <w:r w:rsidRPr="002D2560">
        <w:rPr>
          <w:lang w:val="en-AU"/>
        </w:rPr>
        <w:t>Mental health patient care activity will be either admitted, ambulatory or residential episodes.</w:t>
      </w:r>
    </w:p>
    <w:p w14:paraId="53326700" w14:textId="77777777" w:rsidR="001F7524" w:rsidRPr="002D2560" w:rsidRDefault="00384CF7" w:rsidP="00384CF7">
      <w:pPr>
        <w:pStyle w:val="ListParagraph"/>
        <w:numPr>
          <w:ilvl w:val="0"/>
          <w:numId w:val="16"/>
        </w:numPr>
        <w:rPr>
          <w:lang w:val="en-AU"/>
        </w:rPr>
      </w:pPr>
      <w:r w:rsidRPr="002D2560">
        <w:rPr>
          <w:lang w:val="en-AU"/>
        </w:rPr>
        <w:t xml:space="preserve">Admitted mental health care activity is reported once a separation has occurred. </w:t>
      </w:r>
    </w:p>
    <w:p w14:paraId="504E0614" w14:textId="51D77F10" w:rsidR="00384CF7" w:rsidRPr="002D2560" w:rsidRDefault="00384CF7" w:rsidP="00384CF7">
      <w:pPr>
        <w:pStyle w:val="ListParagraph"/>
        <w:numPr>
          <w:ilvl w:val="0"/>
          <w:numId w:val="16"/>
        </w:numPr>
        <w:rPr>
          <w:lang w:val="en-AU"/>
        </w:rPr>
      </w:pPr>
      <w:r w:rsidRPr="002D2560">
        <w:rPr>
          <w:lang w:val="en-AU"/>
        </w:rPr>
        <w:t xml:space="preserve">Ambulatory and residential mental health activity is reported each quarter it remains open. </w:t>
      </w:r>
    </w:p>
    <w:p w14:paraId="5C4C029C" w14:textId="327E5A4C" w:rsidR="00384CF7" w:rsidRPr="002D2560" w:rsidRDefault="005F15C4" w:rsidP="005E330F">
      <w:pPr>
        <w:pStyle w:val="Heading3"/>
      </w:pPr>
      <w:r w:rsidRPr="002D2560">
        <w:t>6</w:t>
      </w:r>
      <w:r w:rsidR="00384CF7" w:rsidRPr="002D2560">
        <w:t>.2.6</w:t>
      </w:r>
      <w:r w:rsidR="00384CF7" w:rsidRPr="002D2560">
        <w:tab/>
        <w:t xml:space="preserve">Sentinel </w:t>
      </w:r>
      <w:r w:rsidR="00384CF7" w:rsidRPr="002D2560">
        <w:rPr>
          <w:rStyle w:val="Heading3Char"/>
          <w:b/>
        </w:rPr>
        <w:t>events</w:t>
      </w:r>
    </w:p>
    <w:p w14:paraId="6B0CF03D" w14:textId="4FA641D7" w:rsidR="00384CF7" w:rsidRPr="002D2560" w:rsidRDefault="00384CF7" w:rsidP="001F7524">
      <w:pPr>
        <w:pStyle w:val="ListParagraph"/>
        <w:numPr>
          <w:ilvl w:val="0"/>
          <w:numId w:val="17"/>
        </w:numPr>
        <w:rPr>
          <w:lang w:val="en-AU"/>
        </w:rPr>
      </w:pPr>
      <w:r w:rsidRPr="002D2560">
        <w:rPr>
          <w:lang w:val="en-AU"/>
        </w:rPr>
        <w:t xml:space="preserve">A sentinel event is reported once a separation has </w:t>
      </w:r>
      <w:proofErr w:type="gramStart"/>
      <w:r w:rsidRPr="002D2560">
        <w:rPr>
          <w:lang w:val="en-AU"/>
        </w:rPr>
        <w:t>occurred</w:t>
      </w:r>
      <w:proofErr w:type="gramEnd"/>
      <w:r w:rsidRPr="002D2560">
        <w:rPr>
          <w:lang w:val="en-AU"/>
        </w:rPr>
        <w:t xml:space="preserve"> or service event has been completed.</w:t>
      </w:r>
    </w:p>
    <w:p w14:paraId="6A693EA2" w14:textId="209DD512" w:rsidR="00384CF7" w:rsidRPr="002D2560" w:rsidRDefault="005F15C4" w:rsidP="005E330F">
      <w:pPr>
        <w:pStyle w:val="Heading3"/>
      </w:pPr>
      <w:r w:rsidRPr="002D2560">
        <w:t>6</w:t>
      </w:r>
      <w:r w:rsidR="00384CF7" w:rsidRPr="002D2560">
        <w:t>.2.7</w:t>
      </w:r>
      <w:r w:rsidR="00384CF7" w:rsidRPr="002D2560">
        <w:tab/>
        <w:t xml:space="preserve">Alternative </w:t>
      </w:r>
      <w:r w:rsidR="00384CF7" w:rsidRPr="002D2560">
        <w:rPr>
          <w:rStyle w:val="Heading3Char"/>
          <w:b/>
        </w:rPr>
        <w:t>funding</w:t>
      </w:r>
      <w:r w:rsidR="00384CF7" w:rsidRPr="002D2560">
        <w:t xml:space="preserve"> source</w:t>
      </w:r>
    </w:p>
    <w:p w14:paraId="4A361B9F" w14:textId="7ABF82DA" w:rsidR="001F7524" w:rsidRPr="002D2560" w:rsidRDefault="00384CF7" w:rsidP="00384CF7">
      <w:pPr>
        <w:pStyle w:val="ListParagraph"/>
        <w:numPr>
          <w:ilvl w:val="0"/>
          <w:numId w:val="17"/>
        </w:numPr>
        <w:rPr>
          <w:lang w:val="en-AU"/>
        </w:rPr>
      </w:pPr>
      <w:r w:rsidRPr="002D2560">
        <w:rPr>
          <w:lang w:val="en-AU"/>
        </w:rPr>
        <w:t xml:space="preserve">A supplementary file can be used to identify </w:t>
      </w:r>
      <w:r w:rsidR="009A42FC" w:rsidRPr="002D2560">
        <w:rPr>
          <w:lang w:val="en-AU"/>
        </w:rPr>
        <w:t>c</w:t>
      </w:r>
      <w:r w:rsidRPr="002D2560">
        <w:rPr>
          <w:lang w:val="en-AU"/>
        </w:rPr>
        <w:t xml:space="preserve">oronavirus </w:t>
      </w:r>
      <w:r w:rsidR="00FB2F89" w:rsidRPr="002D2560">
        <w:rPr>
          <w:lang w:val="en-AU"/>
        </w:rPr>
        <w:t>d</w:t>
      </w:r>
      <w:r w:rsidRPr="002D2560">
        <w:rPr>
          <w:lang w:val="en-AU"/>
        </w:rPr>
        <w:t xml:space="preserve">isease 2019 (COVID-19) and other hospital activity in the ABF data sets eligible for funding under the </w:t>
      </w:r>
      <w:r w:rsidR="006D0BA2" w:rsidRPr="002D2560">
        <w:rPr>
          <w:lang w:val="en-AU"/>
        </w:rPr>
        <w:t>NHRA or the NPA</w:t>
      </w:r>
      <w:r w:rsidRPr="002D2560">
        <w:rPr>
          <w:lang w:val="en-AU"/>
        </w:rPr>
        <w:t>.</w:t>
      </w:r>
    </w:p>
    <w:p w14:paraId="16000300" w14:textId="77777777" w:rsidR="001F7524" w:rsidRPr="002D2560" w:rsidRDefault="00384CF7" w:rsidP="00384CF7">
      <w:pPr>
        <w:pStyle w:val="ListParagraph"/>
        <w:numPr>
          <w:ilvl w:val="0"/>
          <w:numId w:val="17"/>
        </w:numPr>
        <w:rPr>
          <w:lang w:val="en-AU"/>
        </w:rPr>
      </w:pPr>
      <w:r w:rsidRPr="002D2560">
        <w:rPr>
          <w:lang w:val="en-AU"/>
        </w:rPr>
        <w:t>Where activity relates directly to the COVID-19 response (for example, a COVID-19 hospital admission, emergency department attendance or non-admitted clinic visit), this can be identified in the activity data.</w:t>
      </w:r>
    </w:p>
    <w:p w14:paraId="460C1A4F" w14:textId="754A6A89" w:rsidR="001F7524" w:rsidRPr="002D2560" w:rsidRDefault="00384CF7" w:rsidP="001F7524">
      <w:pPr>
        <w:pStyle w:val="ListParagraph"/>
        <w:numPr>
          <w:ilvl w:val="0"/>
          <w:numId w:val="17"/>
        </w:numPr>
        <w:rPr>
          <w:lang w:val="en-AU"/>
        </w:rPr>
      </w:pPr>
      <w:r w:rsidRPr="002D2560">
        <w:rPr>
          <w:lang w:val="en-AU"/>
        </w:rPr>
        <w:t xml:space="preserve">Where activity does not relate to confirmed or suspected COVID-19 episodes and jurisdictions nominate that it be funded under the </w:t>
      </w:r>
      <w:r w:rsidR="006D0BA2" w:rsidRPr="002D2560">
        <w:rPr>
          <w:lang w:val="en-AU"/>
        </w:rPr>
        <w:t>NPA</w:t>
      </w:r>
      <w:r w:rsidRPr="002D2560">
        <w:rPr>
          <w:lang w:val="en-AU"/>
        </w:rPr>
        <w:t xml:space="preserve"> and will be identified through a supplementary file.</w:t>
      </w:r>
    </w:p>
    <w:p w14:paraId="547BF0E4" w14:textId="42E60E65" w:rsidR="00384CF7" w:rsidRPr="002D2560" w:rsidRDefault="00384CF7" w:rsidP="001F7524">
      <w:pPr>
        <w:pStyle w:val="ListParagraph"/>
        <w:numPr>
          <w:ilvl w:val="0"/>
          <w:numId w:val="17"/>
        </w:numPr>
        <w:rPr>
          <w:lang w:val="en-AU"/>
        </w:rPr>
      </w:pPr>
      <w:r w:rsidRPr="002D2560">
        <w:rPr>
          <w:lang w:val="en-AU"/>
        </w:rPr>
        <w:t xml:space="preserve">Any activity or program (for example, </w:t>
      </w:r>
      <w:proofErr w:type="spellStart"/>
      <w:r w:rsidRPr="002D2560">
        <w:rPr>
          <w:lang w:val="en-AU"/>
        </w:rPr>
        <w:t>HealthLinks</w:t>
      </w:r>
      <w:proofErr w:type="spellEnd"/>
      <w:r w:rsidRPr="002D2560">
        <w:rPr>
          <w:lang w:val="en-AU"/>
        </w:rPr>
        <w:t xml:space="preserve"> or high cost, highly specialised therapy procedures) outside of standard </w:t>
      </w:r>
      <w:r w:rsidR="00342D62" w:rsidRPr="002D2560">
        <w:rPr>
          <w:lang w:val="en-AU"/>
        </w:rPr>
        <w:t>ABF</w:t>
      </w:r>
      <w:r w:rsidRPr="002D2560">
        <w:rPr>
          <w:lang w:val="en-AU"/>
        </w:rPr>
        <w:t xml:space="preserve"> practice, will be identified through a supplementary file.</w:t>
      </w:r>
    </w:p>
    <w:p w14:paraId="31D5477A" w14:textId="490A52B0" w:rsidR="00384CF7" w:rsidRPr="002D2560" w:rsidRDefault="005F15C4" w:rsidP="005E330F">
      <w:pPr>
        <w:pStyle w:val="Heading3"/>
      </w:pPr>
      <w:r w:rsidRPr="002D2560">
        <w:t>6</w:t>
      </w:r>
      <w:r w:rsidR="00384CF7" w:rsidRPr="002D2560">
        <w:t>.2.8</w:t>
      </w:r>
      <w:r w:rsidR="00384CF7" w:rsidRPr="002D2560">
        <w:tab/>
        <w:t xml:space="preserve">Individual </w:t>
      </w:r>
      <w:r w:rsidR="00384CF7" w:rsidRPr="002D2560">
        <w:rPr>
          <w:rStyle w:val="Heading3Char"/>
          <w:b/>
        </w:rPr>
        <w:t>Healthcare</w:t>
      </w:r>
      <w:r w:rsidR="00384CF7" w:rsidRPr="002D2560">
        <w:t xml:space="preserve"> Identifier (IHI)</w:t>
      </w:r>
    </w:p>
    <w:p w14:paraId="58D0F399" w14:textId="69D65DAA" w:rsidR="001F7524" w:rsidRPr="002D2560" w:rsidRDefault="00384CF7" w:rsidP="00384CF7">
      <w:pPr>
        <w:pStyle w:val="ListParagraph"/>
        <w:numPr>
          <w:ilvl w:val="0"/>
          <w:numId w:val="18"/>
        </w:numPr>
        <w:rPr>
          <w:lang w:val="en-AU"/>
        </w:rPr>
      </w:pPr>
      <w:r w:rsidRPr="002D2560">
        <w:rPr>
          <w:lang w:val="en-AU"/>
        </w:rPr>
        <w:t xml:space="preserve">The IHI is reported against admitted acute, </w:t>
      </w:r>
      <w:r w:rsidR="00FB2F89" w:rsidRPr="002D2560">
        <w:rPr>
          <w:lang w:val="en-AU"/>
        </w:rPr>
        <w:t>admitted subacute and non-acute</w:t>
      </w:r>
      <w:r w:rsidR="00EE0A91" w:rsidRPr="002D2560">
        <w:rPr>
          <w:lang w:val="en-AU"/>
        </w:rPr>
        <w:t xml:space="preserve">, emergency, </w:t>
      </w:r>
      <w:r w:rsidRPr="002D2560">
        <w:rPr>
          <w:lang w:val="en-AU"/>
        </w:rPr>
        <w:t>non-admitted and mental health episodes of care recorded in health metadata sets (for example, NMDS and NBEDS) provided by states and territories to IH</w:t>
      </w:r>
      <w:r w:rsidR="007F1B0A" w:rsidRPr="002D2560">
        <w:rPr>
          <w:lang w:val="en-AU"/>
        </w:rPr>
        <w:t>AC</w:t>
      </w:r>
      <w:r w:rsidRPr="002D2560">
        <w:rPr>
          <w:lang w:val="en-AU"/>
        </w:rPr>
        <w:t>PA.</w:t>
      </w:r>
    </w:p>
    <w:p w14:paraId="6246C928" w14:textId="77777777" w:rsidR="001F7524" w:rsidRPr="002D2560" w:rsidRDefault="00384CF7" w:rsidP="00384CF7">
      <w:pPr>
        <w:pStyle w:val="ListParagraph"/>
        <w:numPr>
          <w:ilvl w:val="0"/>
          <w:numId w:val="18"/>
        </w:numPr>
        <w:rPr>
          <w:lang w:val="en-AU"/>
        </w:rPr>
      </w:pPr>
      <w:r w:rsidRPr="002D2560">
        <w:rPr>
          <w:lang w:val="en-AU"/>
        </w:rPr>
        <w:lastRenderedPageBreak/>
        <w:t>An IHI is unique to a patient and does not change.</w:t>
      </w:r>
    </w:p>
    <w:p w14:paraId="09407DD7" w14:textId="5FD44535" w:rsidR="00384CF7" w:rsidRPr="002D2560" w:rsidRDefault="00384CF7" w:rsidP="00384CF7">
      <w:pPr>
        <w:pStyle w:val="ListParagraph"/>
        <w:numPr>
          <w:ilvl w:val="0"/>
          <w:numId w:val="18"/>
        </w:numPr>
        <w:rPr>
          <w:lang w:val="en-AU"/>
        </w:rPr>
      </w:pPr>
      <w:r w:rsidRPr="002D2560">
        <w:rPr>
          <w:lang w:val="en-AU"/>
        </w:rPr>
        <w:t>An IHI is assigned automatically to individuals registered with Medicare Australia or enrolled in the Department of Veteran</w:t>
      </w:r>
      <w:r w:rsidR="00EE0A91" w:rsidRPr="002D2560">
        <w:rPr>
          <w:lang w:val="en-AU"/>
        </w:rPr>
        <w:t>s</w:t>
      </w:r>
      <w:r w:rsidRPr="002D2560">
        <w:rPr>
          <w:lang w:val="en-AU"/>
        </w:rPr>
        <w:t xml:space="preserve">’ Affairs programs. </w:t>
      </w:r>
    </w:p>
    <w:p w14:paraId="0A2844ED" w14:textId="5983BBB3" w:rsidR="00384CF7" w:rsidRPr="002D2560" w:rsidRDefault="00384CF7" w:rsidP="00384CF7">
      <w:pPr>
        <w:rPr>
          <w:lang w:val="en-AU"/>
        </w:rPr>
      </w:pPr>
      <w:r w:rsidRPr="002D2560">
        <w:rPr>
          <w:lang w:val="en-AU"/>
        </w:rPr>
        <w:t xml:space="preserve">The timelines for the submission of activity data between </w:t>
      </w:r>
      <w:r w:rsidR="000E6112" w:rsidRPr="002D2560">
        <w:rPr>
          <w:lang w:val="en-AU"/>
        </w:rPr>
        <w:t>2023–24 and 2025–26</w:t>
      </w:r>
      <w:r w:rsidRPr="002D2560">
        <w:rPr>
          <w:lang w:val="en-AU"/>
        </w:rPr>
        <w:t xml:space="preserve"> </w:t>
      </w:r>
      <w:proofErr w:type="gramStart"/>
      <w:r w:rsidRPr="002D2560">
        <w:rPr>
          <w:lang w:val="en-AU"/>
        </w:rPr>
        <w:t>are</w:t>
      </w:r>
      <w:proofErr w:type="gramEnd"/>
      <w:r w:rsidRPr="002D2560">
        <w:rPr>
          <w:lang w:val="en-AU"/>
        </w:rPr>
        <w:t xml:space="preserve"> shown </w:t>
      </w:r>
      <w:r w:rsidR="000E6112" w:rsidRPr="002D2560">
        <w:rPr>
          <w:lang w:val="en-AU"/>
        </w:rPr>
        <w:t>below</w:t>
      </w:r>
      <w:r w:rsidRPr="002D2560">
        <w:rPr>
          <w:lang w:val="en-AU"/>
        </w:rPr>
        <w:t>.</w:t>
      </w:r>
    </w:p>
    <w:p w14:paraId="78B1D346" w14:textId="7D5A98DD" w:rsidR="00384CF7" w:rsidRPr="002D2560" w:rsidRDefault="00384CF7" w:rsidP="00384CF7">
      <w:pPr>
        <w:rPr>
          <w:b/>
          <w:bCs/>
          <w:lang w:val="en-AU"/>
        </w:rPr>
      </w:pPr>
      <w:r w:rsidRPr="002D2560">
        <w:rPr>
          <w:b/>
          <w:bCs/>
          <w:lang w:val="en-AU"/>
        </w:rPr>
        <w:t xml:space="preserve">Table </w:t>
      </w:r>
      <w:r w:rsidR="002A50EE" w:rsidRPr="002D2560">
        <w:rPr>
          <w:b/>
          <w:bCs/>
          <w:lang w:val="en-AU"/>
        </w:rPr>
        <w:t>9</w:t>
      </w:r>
      <w:r w:rsidR="005E330F" w:rsidRPr="002D2560">
        <w:rPr>
          <w:b/>
          <w:bCs/>
          <w:lang w:val="en-AU"/>
        </w:rPr>
        <w:t>.</w:t>
      </w:r>
      <w:r w:rsidRPr="002D2560">
        <w:rPr>
          <w:b/>
          <w:bCs/>
          <w:lang w:val="en-AU"/>
        </w:rPr>
        <w:t xml:space="preserve"> Activity data submission timeline</w:t>
      </w:r>
    </w:p>
    <w:tbl>
      <w:tblPr>
        <w:tblStyle w:val="TableGrid"/>
        <w:tblW w:w="0" w:type="auto"/>
        <w:tblLook w:val="04A0" w:firstRow="1" w:lastRow="0" w:firstColumn="1" w:lastColumn="0" w:noHBand="0" w:noVBand="1"/>
      </w:tblPr>
      <w:tblGrid>
        <w:gridCol w:w="1555"/>
        <w:gridCol w:w="2339"/>
        <w:gridCol w:w="1947"/>
        <w:gridCol w:w="1947"/>
        <w:gridCol w:w="1948"/>
      </w:tblGrid>
      <w:tr w:rsidR="001F7524" w:rsidRPr="002D2560" w14:paraId="5872E335" w14:textId="77777777" w:rsidTr="00B33F98">
        <w:tc>
          <w:tcPr>
            <w:tcW w:w="1555" w:type="dxa"/>
            <w:shd w:val="clear" w:color="auto" w:fill="104F99" w:themeFill="accent2"/>
            <w:vAlign w:val="center"/>
          </w:tcPr>
          <w:p w14:paraId="060B42D4" w14:textId="7E180730"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rFonts w:cs="Arial"/>
                <w:b/>
                <w:bCs/>
                <w:color w:val="FFFFFF" w:themeColor="background2"/>
                <w:sz w:val="20"/>
                <w:szCs w:val="20"/>
                <w:lang w:val="en-AU"/>
              </w:rPr>
              <w:t>Financial year</w:t>
            </w:r>
          </w:p>
        </w:tc>
        <w:tc>
          <w:tcPr>
            <w:tcW w:w="2339" w:type="dxa"/>
            <w:shd w:val="clear" w:color="auto" w:fill="104F99" w:themeFill="accent2"/>
            <w:vAlign w:val="center"/>
          </w:tcPr>
          <w:p w14:paraId="790F6DC5" w14:textId="7AD8C1BB"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reporting period</w:t>
            </w:r>
          </w:p>
        </w:tc>
        <w:tc>
          <w:tcPr>
            <w:tcW w:w="1947" w:type="dxa"/>
            <w:shd w:val="clear" w:color="auto" w:fill="104F99" w:themeFill="accent2"/>
            <w:vAlign w:val="center"/>
          </w:tcPr>
          <w:p w14:paraId="5FF30597" w14:textId="688D2887"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rFonts w:cs="Arial"/>
                <w:b/>
                <w:bCs/>
                <w:color w:val="FFFFFF" w:themeColor="background2"/>
                <w:sz w:val="20"/>
                <w:szCs w:val="20"/>
                <w:lang w:val="en-AU"/>
              </w:rPr>
              <w:t>NBEDS published</w:t>
            </w:r>
          </w:p>
        </w:tc>
        <w:tc>
          <w:tcPr>
            <w:tcW w:w="1947" w:type="dxa"/>
            <w:shd w:val="clear" w:color="auto" w:fill="104F99" w:themeFill="accent2"/>
            <w:vAlign w:val="center"/>
          </w:tcPr>
          <w:p w14:paraId="092A68C5" w14:textId="0A58BE27"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rFonts w:cs="Arial"/>
                <w:b/>
                <w:bCs/>
                <w:color w:val="FFFFFF" w:themeColor="background2"/>
                <w:sz w:val="20"/>
                <w:szCs w:val="20"/>
                <w:lang w:val="en-AU"/>
              </w:rPr>
              <w:t>Data request sent</w:t>
            </w:r>
          </w:p>
        </w:tc>
        <w:tc>
          <w:tcPr>
            <w:tcW w:w="1948" w:type="dxa"/>
            <w:shd w:val="clear" w:color="auto" w:fill="104F99" w:themeFill="accent2"/>
            <w:vAlign w:val="center"/>
          </w:tcPr>
          <w:p w14:paraId="3B020B28" w14:textId="0983A25B"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rFonts w:cs="Arial"/>
                <w:b/>
                <w:bCs/>
                <w:color w:val="FFFFFF" w:themeColor="background2"/>
                <w:sz w:val="20"/>
                <w:szCs w:val="20"/>
                <w:lang w:val="en-AU"/>
              </w:rPr>
              <w:t>Submission date</w:t>
            </w:r>
          </w:p>
        </w:tc>
      </w:tr>
      <w:tr w:rsidR="001F7524" w:rsidRPr="002D2560" w14:paraId="2FB8A68D" w14:textId="77777777" w:rsidTr="00B33F98">
        <w:tc>
          <w:tcPr>
            <w:tcW w:w="1555" w:type="dxa"/>
            <w:vMerge w:val="restart"/>
            <w:vAlign w:val="center"/>
          </w:tcPr>
          <w:p w14:paraId="592FCF2F" w14:textId="49BAB8BE"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2023</w:t>
            </w:r>
            <w:r w:rsidR="000E6112" w:rsidRPr="002D2560">
              <w:rPr>
                <w:rFonts w:cs="Arial"/>
                <w:sz w:val="20"/>
                <w:szCs w:val="20"/>
                <w:lang w:val="en-AU"/>
              </w:rPr>
              <w:t>–</w:t>
            </w:r>
            <w:r w:rsidRPr="002D2560">
              <w:rPr>
                <w:rFonts w:cs="Arial"/>
                <w:sz w:val="20"/>
                <w:szCs w:val="20"/>
                <w:lang w:val="en-AU"/>
              </w:rPr>
              <w:t>24</w:t>
            </w:r>
          </w:p>
        </w:tc>
        <w:tc>
          <w:tcPr>
            <w:tcW w:w="2339" w:type="dxa"/>
            <w:vAlign w:val="center"/>
          </w:tcPr>
          <w:p w14:paraId="1A2C2C5F" w14:textId="2E5211A8"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Sep Quarter</w:t>
            </w:r>
          </w:p>
        </w:tc>
        <w:tc>
          <w:tcPr>
            <w:tcW w:w="1947" w:type="dxa"/>
            <w:vAlign w:val="center"/>
          </w:tcPr>
          <w:p w14:paraId="2BAEFA60" w14:textId="1D7C1334"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31 Dec 2022</w:t>
            </w:r>
          </w:p>
        </w:tc>
        <w:tc>
          <w:tcPr>
            <w:tcW w:w="1947" w:type="dxa"/>
            <w:vAlign w:val="center"/>
          </w:tcPr>
          <w:p w14:paraId="72C801C0" w14:textId="3BF97C12"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17 Mar 2023</w:t>
            </w:r>
          </w:p>
        </w:tc>
        <w:tc>
          <w:tcPr>
            <w:tcW w:w="1948" w:type="dxa"/>
            <w:vAlign w:val="center"/>
          </w:tcPr>
          <w:p w14:paraId="7DF80A86" w14:textId="6D1991A2"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22 Dec 2023</w:t>
            </w:r>
          </w:p>
        </w:tc>
      </w:tr>
      <w:tr w:rsidR="001F7524" w:rsidRPr="002D2560" w14:paraId="7D99258C" w14:textId="77777777" w:rsidTr="00B33F98">
        <w:tc>
          <w:tcPr>
            <w:tcW w:w="1555" w:type="dxa"/>
            <w:vMerge/>
            <w:vAlign w:val="center"/>
          </w:tcPr>
          <w:p w14:paraId="59DA2A0A" w14:textId="77777777" w:rsidR="001F7524" w:rsidRPr="002D2560" w:rsidRDefault="001F7524" w:rsidP="000E6112">
            <w:pPr>
              <w:spacing w:before="60" w:after="60" w:line="240" w:lineRule="auto"/>
              <w:jc w:val="center"/>
              <w:rPr>
                <w:rFonts w:cs="Arial"/>
                <w:sz w:val="20"/>
                <w:szCs w:val="20"/>
                <w:lang w:val="en-AU"/>
              </w:rPr>
            </w:pPr>
          </w:p>
        </w:tc>
        <w:tc>
          <w:tcPr>
            <w:tcW w:w="2339" w:type="dxa"/>
            <w:vAlign w:val="center"/>
          </w:tcPr>
          <w:p w14:paraId="218BB207" w14:textId="08F4DE8E"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Dec Quarter</w:t>
            </w:r>
          </w:p>
        </w:tc>
        <w:tc>
          <w:tcPr>
            <w:tcW w:w="1947" w:type="dxa"/>
            <w:vAlign w:val="center"/>
          </w:tcPr>
          <w:p w14:paraId="07397BB5" w14:textId="350A93E0"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31 Dec 2022</w:t>
            </w:r>
          </w:p>
        </w:tc>
        <w:tc>
          <w:tcPr>
            <w:tcW w:w="1947" w:type="dxa"/>
            <w:vAlign w:val="center"/>
          </w:tcPr>
          <w:p w14:paraId="434B74F8" w14:textId="71D7CB3E"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17 Mar 2023</w:t>
            </w:r>
          </w:p>
        </w:tc>
        <w:tc>
          <w:tcPr>
            <w:tcW w:w="1948" w:type="dxa"/>
            <w:vAlign w:val="center"/>
          </w:tcPr>
          <w:p w14:paraId="40D319FF" w14:textId="7E9D05AD"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29 Mar 2024</w:t>
            </w:r>
          </w:p>
        </w:tc>
      </w:tr>
      <w:tr w:rsidR="001F7524" w:rsidRPr="002D2560" w14:paraId="139EB8E4" w14:textId="77777777" w:rsidTr="00B33F98">
        <w:tc>
          <w:tcPr>
            <w:tcW w:w="1555" w:type="dxa"/>
            <w:vMerge/>
            <w:vAlign w:val="center"/>
          </w:tcPr>
          <w:p w14:paraId="77426ADC" w14:textId="77777777" w:rsidR="001F7524" w:rsidRPr="002D2560" w:rsidRDefault="001F7524" w:rsidP="000E6112">
            <w:pPr>
              <w:spacing w:before="60" w:after="60" w:line="240" w:lineRule="auto"/>
              <w:jc w:val="center"/>
              <w:rPr>
                <w:rFonts w:cs="Arial"/>
                <w:sz w:val="20"/>
                <w:szCs w:val="20"/>
                <w:lang w:val="en-AU"/>
              </w:rPr>
            </w:pPr>
          </w:p>
        </w:tc>
        <w:tc>
          <w:tcPr>
            <w:tcW w:w="2339" w:type="dxa"/>
            <w:vAlign w:val="center"/>
          </w:tcPr>
          <w:p w14:paraId="4A0A75A1" w14:textId="68EFBD4C"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Mar Quarter</w:t>
            </w:r>
          </w:p>
        </w:tc>
        <w:tc>
          <w:tcPr>
            <w:tcW w:w="1947" w:type="dxa"/>
            <w:vAlign w:val="center"/>
          </w:tcPr>
          <w:p w14:paraId="0E4F7722" w14:textId="503E0BC3"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31 Dec 2022</w:t>
            </w:r>
          </w:p>
        </w:tc>
        <w:tc>
          <w:tcPr>
            <w:tcW w:w="1947" w:type="dxa"/>
            <w:vAlign w:val="center"/>
          </w:tcPr>
          <w:p w14:paraId="199A1E6F" w14:textId="77561B0B"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17 Mar 2023</w:t>
            </w:r>
          </w:p>
        </w:tc>
        <w:tc>
          <w:tcPr>
            <w:tcW w:w="1948" w:type="dxa"/>
            <w:vAlign w:val="center"/>
          </w:tcPr>
          <w:p w14:paraId="488E3BF3" w14:textId="3D5861B8"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28 Jun 2024</w:t>
            </w:r>
          </w:p>
        </w:tc>
      </w:tr>
      <w:tr w:rsidR="001F7524" w:rsidRPr="002D2560" w14:paraId="2B7C4EEB" w14:textId="77777777" w:rsidTr="00B33F98">
        <w:tc>
          <w:tcPr>
            <w:tcW w:w="1555" w:type="dxa"/>
            <w:vMerge/>
            <w:vAlign w:val="center"/>
          </w:tcPr>
          <w:p w14:paraId="6E6D3427" w14:textId="77777777" w:rsidR="001F7524" w:rsidRPr="002D2560" w:rsidRDefault="001F7524" w:rsidP="000E6112">
            <w:pPr>
              <w:spacing w:before="60" w:after="60" w:line="240" w:lineRule="auto"/>
              <w:jc w:val="center"/>
              <w:rPr>
                <w:rFonts w:cs="Arial"/>
                <w:sz w:val="20"/>
                <w:szCs w:val="20"/>
                <w:lang w:val="en-AU"/>
              </w:rPr>
            </w:pPr>
          </w:p>
        </w:tc>
        <w:tc>
          <w:tcPr>
            <w:tcW w:w="2339" w:type="dxa"/>
            <w:vAlign w:val="center"/>
          </w:tcPr>
          <w:p w14:paraId="6E769F72" w14:textId="02A998E7"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Jun Quarter</w:t>
            </w:r>
          </w:p>
        </w:tc>
        <w:tc>
          <w:tcPr>
            <w:tcW w:w="1947" w:type="dxa"/>
            <w:vAlign w:val="center"/>
          </w:tcPr>
          <w:p w14:paraId="57CFCC2D" w14:textId="3F5B8D37"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31 Dec 2022</w:t>
            </w:r>
          </w:p>
        </w:tc>
        <w:tc>
          <w:tcPr>
            <w:tcW w:w="1947" w:type="dxa"/>
            <w:vAlign w:val="center"/>
          </w:tcPr>
          <w:p w14:paraId="59D8CC9D" w14:textId="364552C5"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17 Mar 2023</w:t>
            </w:r>
          </w:p>
        </w:tc>
        <w:tc>
          <w:tcPr>
            <w:tcW w:w="1948" w:type="dxa"/>
            <w:vAlign w:val="center"/>
          </w:tcPr>
          <w:p w14:paraId="6D2E7CF2" w14:textId="1C852D9B"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30 Sep 2024</w:t>
            </w:r>
          </w:p>
        </w:tc>
      </w:tr>
      <w:tr w:rsidR="001F7524" w:rsidRPr="002D2560" w14:paraId="0ABF7B9D" w14:textId="77777777" w:rsidTr="00B33F98">
        <w:tc>
          <w:tcPr>
            <w:tcW w:w="1555" w:type="dxa"/>
            <w:vMerge w:val="restart"/>
            <w:vAlign w:val="center"/>
          </w:tcPr>
          <w:p w14:paraId="5AEC62B7" w14:textId="1B4E3B46"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2024–25</w:t>
            </w:r>
          </w:p>
        </w:tc>
        <w:tc>
          <w:tcPr>
            <w:tcW w:w="2339" w:type="dxa"/>
            <w:vAlign w:val="center"/>
          </w:tcPr>
          <w:p w14:paraId="3993DC0D" w14:textId="0C8CA6E2"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Sep Quarter</w:t>
            </w:r>
          </w:p>
        </w:tc>
        <w:tc>
          <w:tcPr>
            <w:tcW w:w="1947" w:type="dxa"/>
            <w:vAlign w:val="center"/>
          </w:tcPr>
          <w:p w14:paraId="786DA2D4" w14:textId="0AEADD7C"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31 Dec 2023</w:t>
            </w:r>
          </w:p>
        </w:tc>
        <w:tc>
          <w:tcPr>
            <w:tcW w:w="1947" w:type="dxa"/>
            <w:vAlign w:val="center"/>
          </w:tcPr>
          <w:p w14:paraId="210CA37E" w14:textId="6F3F860E"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22 Mar 2024</w:t>
            </w:r>
          </w:p>
        </w:tc>
        <w:tc>
          <w:tcPr>
            <w:tcW w:w="1948" w:type="dxa"/>
            <w:vAlign w:val="center"/>
          </w:tcPr>
          <w:p w14:paraId="7CE8D1A4" w14:textId="2344B5A3" w:rsidR="001F7524" w:rsidRPr="002D2560" w:rsidRDefault="00192F2F" w:rsidP="000E6112">
            <w:pPr>
              <w:spacing w:before="60" w:after="60" w:line="240" w:lineRule="auto"/>
              <w:jc w:val="center"/>
              <w:rPr>
                <w:rFonts w:cs="Arial"/>
                <w:sz w:val="20"/>
                <w:szCs w:val="20"/>
                <w:lang w:val="en-AU"/>
              </w:rPr>
            </w:pPr>
            <w:r w:rsidRPr="002D2560">
              <w:rPr>
                <w:rFonts w:cs="Arial"/>
                <w:sz w:val="20"/>
                <w:szCs w:val="20"/>
                <w:lang w:val="en-AU"/>
              </w:rPr>
              <w:t xml:space="preserve">24 </w:t>
            </w:r>
            <w:r w:rsidR="001F7524" w:rsidRPr="002D2560">
              <w:rPr>
                <w:rFonts w:cs="Arial"/>
                <w:sz w:val="20"/>
                <w:szCs w:val="20"/>
                <w:lang w:val="en-AU"/>
              </w:rPr>
              <w:t>Dec 2024</w:t>
            </w:r>
          </w:p>
        </w:tc>
      </w:tr>
      <w:tr w:rsidR="001F7524" w:rsidRPr="002D2560" w14:paraId="7224E160" w14:textId="77777777" w:rsidTr="00B33F98">
        <w:tc>
          <w:tcPr>
            <w:tcW w:w="1555" w:type="dxa"/>
            <w:vMerge/>
            <w:vAlign w:val="center"/>
          </w:tcPr>
          <w:p w14:paraId="6EF5F366" w14:textId="77777777" w:rsidR="001F7524" w:rsidRPr="002D2560" w:rsidRDefault="001F7524" w:rsidP="000E6112">
            <w:pPr>
              <w:spacing w:before="60" w:after="60" w:line="240" w:lineRule="auto"/>
              <w:jc w:val="center"/>
              <w:rPr>
                <w:rFonts w:cs="Arial"/>
                <w:sz w:val="20"/>
                <w:szCs w:val="20"/>
                <w:lang w:val="en-AU"/>
              </w:rPr>
            </w:pPr>
          </w:p>
        </w:tc>
        <w:tc>
          <w:tcPr>
            <w:tcW w:w="2339" w:type="dxa"/>
            <w:vAlign w:val="center"/>
          </w:tcPr>
          <w:p w14:paraId="6C878730" w14:textId="661273E3"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Dec Quarter</w:t>
            </w:r>
          </w:p>
        </w:tc>
        <w:tc>
          <w:tcPr>
            <w:tcW w:w="1947" w:type="dxa"/>
            <w:vAlign w:val="center"/>
          </w:tcPr>
          <w:p w14:paraId="265A3573" w14:textId="6CF4B423"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31 Dec 2023</w:t>
            </w:r>
          </w:p>
        </w:tc>
        <w:tc>
          <w:tcPr>
            <w:tcW w:w="1947" w:type="dxa"/>
            <w:vAlign w:val="center"/>
          </w:tcPr>
          <w:p w14:paraId="6DC13DBD" w14:textId="02AF9968"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22 Mar 2024</w:t>
            </w:r>
          </w:p>
        </w:tc>
        <w:tc>
          <w:tcPr>
            <w:tcW w:w="1948" w:type="dxa"/>
            <w:vAlign w:val="center"/>
          </w:tcPr>
          <w:p w14:paraId="296A6802" w14:textId="1DF8F373" w:rsidR="001F7524" w:rsidRPr="002D2560" w:rsidRDefault="00192F2F" w:rsidP="000E6112">
            <w:pPr>
              <w:spacing w:before="60" w:after="60" w:line="240" w:lineRule="auto"/>
              <w:jc w:val="center"/>
              <w:rPr>
                <w:rFonts w:cs="Arial"/>
                <w:sz w:val="20"/>
                <w:szCs w:val="20"/>
                <w:lang w:val="en-AU"/>
              </w:rPr>
            </w:pPr>
            <w:r w:rsidRPr="002D2560">
              <w:rPr>
                <w:rFonts w:cs="Arial"/>
                <w:sz w:val="20"/>
                <w:szCs w:val="20"/>
                <w:lang w:val="en-AU"/>
              </w:rPr>
              <w:t xml:space="preserve">31 </w:t>
            </w:r>
            <w:r w:rsidR="001F7524" w:rsidRPr="002D2560">
              <w:rPr>
                <w:rFonts w:cs="Arial"/>
                <w:sz w:val="20"/>
                <w:szCs w:val="20"/>
                <w:lang w:val="en-AU"/>
              </w:rPr>
              <w:t>Mar 2025</w:t>
            </w:r>
          </w:p>
        </w:tc>
      </w:tr>
      <w:tr w:rsidR="001F7524" w:rsidRPr="002D2560" w14:paraId="03D2B26C" w14:textId="77777777" w:rsidTr="00B33F98">
        <w:tc>
          <w:tcPr>
            <w:tcW w:w="1555" w:type="dxa"/>
            <w:vMerge/>
            <w:vAlign w:val="center"/>
          </w:tcPr>
          <w:p w14:paraId="3F96B7F6" w14:textId="77777777" w:rsidR="001F7524" w:rsidRPr="002D2560" w:rsidRDefault="001F7524" w:rsidP="000E6112">
            <w:pPr>
              <w:spacing w:before="60" w:after="60" w:line="240" w:lineRule="auto"/>
              <w:jc w:val="center"/>
              <w:rPr>
                <w:rFonts w:cs="Arial"/>
                <w:sz w:val="20"/>
                <w:szCs w:val="20"/>
                <w:lang w:val="en-AU"/>
              </w:rPr>
            </w:pPr>
          </w:p>
        </w:tc>
        <w:tc>
          <w:tcPr>
            <w:tcW w:w="2339" w:type="dxa"/>
            <w:vAlign w:val="center"/>
          </w:tcPr>
          <w:p w14:paraId="141C21A6" w14:textId="0C696E47"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Mar Quarter</w:t>
            </w:r>
          </w:p>
        </w:tc>
        <w:tc>
          <w:tcPr>
            <w:tcW w:w="1947" w:type="dxa"/>
            <w:vAlign w:val="center"/>
          </w:tcPr>
          <w:p w14:paraId="1643A982" w14:textId="43B84F71"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31 Dec 2023</w:t>
            </w:r>
          </w:p>
        </w:tc>
        <w:tc>
          <w:tcPr>
            <w:tcW w:w="1947" w:type="dxa"/>
            <w:vAlign w:val="center"/>
          </w:tcPr>
          <w:p w14:paraId="3CCAAFA7" w14:textId="10CC7DFE"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22 Mar 2024</w:t>
            </w:r>
          </w:p>
        </w:tc>
        <w:tc>
          <w:tcPr>
            <w:tcW w:w="1948" w:type="dxa"/>
            <w:vAlign w:val="center"/>
          </w:tcPr>
          <w:p w14:paraId="46C161D3" w14:textId="72A05652" w:rsidR="001F7524" w:rsidRPr="002D2560" w:rsidRDefault="00192F2F" w:rsidP="000E6112">
            <w:pPr>
              <w:spacing w:before="60" w:after="60" w:line="240" w:lineRule="auto"/>
              <w:jc w:val="center"/>
              <w:rPr>
                <w:rFonts w:cs="Arial"/>
                <w:sz w:val="20"/>
                <w:szCs w:val="20"/>
                <w:lang w:val="en-AU"/>
              </w:rPr>
            </w:pPr>
            <w:r w:rsidRPr="002D2560">
              <w:rPr>
                <w:rFonts w:cs="Arial"/>
                <w:sz w:val="20"/>
                <w:szCs w:val="20"/>
                <w:lang w:val="en-AU"/>
              </w:rPr>
              <w:t xml:space="preserve">30 </w:t>
            </w:r>
            <w:r w:rsidR="001F7524" w:rsidRPr="002D2560">
              <w:rPr>
                <w:rFonts w:cs="Arial"/>
                <w:sz w:val="20"/>
                <w:szCs w:val="20"/>
                <w:lang w:val="en-AU"/>
              </w:rPr>
              <w:t>Jun 2025</w:t>
            </w:r>
          </w:p>
        </w:tc>
      </w:tr>
      <w:tr w:rsidR="001F7524" w:rsidRPr="002D2560" w14:paraId="3B061AF6" w14:textId="77777777" w:rsidTr="00B33F98">
        <w:tc>
          <w:tcPr>
            <w:tcW w:w="1555" w:type="dxa"/>
            <w:vMerge/>
            <w:vAlign w:val="center"/>
          </w:tcPr>
          <w:p w14:paraId="451399BF" w14:textId="77777777" w:rsidR="001F7524" w:rsidRPr="002D2560" w:rsidRDefault="001F7524" w:rsidP="000E6112">
            <w:pPr>
              <w:spacing w:before="60" w:after="60" w:line="240" w:lineRule="auto"/>
              <w:jc w:val="center"/>
              <w:rPr>
                <w:rFonts w:cs="Arial"/>
                <w:sz w:val="20"/>
                <w:szCs w:val="20"/>
                <w:lang w:val="en-AU"/>
              </w:rPr>
            </w:pPr>
          </w:p>
        </w:tc>
        <w:tc>
          <w:tcPr>
            <w:tcW w:w="2339" w:type="dxa"/>
            <w:vAlign w:val="center"/>
          </w:tcPr>
          <w:p w14:paraId="1BFE1D4A" w14:textId="70A8BBD3"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Jun Quarter</w:t>
            </w:r>
          </w:p>
        </w:tc>
        <w:tc>
          <w:tcPr>
            <w:tcW w:w="1947" w:type="dxa"/>
            <w:vAlign w:val="center"/>
          </w:tcPr>
          <w:p w14:paraId="7EB65EBF" w14:textId="143A8CBC"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31 Dec 2023</w:t>
            </w:r>
          </w:p>
        </w:tc>
        <w:tc>
          <w:tcPr>
            <w:tcW w:w="1947" w:type="dxa"/>
            <w:vAlign w:val="center"/>
          </w:tcPr>
          <w:p w14:paraId="355DAE70" w14:textId="2535BE2C"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22 Mar 2024</w:t>
            </w:r>
          </w:p>
        </w:tc>
        <w:tc>
          <w:tcPr>
            <w:tcW w:w="1948" w:type="dxa"/>
            <w:vAlign w:val="center"/>
          </w:tcPr>
          <w:p w14:paraId="65F9CBA3" w14:textId="19CD6877" w:rsidR="001F7524" w:rsidRPr="002D2560" w:rsidRDefault="001F7524" w:rsidP="000E6112">
            <w:pPr>
              <w:spacing w:before="60" w:after="60" w:line="240" w:lineRule="auto"/>
              <w:jc w:val="center"/>
              <w:rPr>
                <w:rFonts w:cs="Arial"/>
                <w:sz w:val="20"/>
                <w:szCs w:val="20"/>
                <w:lang w:val="en-AU"/>
              </w:rPr>
            </w:pPr>
            <w:r w:rsidRPr="002D2560">
              <w:rPr>
                <w:rFonts w:cs="Arial"/>
                <w:sz w:val="20"/>
                <w:szCs w:val="20"/>
                <w:lang w:val="en-AU"/>
              </w:rPr>
              <w:t>30 Sep 2025</w:t>
            </w:r>
          </w:p>
        </w:tc>
      </w:tr>
      <w:tr w:rsidR="000E6112" w:rsidRPr="002D2560" w14:paraId="2FBF70F0" w14:textId="77777777" w:rsidTr="000E6112">
        <w:tc>
          <w:tcPr>
            <w:tcW w:w="1555" w:type="dxa"/>
            <w:vMerge w:val="restart"/>
            <w:vAlign w:val="center"/>
          </w:tcPr>
          <w:p w14:paraId="4D1B6E34" w14:textId="491985C6" w:rsidR="000E6112" w:rsidRPr="002D2560" w:rsidRDefault="000E6112" w:rsidP="000E6112">
            <w:pPr>
              <w:spacing w:before="60" w:after="60" w:line="240" w:lineRule="auto"/>
              <w:jc w:val="center"/>
              <w:rPr>
                <w:rFonts w:cs="Arial"/>
                <w:sz w:val="20"/>
                <w:szCs w:val="20"/>
                <w:lang w:val="en-AU"/>
              </w:rPr>
            </w:pPr>
            <w:r w:rsidRPr="002D2560">
              <w:rPr>
                <w:rFonts w:cs="Arial"/>
                <w:sz w:val="20"/>
                <w:szCs w:val="20"/>
                <w:lang w:val="en-AU"/>
              </w:rPr>
              <w:t>2025–26</w:t>
            </w:r>
          </w:p>
        </w:tc>
        <w:tc>
          <w:tcPr>
            <w:tcW w:w="2339" w:type="dxa"/>
          </w:tcPr>
          <w:p w14:paraId="305FA020" w14:textId="0F639172"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Sep Quarter</w:t>
            </w:r>
          </w:p>
        </w:tc>
        <w:tc>
          <w:tcPr>
            <w:tcW w:w="1947" w:type="dxa"/>
          </w:tcPr>
          <w:p w14:paraId="5F8EC04B" w14:textId="79CF7822"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31 Dec 2024</w:t>
            </w:r>
          </w:p>
        </w:tc>
        <w:tc>
          <w:tcPr>
            <w:tcW w:w="1947" w:type="dxa"/>
          </w:tcPr>
          <w:p w14:paraId="0273E0D4" w14:textId="2740B99F"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21 Mar 2025</w:t>
            </w:r>
          </w:p>
        </w:tc>
        <w:tc>
          <w:tcPr>
            <w:tcW w:w="1948" w:type="dxa"/>
          </w:tcPr>
          <w:p w14:paraId="3284E7DA" w14:textId="6C929E8E" w:rsidR="000E6112" w:rsidRPr="002D2560" w:rsidRDefault="00192F2F" w:rsidP="000E6112">
            <w:pPr>
              <w:spacing w:before="60" w:after="60" w:line="240" w:lineRule="auto"/>
              <w:jc w:val="center"/>
              <w:rPr>
                <w:rFonts w:cs="Arial"/>
                <w:sz w:val="20"/>
                <w:szCs w:val="20"/>
                <w:lang w:val="en-AU"/>
              </w:rPr>
            </w:pPr>
            <w:r w:rsidRPr="002D2560">
              <w:rPr>
                <w:sz w:val="20"/>
                <w:szCs w:val="20"/>
                <w:lang w:val="en-AU"/>
              </w:rPr>
              <w:t>24</w:t>
            </w:r>
            <w:r w:rsidR="000E6112" w:rsidRPr="002D2560">
              <w:rPr>
                <w:sz w:val="20"/>
                <w:szCs w:val="20"/>
                <w:lang w:val="en-AU"/>
              </w:rPr>
              <w:t xml:space="preserve"> Dec 2025</w:t>
            </w:r>
          </w:p>
        </w:tc>
      </w:tr>
      <w:tr w:rsidR="000E6112" w:rsidRPr="002D2560" w14:paraId="178F57ED" w14:textId="77777777" w:rsidTr="000E6112">
        <w:tc>
          <w:tcPr>
            <w:tcW w:w="1555" w:type="dxa"/>
            <w:vMerge/>
            <w:vAlign w:val="center"/>
          </w:tcPr>
          <w:p w14:paraId="59CD0B8D" w14:textId="77777777" w:rsidR="000E6112" w:rsidRPr="002D2560" w:rsidRDefault="000E6112" w:rsidP="000E6112">
            <w:pPr>
              <w:spacing w:before="60" w:after="60" w:line="240" w:lineRule="auto"/>
              <w:jc w:val="center"/>
              <w:rPr>
                <w:rFonts w:cs="Arial"/>
                <w:sz w:val="20"/>
                <w:szCs w:val="20"/>
                <w:lang w:val="en-AU"/>
              </w:rPr>
            </w:pPr>
          </w:p>
        </w:tc>
        <w:tc>
          <w:tcPr>
            <w:tcW w:w="2339" w:type="dxa"/>
          </w:tcPr>
          <w:p w14:paraId="2A410168" w14:textId="09320F24"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Dec Quarter</w:t>
            </w:r>
          </w:p>
        </w:tc>
        <w:tc>
          <w:tcPr>
            <w:tcW w:w="1947" w:type="dxa"/>
          </w:tcPr>
          <w:p w14:paraId="1ADFBCD0" w14:textId="607B870E"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31 Dec 2024</w:t>
            </w:r>
          </w:p>
        </w:tc>
        <w:tc>
          <w:tcPr>
            <w:tcW w:w="1947" w:type="dxa"/>
          </w:tcPr>
          <w:p w14:paraId="145B3CB9" w14:textId="7DF92004"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21 Mar 2025</w:t>
            </w:r>
          </w:p>
        </w:tc>
        <w:tc>
          <w:tcPr>
            <w:tcW w:w="1948" w:type="dxa"/>
          </w:tcPr>
          <w:p w14:paraId="0B3551CA" w14:textId="594E23ED"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31 Mar 2026</w:t>
            </w:r>
          </w:p>
        </w:tc>
      </w:tr>
      <w:tr w:rsidR="000E6112" w:rsidRPr="002D2560" w14:paraId="75743C8C" w14:textId="77777777" w:rsidTr="000E6112">
        <w:tc>
          <w:tcPr>
            <w:tcW w:w="1555" w:type="dxa"/>
            <w:vMerge/>
            <w:vAlign w:val="center"/>
          </w:tcPr>
          <w:p w14:paraId="67EB78E8" w14:textId="77777777" w:rsidR="000E6112" w:rsidRPr="002D2560" w:rsidRDefault="000E6112" w:rsidP="000E6112">
            <w:pPr>
              <w:spacing w:before="60" w:after="60" w:line="240" w:lineRule="auto"/>
              <w:jc w:val="center"/>
              <w:rPr>
                <w:rFonts w:cs="Arial"/>
                <w:sz w:val="20"/>
                <w:szCs w:val="20"/>
                <w:lang w:val="en-AU"/>
              </w:rPr>
            </w:pPr>
          </w:p>
        </w:tc>
        <w:tc>
          <w:tcPr>
            <w:tcW w:w="2339" w:type="dxa"/>
          </w:tcPr>
          <w:p w14:paraId="4F8A3EF6" w14:textId="25C51949"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Mar Quarter</w:t>
            </w:r>
          </w:p>
        </w:tc>
        <w:tc>
          <w:tcPr>
            <w:tcW w:w="1947" w:type="dxa"/>
          </w:tcPr>
          <w:p w14:paraId="059E45AD" w14:textId="1567C55D"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31 Dec 2024</w:t>
            </w:r>
          </w:p>
        </w:tc>
        <w:tc>
          <w:tcPr>
            <w:tcW w:w="1947" w:type="dxa"/>
          </w:tcPr>
          <w:p w14:paraId="23E3BD50" w14:textId="490B2AF8"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21 Mar 2025</w:t>
            </w:r>
          </w:p>
        </w:tc>
        <w:tc>
          <w:tcPr>
            <w:tcW w:w="1948" w:type="dxa"/>
          </w:tcPr>
          <w:p w14:paraId="72E27A21" w14:textId="4C7C500C"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30 Jun 2026</w:t>
            </w:r>
          </w:p>
        </w:tc>
      </w:tr>
      <w:tr w:rsidR="000E6112" w:rsidRPr="002D2560" w14:paraId="5C1D8757" w14:textId="77777777" w:rsidTr="000E6112">
        <w:tc>
          <w:tcPr>
            <w:tcW w:w="1555" w:type="dxa"/>
            <w:vMerge/>
            <w:vAlign w:val="center"/>
          </w:tcPr>
          <w:p w14:paraId="546A91E1" w14:textId="77777777" w:rsidR="000E6112" w:rsidRPr="002D2560" w:rsidRDefault="000E6112" w:rsidP="000E6112">
            <w:pPr>
              <w:spacing w:before="60" w:after="60" w:line="240" w:lineRule="auto"/>
              <w:jc w:val="center"/>
              <w:rPr>
                <w:rFonts w:cs="Arial"/>
                <w:sz w:val="20"/>
                <w:szCs w:val="20"/>
                <w:lang w:val="en-AU"/>
              </w:rPr>
            </w:pPr>
          </w:p>
        </w:tc>
        <w:tc>
          <w:tcPr>
            <w:tcW w:w="2339" w:type="dxa"/>
          </w:tcPr>
          <w:p w14:paraId="176B3464" w14:textId="5817C209"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Jun Quarter</w:t>
            </w:r>
          </w:p>
        </w:tc>
        <w:tc>
          <w:tcPr>
            <w:tcW w:w="1947" w:type="dxa"/>
          </w:tcPr>
          <w:p w14:paraId="06C59708" w14:textId="227BBFC5"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31 Dec 2024</w:t>
            </w:r>
          </w:p>
        </w:tc>
        <w:tc>
          <w:tcPr>
            <w:tcW w:w="1947" w:type="dxa"/>
          </w:tcPr>
          <w:p w14:paraId="653FB1F2" w14:textId="00789CA5"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21 Mar 2025</w:t>
            </w:r>
          </w:p>
        </w:tc>
        <w:tc>
          <w:tcPr>
            <w:tcW w:w="1948" w:type="dxa"/>
          </w:tcPr>
          <w:p w14:paraId="579A78EA" w14:textId="3891D100" w:rsidR="000E6112" w:rsidRPr="002D2560" w:rsidRDefault="000E6112" w:rsidP="000E6112">
            <w:pPr>
              <w:spacing w:before="60" w:after="60" w:line="240" w:lineRule="auto"/>
              <w:jc w:val="center"/>
              <w:rPr>
                <w:rFonts w:cs="Arial"/>
                <w:sz w:val="20"/>
                <w:szCs w:val="20"/>
                <w:lang w:val="en-AU"/>
              </w:rPr>
            </w:pPr>
            <w:r w:rsidRPr="002D2560">
              <w:rPr>
                <w:sz w:val="20"/>
                <w:szCs w:val="20"/>
                <w:lang w:val="en-AU"/>
              </w:rPr>
              <w:t>3</w:t>
            </w:r>
            <w:r w:rsidR="003416D6" w:rsidRPr="002D2560">
              <w:rPr>
                <w:sz w:val="20"/>
                <w:szCs w:val="20"/>
                <w:lang w:val="en-AU"/>
              </w:rPr>
              <w:t>0</w:t>
            </w:r>
            <w:r w:rsidRPr="002D2560">
              <w:rPr>
                <w:sz w:val="20"/>
                <w:szCs w:val="20"/>
                <w:lang w:val="en-AU"/>
              </w:rPr>
              <w:t xml:space="preserve"> Sep 2026</w:t>
            </w:r>
          </w:p>
        </w:tc>
      </w:tr>
    </w:tbl>
    <w:p w14:paraId="5FD83E33" w14:textId="4D0BC4F7" w:rsidR="001F7524" w:rsidRPr="002D2560" w:rsidRDefault="001F7524" w:rsidP="001F7524">
      <w:pPr>
        <w:pStyle w:val="Heading2"/>
      </w:pPr>
      <w:r w:rsidRPr="002D2560">
        <w:t>National Hospital Cost Data Collection</w:t>
      </w:r>
    </w:p>
    <w:p w14:paraId="05D72530" w14:textId="59451570" w:rsidR="001F7524" w:rsidRPr="002D2560" w:rsidRDefault="001F7524" w:rsidP="00107591">
      <w:pPr>
        <w:rPr>
          <w:lang w:val="en-AU"/>
        </w:rPr>
      </w:pPr>
      <w:r w:rsidRPr="002D2560">
        <w:rPr>
          <w:lang w:val="en-AU"/>
        </w:rPr>
        <w:t>IH</w:t>
      </w:r>
      <w:r w:rsidR="007F1B0A" w:rsidRPr="002D2560">
        <w:rPr>
          <w:lang w:val="en-AU"/>
        </w:rPr>
        <w:t>AC</w:t>
      </w:r>
      <w:r w:rsidRPr="002D2560">
        <w:rPr>
          <w:lang w:val="en-AU"/>
        </w:rPr>
        <w:t xml:space="preserve">PA uses NHCDC data collected three years earlier to calculate the NEP each year. For example, the NEP Determination </w:t>
      </w:r>
      <w:r w:rsidR="000E6112" w:rsidRPr="002D2560">
        <w:rPr>
          <w:lang w:val="en-AU"/>
        </w:rPr>
        <w:t>2024–25</w:t>
      </w:r>
      <w:r w:rsidRPr="002D2560">
        <w:rPr>
          <w:lang w:val="en-AU"/>
        </w:rPr>
        <w:t xml:space="preserve"> will be calculated using cost data from the Round </w:t>
      </w:r>
      <w:r w:rsidR="000E6112" w:rsidRPr="002D2560">
        <w:rPr>
          <w:lang w:val="en-AU"/>
        </w:rPr>
        <w:t xml:space="preserve">26 </w:t>
      </w:r>
      <w:r w:rsidRPr="002D2560">
        <w:rPr>
          <w:lang w:val="en-AU"/>
        </w:rPr>
        <w:t>(</w:t>
      </w:r>
      <w:r w:rsidR="000E6112" w:rsidRPr="002D2560">
        <w:rPr>
          <w:lang w:val="en-AU"/>
        </w:rPr>
        <w:t>2021–22</w:t>
      </w:r>
      <w:r w:rsidRPr="002D2560">
        <w:rPr>
          <w:lang w:val="en-AU"/>
        </w:rPr>
        <w:t xml:space="preserve">) NHCDC. The timeframes for the submission of cost data are shown </w:t>
      </w:r>
      <w:r w:rsidR="000E6112" w:rsidRPr="002D2560">
        <w:rPr>
          <w:lang w:val="en-AU"/>
        </w:rPr>
        <w:t>below</w:t>
      </w:r>
      <w:r w:rsidRPr="002D2560">
        <w:rPr>
          <w:lang w:val="en-AU"/>
        </w:rPr>
        <w:t>.</w:t>
      </w:r>
    </w:p>
    <w:p w14:paraId="753F1112" w14:textId="097FCD3B" w:rsidR="001F7524" w:rsidRPr="002D2560" w:rsidRDefault="001F7524" w:rsidP="001F7524">
      <w:pPr>
        <w:rPr>
          <w:b/>
          <w:bCs/>
          <w:lang w:val="en-AU"/>
        </w:rPr>
      </w:pPr>
      <w:r w:rsidRPr="002D2560">
        <w:rPr>
          <w:b/>
          <w:bCs/>
          <w:lang w:val="en-AU"/>
        </w:rPr>
        <w:t xml:space="preserve">Table </w:t>
      </w:r>
      <w:r w:rsidR="005E330F" w:rsidRPr="002D2560">
        <w:rPr>
          <w:b/>
          <w:bCs/>
          <w:lang w:val="en-AU"/>
        </w:rPr>
        <w:t>1</w:t>
      </w:r>
      <w:r w:rsidR="002A50EE" w:rsidRPr="002D2560">
        <w:rPr>
          <w:b/>
          <w:bCs/>
          <w:lang w:val="en-AU"/>
        </w:rPr>
        <w:t>0</w:t>
      </w:r>
      <w:r w:rsidR="005E330F" w:rsidRPr="002D2560">
        <w:rPr>
          <w:b/>
          <w:bCs/>
          <w:lang w:val="en-AU"/>
        </w:rPr>
        <w:t>.</w:t>
      </w:r>
      <w:r w:rsidRPr="002D2560">
        <w:rPr>
          <w:b/>
          <w:bCs/>
          <w:lang w:val="en-AU"/>
        </w:rPr>
        <w:t xml:space="preserve"> National Hospital Cost Data Collection data submission timeline</w:t>
      </w:r>
    </w:p>
    <w:tbl>
      <w:tblPr>
        <w:tblStyle w:val="TableGrid"/>
        <w:tblW w:w="0" w:type="auto"/>
        <w:tblLook w:val="06A0" w:firstRow="1" w:lastRow="0" w:firstColumn="1" w:lastColumn="0" w:noHBand="1" w:noVBand="1"/>
      </w:tblPr>
      <w:tblGrid>
        <w:gridCol w:w="1129"/>
        <w:gridCol w:w="1594"/>
        <w:gridCol w:w="1595"/>
        <w:gridCol w:w="1595"/>
        <w:gridCol w:w="1595"/>
        <w:gridCol w:w="2228"/>
      </w:tblGrid>
      <w:tr w:rsidR="001F7524" w:rsidRPr="002D2560" w14:paraId="7020D55E" w14:textId="77777777" w:rsidTr="00B33F98">
        <w:tc>
          <w:tcPr>
            <w:tcW w:w="1129" w:type="dxa"/>
            <w:shd w:val="clear" w:color="auto" w:fill="104F99" w:themeFill="accent2"/>
            <w:vAlign w:val="center"/>
          </w:tcPr>
          <w:p w14:paraId="495B68AD" w14:textId="7162C1F2"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b/>
                <w:bCs/>
                <w:color w:val="FFFFFF" w:themeColor="background2"/>
                <w:sz w:val="20"/>
                <w:szCs w:val="20"/>
                <w:lang w:val="en-AU"/>
              </w:rPr>
              <w:t>NHCDC Round</w:t>
            </w:r>
          </w:p>
        </w:tc>
        <w:tc>
          <w:tcPr>
            <w:tcW w:w="1594" w:type="dxa"/>
            <w:shd w:val="clear" w:color="auto" w:fill="104F99" w:themeFill="accent2"/>
            <w:vAlign w:val="center"/>
          </w:tcPr>
          <w:p w14:paraId="52CB8DA3" w14:textId="3815E4AB"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b/>
                <w:bCs/>
                <w:color w:val="FFFFFF" w:themeColor="background2"/>
                <w:sz w:val="20"/>
                <w:szCs w:val="20"/>
                <w:lang w:val="en-AU"/>
              </w:rPr>
              <w:t>Data reporting period</w:t>
            </w:r>
          </w:p>
        </w:tc>
        <w:tc>
          <w:tcPr>
            <w:tcW w:w="1595" w:type="dxa"/>
            <w:shd w:val="clear" w:color="auto" w:fill="104F99" w:themeFill="accent2"/>
            <w:vAlign w:val="center"/>
          </w:tcPr>
          <w:p w14:paraId="6605896B" w14:textId="789516DA"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b/>
                <w:bCs/>
                <w:color w:val="FFFFFF" w:themeColor="background2"/>
                <w:sz w:val="20"/>
                <w:szCs w:val="20"/>
                <w:lang w:val="en-AU"/>
              </w:rPr>
              <w:t>Data request sent</w:t>
            </w:r>
          </w:p>
        </w:tc>
        <w:tc>
          <w:tcPr>
            <w:tcW w:w="1595" w:type="dxa"/>
            <w:shd w:val="clear" w:color="auto" w:fill="104F99" w:themeFill="accent2"/>
            <w:vAlign w:val="center"/>
          </w:tcPr>
          <w:p w14:paraId="4D7CEFA6" w14:textId="50787182"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b/>
                <w:bCs/>
                <w:color w:val="FFFFFF" w:themeColor="background2"/>
                <w:sz w:val="20"/>
                <w:szCs w:val="20"/>
                <w:lang w:val="en-AU"/>
              </w:rPr>
              <w:t>Submission date</w:t>
            </w:r>
          </w:p>
        </w:tc>
        <w:tc>
          <w:tcPr>
            <w:tcW w:w="1595" w:type="dxa"/>
            <w:shd w:val="clear" w:color="auto" w:fill="104F99" w:themeFill="accent2"/>
            <w:vAlign w:val="center"/>
          </w:tcPr>
          <w:p w14:paraId="7D75BA97" w14:textId="5A7B5A59"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b/>
                <w:bCs/>
                <w:color w:val="FFFFFF" w:themeColor="background2"/>
                <w:sz w:val="20"/>
                <w:szCs w:val="20"/>
                <w:lang w:val="en-AU"/>
              </w:rPr>
              <w:t>IH</w:t>
            </w:r>
            <w:r w:rsidR="007F1B0A" w:rsidRPr="002D2560">
              <w:rPr>
                <w:b/>
                <w:bCs/>
                <w:color w:val="FFFFFF" w:themeColor="background2"/>
                <w:sz w:val="20"/>
                <w:szCs w:val="20"/>
                <w:lang w:val="en-AU"/>
              </w:rPr>
              <w:t>AC</w:t>
            </w:r>
            <w:r w:rsidRPr="002D2560">
              <w:rPr>
                <w:b/>
                <w:bCs/>
                <w:color w:val="FFFFFF" w:themeColor="background2"/>
                <w:sz w:val="20"/>
                <w:szCs w:val="20"/>
                <w:lang w:val="en-AU"/>
              </w:rPr>
              <w:t>PA review date</w:t>
            </w:r>
          </w:p>
        </w:tc>
        <w:tc>
          <w:tcPr>
            <w:tcW w:w="2228" w:type="dxa"/>
            <w:shd w:val="clear" w:color="auto" w:fill="104F99" w:themeFill="accent2"/>
            <w:vAlign w:val="center"/>
          </w:tcPr>
          <w:p w14:paraId="28842233" w14:textId="4D971D8F" w:rsidR="001F7524" w:rsidRPr="002D2560" w:rsidRDefault="001F7524" w:rsidP="000E6112">
            <w:pPr>
              <w:spacing w:before="60" w:after="60" w:line="240" w:lineRule="auto"/>
              <w:jc w:val="center"/>
              <w:rPr>
                <w:rFonts w:cs="Arial"/>
                <w:b/>
                <w:bCs/>
                <w:color w:val="FFFFFF" w:themeColor="background2"/>
                <w:sz w:val="20"/>
                <w:szCs w:val="20"/>
                <w:lang w:val="en-AU"/>
              </w:rPr>
            </w:pPr>
            <w:r w:rsidRPr="002D2560">
              <w:rPr>
                <w:b/>
                <w:bCs/>
                <w:color w:val="FFFFFF" w:themeColor="background2"/>
                <w:sz w:val="20"/>
                <w:szCs w:val="20"/>
                <w:lang w:val="en-AU"/>
              </w:rPr>
              <w:t>Latest resubmission date</w:t>
            </w:r>
          </w:p>
        </w:tc>
      </w:tr>
      <w:tr w:rsidR="001F7524" w:rsidRPr="002D2560" w14:paraId="2923DA92" w14:textId="77777777" w:rsidTr="00B33F98">
        <w:tc>
          <w:tcPr>
            <w:tcW w:w="1129" w:type="dxa"/>
            <w:shd w:val="clear" w:color="auto" w:fill="auto"/>
            <w:vAlign w:val="center"/>
          </w:tcPr>
          <w:p w14:paraId="4AEB9FCC" w14:textId="43020C18"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27</w:t>
            </w:r>
          </w:p>
        </w:tc>
        <w:tc>
          <w:tcPr>
            <w:tcW w:w="1594" w:type="dxa"/>
            <w:shd w:val="clear" w:color="auto" w:fill="auto"/>
            <w:vAlign w:val="center"/>
          </w:tcPr>
          <w:p w14:paraId="4C5E3B03" w14:textId="4096DAFF"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2022–23</w:t>
            </w:r>
          </w:p>
        </w:tc>
        <w:tc>
          <w:tcPr>
            <w:tcW w:w="1595" w:type="dxa"/>
            <w:shd w:val="clear" w:color="auto" w:fill="auto"/>
            <w:vAlign w:val="center"/>
          </w:tcPr>
          <w:p w14:paraId="560ABD20" w14:textId="765C4026"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31 Jul 2023</w:t>
            </w:r>
          </w:p>
        </w:tc>
        <w:tc>
          <w:tcPr>
            <w:tcW w:w="1595" w:type="dxa"/>
            <w:vAlign w:val="center"/>
          </w:tcPr>
          <w:p w14:paraId="41760347" w14:textId="4C15F800"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28 Feb 2024</w:t>
            </w:r>
          </w:p>
        </w:tc>
        <w:tc>
          <w:tcPr>
            <w:tcW w:w="1595" w:type="dxa"/>
            <w:shd w:val="clear" w:color="auto" w:fill="auto"/>
            <w:vAlign w:val="center"/>
          </w:tcPr>
          <w:p w14:paraId="75066910" w14:textId="01D7FE22"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15 Mar 2024</w:t>
            </w:r>
          </w:p>
        </w:tc>
        <w:tc>
          <w:tcPr>
            <w:tcW w:w="2228" w:type="dxa"/>
            <w:shd w:val="clear" w:color="auto" w:fill="auto"/>
            <w:vAlign w:val="center"/>
          </w:tcPr>
          <w:p w14:paraId="11F96EFF" w14:textId="563D0191"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29 Mar 2024</w:t>
            </w:r>
          </w:p>
        </w:tc>
      </w:tr>
      <w:tr w:rsidR="001F7524" w:rsidRPr="002D2560" w14:paraId="1C94C698" w14:textId="77777777" w:rsidTr="00B33F98">
        <w:tc>
          <w:tcPr>
            <w:tcW w:w="1129" w:type="dxa"/>
            <w:shd w:val="clear" w:color="auto" w:fill="auto"/>
            <w:vAlign w:val="center"/>
          </w:tcPr>
          <w:p w14:paraId="533AE6F1" w14:textId="7D71FFC0"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28</w:t>
            </w:r>
          </w:p>
        </w:tc>
        <w:tc>
          <w:tcPr>
            <w:tcW w:w="1594" w:type="dxa"/>
            <w:shd w:val="clear" w:color="auto" w:fill="auto"/>
            <w:vAlign w:val="center"/>
          </w:tcPr>
          <w:p w14:paraId="15BA83D2" w14:textId="196D650F"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2023–24</w:t>
            </w:r>
          </w:p>
        </w:tc>
        <w:tc>
          <w:tcPr>
            <w:tcW w:w="1595" w:type="dxa"/>
            <w:shd w:val="clear" w:color="auto" w:fill="auto"/>
            <w:vAlign w:val="center"/>
          </w:tcPr>
          <w:p w14:paraId="2F5FC1B8" w14:textId="14CAB11E"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31 Jul 2024</w:t>
            </w:r>
          </w:p>
        </w:tc>
        <w:tc>
          <w:tcPr>
            <w:tcW w:w="1595" w:type="dxa"/>
            <w:vAlign w:val="center"/>
          </w:tcPr>
          <w:p w14:paraId="30F88996" w14:textId="3EF97602"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28 Feb 2025</w:t>
            </w:r>
          </w:p>
        </w:tc>
        <w:tc>
          <w:tcPr>
            <w:tcW w:w="1595" w:type="dxa"/>
            <w:shd w:val="clear" w:color="auto" w:fill="auto"/>
            <w:vAlign w:val="center"/>
          </w:tcPr>
          <w:p w14:paraId="07976CB0" w14:textId="033107B7"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14 Mar 2025</w:t>
            </w:r>
          </w:p>
        </w:tc>
        <w:tc>
          <w:tcPr>
            <w:tcW w:w="2228" w:type="dxa"/>
            <w:shd w:val="clear" w:color="auto" w:fill="auto"/>
            <w:vAlign w:val="center"/>
          </w:tcPr>
          <w:p w14:paraId="5731624B" w14:textId="0B01BAEB" w:rsidR="001F7524" w:rsidRPr="002D2560" w:rsidRDefault="001F7524" w:rsidP="000E6112">
            <w:pPr>
              <w:spacing w:before="60" w:after="60" w:line="240" w:lineRule="auto"/>
              <w:jc w:val="center"/>
              <w:rPr>
                <w:rFonts w:cs="Arial"/>
                <w:color w:val="auto"/>
                <w:sz w:val="20"/>
                <w:szCs w:val="20"/>
                <w:lang w:val="en-AU"/>
              </w:rPr>
            </w:pPr>
            <w:r w:rsidRPr="002D2560">
              <w:rPr>
                <w:sz w:val="20"/>
                <w:szCs w:val="20"/>
                <w:lang w:val="en-AU"/>
              </w:rPr>
              <w:t>28 Mar 2025</w:t>
            </w:r>
          </w:p>
        </w:tc>
      </w:tr>
      <w:tr w:rsidR="00F74CE6" w:rsidRPr="002D2560" w14:paraId="5C0134BA" w14:textId="77777777" w:rsidTr="00B33F98">
        <w:tc>
          <w:tcPr>
            <w:tcW w:w="1129" w:type="dxa"/>
            <w:shd w:val="clear" w:color="auto" w:fill="auto"/>
            <w:vAlign w:val="center"/>
          </w:tcPr>
          <w:p w14:paraId="708AC237" w14:textId="7595FE8F" w:rsidR="00F74CE6" w:rsidRPr="002D2560" w:rsidRDefault="00F74CE6" w:rsidP="000E6112">
            <w:pPr>
              <w:spacing w:before="60" w:after="60" w:line="240" w:lineRule="auto"/>
              <w:jc w:val="center"/>
              <w:rPr>
                <w:sz w:val="20"/>
                <w:szCs w:val="20"/>
                <w:lang w:val="en-AU"/>
              </w:rPr>
            </w:pPr>
            <w:r w:rsidRPr="002D2560">
              <w:rPr>
                <w:sz w:val="20"/>
                <w:szCs w:val="20"/>
                <w:lang w:val="en-AU"/>
              </w:rPr>
              <w:t>29</w:t>
            </w:r>
          </w:p>
        </w:tc>
        <w:tc>
          <w:tcPr>
            <w:tcW w:w="1594" w:type="dxa"/>
            <w:shd w:val="clear" w:color="auto" w:fill="auto"/>
            <w:vAlign w:val="center"/>
          </w:tcPr>
          <w:p w14:paraId="16499D96" w14:textId="526D7415" w:rsidR="00F74CE6" w:rsidRPr="002D2560" w:rsidRDefault="00F74CE6" w:rsidP="000E6112">
            <w:pPr>
              <w:spacing w:before="60" w:after="60" w:line="240" w:lineRule="auto"/>
              <w:jc w:val="center"/>
              <w:rPr>
                <w:sz w:val="20"/>
                <w:szCs w:val="20"/>
                <w:lang w:val="en-AU"/>
              </w:rPr>
            </w:pPr>
            <w:r w:rsidRPr="002D2560">
              <w:rPr>
                <w:sz w:val="20"/>
                <w:szCs w:val="20"/>
                <w:lang w:val="en-AU"/>
              </w:rPr>
              <w:t>2024–25</w:t>
            </w:r>
          </w:p>
        </w:tc>
        <w:tc>
          <w:tcPr>
            <w:tcW w:w="1595" w:type="dxa"/>
            <w:shd w:val="clear" w:color="auto" w:fill="auto"/>
            <w:vAlign w:val="center"/>
          </w:tcPr>
          <w:p w14:paraId="212F42A9" w14:textId="5E62B9D7" w:rsidR="00F74CE6" w:rsidRPr="002D2560" w:rsidRDefault="00F74CE6" w:rsidP="000E6112">
            <w:pPr>
              <w:spacing w:before="60" w:after="60" w:line="240" w:lineRule="auto"/>
              <w:jc w:val="center"/>
              <w:rPr>
                <w:sz w:val="20"/>
                <w:szCs w:val="20"/>
                <w:lang w:val="en-AU"/>
              </w:rPr>
            </w:pPr>
            <w:r w:rsidRPr="002D2560">
              <w:rPr>
                <w:sz w:val="20"/>
                <w:szCs w:val="20"/>
                <w:lang w:val="en-AU"/>
              </w:rPr>
              <w:t>31 Jul 2025</w:t>
            </w:r>
          </w:p>
        </w:tc>
        <w:tc>
          <w:tcPr>
            <w:tcW w:w="1595" w:type="dxa"/>
            <w:vAlign w:val="center"/>
          </w:tcPr>
          <w:p w14:paraId="2D1D0598" w14:textId="2F8140BB" w:rsidR="00F74CE6" w:rsidRPr="002D2560" w:rsidRDefault="00F74CE6" w:rsidP="000E6112">
            <w:pPr>
              <w:spacing w:before="60" w:after="60" w:line="240" w:lineRule="auto"/>
              <w:jc w:val="center"/>
              <w:rPr>
                <w:sz w:val="20"/>
                <w:szCs w:val="20"/>
                <w:lang w:val="en-AU"/>
              </w:rPr>
            </w:pPr>
            <w:r w:rsidRPr="002D2560">
              <w:rPr>
                <w:sz w:val="20"/>
                <w:szCs w:val="20"/>
                <w:lang w:val="en-AU"/>
              </w:rPr>
              <w:t>2</w:t>
            </w:r>
            <w:r w:rsidR="003416D6" w:rsidRPr="002D2560">
              <w:rPr>
                <w:sz w:val="20"/>
                <w:szCs w:val="20"/>
                <w:lang w:val="en-AU"/>
              </w:rPr>
              <w:t>7</w:t>
            </w:r>
            <w:r w:rsidRPr="002D2560">
              <w:rPr>
                <w:sz w:val="20"/>
                <w:szCs w:val="20"/>
                <w:lang w:val="en-AU"/>
              </w:rPr>
              <w:t xml:space="preserve"> Feb 2026</w:t>
            </w:r>
          </w:p>
        </w:tc>
        <w:tc>
          <w:tcPr>
            <w:tcW w:w="1595" w:type="dxa"/>
            <w:shd w:val="clear" w:color="auto" w:fill="auto"/>
            <w:vAlign w:val="center"/>
          </w:tcPr>
          <w:p w14:paraId="4D6C5489" w14:textId="0C9D1D01" w:rsidR="00F74CE6" w:rsidRPr="002D2560" w:rsidRDefault="00F74CE6" w:rsidP="000E6112">
            <w:pPr>
              <w:spacing w:before="60" w:after="60" w:line="240" w:lineRule="auto"/>
              <w:jc w:val="center"/>
              <w:rPr>
                <w:sz w:val="20"/>
                <w:szCs w:val="20"/>
                <w:lang w:val="en-AU"/>
              </w:rPr>
            </w:pPr>
            <w:r w:rsidRPr="002D2560">
              <w:rPr>
                <w:sz w:val="20"/>
                <w:szCs w:val="20"/>
                <w:lang w:val="en-AU"/>
              </w:rPr>
              <w:t>1</w:t>
            </w:r>
            <w:r w:rsidR="003416D6" w:rsidRPr="002D2560">
              <w:rPr>
                <w:sz w:val="20"/>
                <w:szCs w:val="20"/>
                <w:lang w:val="en-AU"/>
              </w:rPr>
              <w:t>3</w:t>
            </w:r>
            <w:r w:rsidRPr="002D2560">
              <w:rPr>
                <w:sz w:val="20"/>
                <w:szCs w:val="20"/>
                <w:lang w:val="en-AU"/>
              </w:rPr>
              <w:t xml:space="preserve"> Mar 2026</w:t>
            </w:r>
          </w:p>
        </w:tc>
        <w:tc>
          <w:tcPr>
            <w:tcW w:w="2228" w:type="dxa"/>
            <w:shd w:val="clear" w:color="auto" w:fill="auto"/>
            <w:vAlign w:val="center"/>
          </w:tcPr>
          <w:p w14:paraId="4FF3EE13" w14:textId="4E690F6A" w:rsidR="00F74CE6" w:rsidRPr="002D2560" w:rsidRDefault="00F74CE6" w:rsidP="000E6112">
            <w:pPr>
              <w:spacing w:before="60" w:after="60" w:line="240" w:lineRule="auto"/>
              <w:jc w:val="center"/>
              <w:rPr>
                <w:sz w:val="20"/>
                <w:szCs w:val="20"/>
                <w:lang w:val="en-AU"/>
              </w:rPr>
            </w:pPr>
            <w:r w:rsidRPr="002D2560">
              <w:rPr>
                <w:sz w:val="20"/>
                <w:szCs w:val="20"/>
                <w:lang w:val="en-AU"/>
              </w:rPr>
              <w:t>2</w:t>
            </w:r>
            <w:r w:rsidR="003416D6" w:rsidRPr="002D2560">
              <w:rPr>
                <w:sz w:val="20"/>
                <w:szCs w:val="20"/>
                <w:lang w:val="en-AU"/>
              </w:rPr>
              <w:t>7</w:t>
            </w:r>
            <w:r w:rsidRPr="002D2560">
              <w:rPr>
                <w:sz w:val="20"/>
                <w:szCs w:val="20"/>
                <w:lang w:val="en-AU"/>
              </w:rPr>
              <w:t xml:space="preserve"> Mar 2026</w:t>
            </w:r>
          </w:p>
        </w:tc>
      </w:tr>
    </w:tbl>
    <w:p w14:paraId="518CE943" w14:textId="69C0B041" w:rsidR="001F7524" w:rsidRPr="002D2560" w:rsidRDefault="001F7524" w:rsidP="001F7524">
      <w:pPr>
        <w:pStyle w:val="Heading2"/>
      </w:pPr>
      <w:r w:rsidRPr="002D2560">
        <w:t>Reporting jurisdictions compliance with data requirements</w:t>
      </w:r>
    </w:p>
    <w:p w14:paraId="25DD994A" w14:textId="5E9E9FA0" w:rsidR="001F7524" w:rsidRPr="002D2560" w:rsidRDefault="001F7524" w:rsidP="00107591">
      <w:pPr>
        <w:rPr>
          <w:lang w:val="en-AU"/>
        </w:rPr>
      </w:pPr>
      <w:r w:rsidRPr="002D2560">
        <w:rPr>
          <w:lang w:val="en-AU"/>
        </w:rPr>
        <w:t>Jurisdictions are required to submit activity data to IH</w:t>
      </w:r>
      <w:r w:rsidR="007F1B0A" w:rsidRPr="002D2560">
        <w:rPr>
          <w:lang w:val="en-AU"/>
        </w:rPr>
        <w:t>AC</w:t>
      </w:r>
      <w:r w:rsidRPr="002D2560">
        <w:rPr>
          <w:lang w:val="en-AU"/>
        </w:rPr>
        <w:t>PA on a quarterly basis with the exception of teaching, training and research data which is submitted on an annual basis. NHCDC data are also submitted annually, as is Pharmaceutical Benefits Scheme data from the Department of Health</w:t>
      </w:r>
      <w:r w:rsidR="007F1B0A" w:rsidRPr="002D2560">
        <w:rPr>
          <w:lang w:val="en-AU"/>
        </w:rPr>
        <w:t xml:space="preserve"> and Aged Care</w:t>
      </w:r>
      <w:r w:rsidRPr="002D2560">
        <w:rPr>
          <w:lang w:val="en-AU"/>
        </w:rPr>
        <w:t>. IH</w:t>
      </w:r>
      <w:r w:rsidR="007F1B0A" w:rsidRPr="002D2560">
        <w:rPr>
          <w:lang w:val="en-AU"/>
        </w:rPr>
        <w:t>AC</w:t>
      </w:r>
      <w:r w:rsidRPr="002D2560">
        <w:rPr>
          <w:lang w:val="en-AU"/>
        </w:rPr>
        <w:t xml:space="preserve">PA reports on jurisdiction compliance as per clause B81 of the Addendum. </w:t>
      </w:r>
      <w:r w:rsidRPr="002D2560">
        <w:rPr>
          <w:lang w:val="en-AU"/>
        </w:rPr>
        <w:lastRenderedPageBreak/>
        <w:t>The process for reporting compliance will be managed in accordance with IH</w:t>
      </w:r>
      <w:r w:rsidR="007F1B0A" w:rsidRPr="002D2560">
        <w:rPr>
          <w:lang w:val="en-AU"/>
        </w:rPr>
        <w:t>AC</w:t>
      </w:r>
      <w:r w:rsidRPr="002D2560">
        <w:rPr>
          <w:lang w:val="en-AU"/>
        </w:rPr>
        <w:t xml:space="preserve">PA’s </w:t>
      </w:r>
      <w:hyperlink r:id="rId33" w:history="1">
        <w:r w:rsidRPr="002D2560">
          <w:rPr>
            <w:rStyle w:val="Hyperlink"/>
            <w:lang w:val="en-AU"/>
          </w:rPr>
          <w:t>Data Compliance Policy</w:t>
        </w:r>
      </w:hyperlink>
      <w:r w:rsidRPr="002D2560">
        <w:rPr>
          <w:lang w:val="en-AU"/>
        </w:rPr>
        <w:t>.</w:t>
      </w:r>
    </w:p>
    <w:p w14:paraId="414E7F94" w14:textId="7E15C908" w:rsidR="001F7524" w:rsidRPr="002D2560" w:rsidRDefault="001F7524" w:rsidP="00107591">
      <w:pPr>
        <w:rPr>
          <w:lang w:val="en-AU"/>
        </w:rPr>
      </w:pPr>
      <w:r w:rsidRPr="002D2560">
        <w:rPr>
          <w:lang w:val="en-AU"/>
        </w:rPr>
        <w:t>Jurisdictions will be judged to have complied with IH</w:t>
      </w:r>
      <w:r w:rsidR="007F1B0A" w:rsidRPr="002D2560">
        <w:rPr>
          <w:lang w:val="en-AU"/>
        </w:rPr>
        <w:t>AC</w:t>
      </w:r>
      <w:r w:rsidRPr="002D2560">
        <w:rPr>
          <w:lang w:val="en-AU"/>
        </w:rPr>
        <w:t>PA’s data requirements if they:</w:t>
      </w:r>
    </w:p>
    <w:p w14:paraId="34963344" w14:textId="77777777" w:rsidR="001F7524" w:rsidRPr="002D2560" w:rsidRDefault="001F7524" w:rsidP="001F7524">
      <w:pPr>
        <w:pStyle w:val="ListParagraph"/>
        <w:numPr>
          <w:ilvl w:val="0"/>
          <w:numId w:val="19"/>
        </w:numPr>
        <w:rPr>
          <w:lang w:val="en-AU"/>
        </w:rPr>
      </w:pPr>
      <w:r w:rsidRPr="002D2560">
        <w:rPr>
          <w:lang w:val="en-AU"/>
        </w:rPr>
        <w:t>have provided the data required as specified in the data request; and</w:t>
      </w:r>
    </w:p>
    <w:p w14:paraId="24AE3518" w14:textId="34582528" w:rsidR="001F7524" w:rsidRPr="002D2560" w:rsidRDefault="001F7524" w:rsidP="001F7524">
      <w:pPr>
        <w:pStyle w:val="ListParagraph"/>
        <w:numPr>
          <w:ilvl w:val="0"/>
          <w:numId w:val="19"/>
        </w:numPr>
        <w:rPr>
          <w:lang w:val="en-AU"/>
        </w:rPr>
      </w:pPr>
      <w:r w:rsidRPr="002D2560">
        <w:rPr>
          <w:lang w:val="en-AU"/>
        </w:rPr>
        <w:t>have provided the data in the timeframes requested.</w:t>
      </w:r>
    </w:p>
    <w:p w14:paraId="4A37AFA9" w14:textId="17C9AAA5" w:rsidR="001F7524" w:rsidRPr="002D2560" w:rsidRDefault="001F7524" w:rsidP="00107591">
      <w:pPr>
        <w:rPr>
          <w:lang w:val="en-AU"/>
        </w:rPr>
      </w:pPr>
      <w:r w:rsidRPr="002D2560">
        <w:rPr>
          <w:lang w:val="en-AU"/>
        </w:rPr>
        <w:t>If a jurisdiction does not meet both of these requirements for any given quarterly period, they will be regarded as being non-compliant. This information will be published on the IH</w:t>
      </w:r>
      <w:r w:rsidR="007F1B0A" w:rsidRPr="002D2560">
        <w:rPr>
          <w:lang w:val="en-AU"/>
        </w:rPr>
        <w:t>AC</w:t>
      </w:r>
      <w:r w:rsidRPr="002D2560">
        <w:rPr>
          <w:lang w:val="en-AU"/>
        </w:rPr>
        <w:t>PA website on a quarterly basis.</w:t>
      </w:r>
    </w:p>
    <w:p w14:paraId="555ACD58" w14:textId="3DA3397C" w:rsidR="001F7524" w:rsidRPr="002D2560" w:rsidRDefault="001F7524" w:rsidP="00107591">
      <w:pPr>
        <w:rPr>
          <w:lang w:val="en-AU"/>
        </w:rPr>
      </w:pPr>
      <w:r w:rsidRPr="002D2560">
        <w:rPr>
          <w:lang w:val="en-AU"/>
        </w:rPr>
        <w:t>However, it is also important to note that where a jurisdiction is judged to be non-compliant, it will have an opportunity to communicate the circumstances to IH</w:t>
      </w:r>
      <w:r w:rsidR="007F1B0A" w:rsidRPr="002D2560">
        <w:rPr>
          <w:lang w:val="en-AU"/>
        </w:rPr>
        <w:t>AC</w:t>
      </w:r>
      <w:r w:rsidRPr="002D2560">
        <w:rPr>
          <w:lang w:val="en-AU"/>
        </w:rPr>
        <w:t>PA. In this instance IH</w:t>
      </w:r>
      <w:r w:rsidR="007F1B0A" w:rsidRPr="002D2560">
        <w:rPr>
          <w:lang w:val="en-AU"/>
        </w:rPr>
        <w:t>AC</w:t>
      </w:r>
      <w:r w:rsidRPr="002D2560">
        <w:rPr>
          <w:lang w:val="en-AU"/>
        </w:rPr>
        <w:t>PA will work with the jurisdiction to improve the data submission process over time.</w:t>
      </w:r>
    </w:p>
    <w:p w14:paraId="178498D7" w14:textId="73859593" w:rsidR="001F7524" w:rsidRPr="002D2560" w:rsidRDefault="001F7524" w:rsidP="00107591">
      <w:pPr>
        <w:rPr>
          <w:lang w:val="en-AU"/>
        </w:rPr>
      </w:pPr>
      <w:r w:rsidRPr="002D2560">
        <w:rPr>
          <w:lang w:val="en-AU"/>
        </w:rPr>
        <w:t>Clause B82 of the Addendum requires the Commonwealth and states and territories to provide IH</w:t>
      </w:r>
      <w:r w:rsidR="007F1B0A" w:rsidRPr="002D2560">
        <w:rPr>
          <w:lang w:val="en-AU"/>
        </w:rPr>
        <w:t>AC</w:t>
      </w:r>
      <w:r w:rsidRPr="002D2560">
        <w:rPr>
          <w:lang w:val="en-AU"/>
        </w:rPr>
        <w:t>PA with a Statement of Assurance certifying completeness and accuracy of data submissions or resubmission from a senior health department official biannually on the completeness and accuracy of its data submissions. IH</w:t>
      </w:r>
      <w:r w:rsidR="007F1B0A" w:rsidRPr="002D2560">
        <w:rPr>
          <w:lang w:val="en-AU"/>
        </w:rPr>
        <w:t>AC</w:t>
      </w:r>
      <w:r w:rsidRPr="002D2560">
        <w:rPr>
          <w:lang w:val="en-AU"/>
        </w:rPr>
        <w:t>PA will provide these Statements of Assurance to the Administrator for reconciliation purposes.</w:t>
      </w:r>
    </w:p>
    <w:p w14:paraId="14D4FA40" w14:textId="53EA4E41" w:rsidR="001F7524" w:rsidRPr="002D2560" w:rsidRDefault="001F7524" w:rsidP="00107591">
      <w:pPr>
        <w:rPr>
          <w:lang w:val="en-AU"/>
        </w:rPr>
      </w:pPr>
      <w:r w:rsidRPr="002D2560">
        <w:rPr>
          <w:lang w:val="en-AU"/>
        </w:rPr>
        <w:t>The provision of the Statement of Assurance does not prevent a jurisdiction from resubmitting data to improve previous submissions, subject to the timing requirement in clause A78</w:t>
      </w:r>
      <w:r w:rsidR="000E6112" w:rsidRPr="002D2560">
        <w:rPr>
          <w:lang w:val="en-AU"/>
        </w:rPr>
        <w:t xml:space="preserve"> of the Addendum</w:t>
      </w:r>
      <w:r w:rsidRPr="002D2560">
        <w:rPr>
          <w:lang w:val="en-AU"/>
        </w:rPr>
        <w:t>. Each approved submission or resubmission of data is accompanied by a Statement of Assurance.</w:t>
      </w:r>
    </w:p>
    <w:p w14:paraId="5EC8F192" w14:textId="5DE865B3" w:rsidR="005F15C4" w:rsidRPr="002D2560" w:rsidRDefault="005F15C4">
      <w:pPr>
        <w:spacing w:line="259" w:lineRule="auto"/>
        <w:rPr>
          <w:lang w:val="en-AU"/>
        </w:rPr>
      </w:pPr>
      <w:r w:rsidRPr="002D2560">
        <w:rPr>
          <w:lang w:val="en-AU"/>
        </w:rPr>
        <w:br w:type="page"/>
      </w:r>
    </w:p>
    <w:p w14:paraId="059DBA06" w14:textId="6D7AD81E" w:rsidR="005F15C4" w:rsidRPr="002D2560" w:rsidRDefault="005F15C4" w:rsidP="005F15C4">
      <w:pPr>
        <w:pStyle w:val="Heading1"/>
      </w:pPr>
      <w:bookmarkStart w:id="15" w:name="_Toc121927356"/>
      <w:r w:rsidRPr="002D2560">
        <w:lastRenderedPageBreak/>
        <w:t>Aged care data requirements</w:t>
      </w:r>
      <w:bookmarkEnd w:id="15"/>
    </w:p>
    <w:p w14:paraId="6D19C111" w14:textId="376C8657" w:rsidR="005F15C4" w:rsidRPr="002D2560" w:rsidRDefault="005F15C4" w:rsidP="005F15C4">
      <w:pPr>
        <w:rPr>
          <w:lang w:val="en-AU"/>
        </w:rPr>
      </w:pPr>
      <w:r w:rsidRPr="002D2560">
        <w:rPr>
          <w:lang w:val="en-AU"/>
        </w:rPr>
        <w:t xml:space="preserve">IHACPA requires accurate classification and financial expenditure data from aged care facilities on a timely basis in order </w:t>
      </w:r>
      <w:r w:rsidR="00192F2F" w:rsidRPr="002D2560">
        <w:rPr>
          <w:lang w:val="en-AU"/>
        </w:rPr>
        <w:t>to</w:t>
      </w:r>
      <w:r w:rsidRPr="002D2560">
        <w:rPr>
          <w:lang w:val="en-AU"/>
        </w:rPr>
        <w:t xml:space="preserve"> </w:t>
      </w:r>
      <w:r w:rsidR="00D86D7C" w:rsidRPr="002D2560">
        <w:rPr>
          <w:lang w:val="en-AU"/>
        </w:rPr>
        <w:t xml:space="preserve">provide advice on aged care costing and pricing to the </w:t>
      </w:r>
      <w:proofErr w:type="gramStart"/>
      <w:r w:rsidR="00D86D7C" w:rsidRPr="002D2560">
        <w:rPr>
          <w:lang w:val="en-AU"/>
        </w:rPr>
        <w:t>Commonwealth Minister</w:t>
      </w:r>
      <w:proofErr w:type="gramEnd"/>
      <w:r w:rsidR="00D86D7C" w:rsidRPr="002D2560">
        <w:rPr>
          <w:lang w:val="en-AU"/>
        </w:rPr>
        <w:t xml:space="preserve"> for Health and Aged Care</w:t>
      </w:r>
      <w:r w:rsidRPr="002D2560">
        <w:rPr>
          <w:lang w:val="en-AU"/>
        </w:rPr>
        <w:t>.</w:t>
      </w:r>
    </w:p>
    <w:p w14:paraId="2511064F" w14:textId="32364842" w:rsidR="00102FB7" w:rsidRPr="002D2560" w:rsidRDefault="00102FB7" w:rsidP="00102FB7">
      <w:pPr>
        <w:pStyle w:val="Heading2"/>
      </w:pPr>
      <w:r w:rsidRPr="002D2560">
        <w:t>Residential aged care</w:t>
      </w:r>
    </w:p>
    <w:p w14:paraId="10109AB2" w14:textId="0041910F" w:rsidR="005F15C4" w:rsidRPr="002D2560" w:rsidRDefault="00102FB7" w:rsidP="0044518C">
      <w:pPr>
        <w:pStyle w:val="Heading3"/>
      </w:pPr>
      <w:r w:rsidRPr="002D2560">
        <w:t>7.1.1</w:t>
      </w:r>
      <w:r w:rsidRPr="002D2560">
        <w:tab/>
      </w:r>
      <w:r w:rsidR="005F15C4" w:rsidRPr="002D2560">
        <w:t>Classifications</w:t>
      </w:r>
    </w:p>
    <w:p w14:paraId="60042169" w14:textId="4764EF6A" w:rsidR="00102FB7" w:rsidRPr="002D2560" w:rsidRDefault="00102FB7" w:rsidP="006402BD">
      <w:pPr>
        <w:rPr>
          <w:lang w:val="en-AU"/>
        </w:rPr>
      </w:pPr>
      <w:r w:rsidRPr="002D2560">
        <w:rPr>
          <w:lang w:val="en-AU"/>
        </w:rPr>
        <w:t>On 1 October 2022, the Australian National Aged Care Classification (AN-ACC) residential care funding model replaced the Aged Care Funding Instrument. The AN-ACC funding model provides subsidies to approved aged care providers based on the type of service and each residents’ care needs through the application of national weighted activity units to the AN-ACC price.</w:t>
      </w:r>
    </w:p>
    <w:p w14:paraId="064188AF" w14:textId="4ED22138" w:rsidR="00102FB7" w:rsidRPr="002D2560" w:rsidRDefault="00102FB7" w:rsidP="006402BD">
      <w:pPr>
        <w:rPr>
          <w:lang w:val="en-AU"/>
        </w:rPr>
      </w:pPr>
      <w:r w:rsidRPr="002D2560">
        <w:rPr>
          <w:lang w:val="en-AU"/>
        </w:rPr>
        <w:t>IHACPA is required to provide advice to the Department of Health and Aged Care to inform decisions on annual funding increases in residential aged care, including residential respite, from 1 July 2023.</w:t>
      </w:r>
    </w:p>
    <w:p w14:paraId="7ECF2ECF" w14:textId="0647175C" w:rsidR="00102FB7" w:rsidRPr="002D2560" w:rsidRDefault="00102FB7" w:rsidP="00102FB7">
      <w:pPr>
        <w:rPr>
          <w:lang w:val="en-AU"/>
        </w:rPr>
      </w:pPr>
      <w:r w:rsidRPr="002D2560">
        <w:rPr>
          <w:lang w:val="en-AU"/>
        </w:rPr>
        <w:t xml:space="preserve">IHACPA requires access to the AN-ACC data and residential aged care provider financial information for costing analysis and other functions conferred upon it by the amended </w:t>
      </w:r>
      <w:r w:rsidRPr="002D2560">
        <w:rPr>
          <w:i/>
          <w:iCs/>
          <w:lang w:val="en-AU"/>
        </w:rPr>
        <w:t>Aged Care Act 1997</w:t>
      </w:r>
      <w:r w:rsidRPr="002D2560">
        <w:rPr>
          <w:lang w:val="en-AU"/>
        </w:rPr>
        <w:t xml:space="preserve"> and amended NHR Act. </w:t>
      </w:r>
    </w:p>
    <w:p w14:paraId="6D43B63B" w14:textId="3595C933" w:rsidR="00102FB7" w:rsidRPr="002D2560" w:rsidRDefault="00102FB7" w:rsidP="00102FB7">
      <w:pPr>
        <w:rPr>
          <w:lang w:val="en-AU"/>
        </w:rPr>
      </w:pPr>
      <w:r w:rsidRPr="002D2560">
        <w:rPr>
          <w:lang w:val="en-AU"/>
        </w:rPr>
        <w:t xml:space="preserve">The following information is required to be provided to IHACPA from the Department of Health and Aged Care. </w:t>
      </w:r>
      <w:r w:rsidRPr="00F13756">
        <w:rPr>
          <w:lang w:val="en-AU"/>
        </w:rPr>
        <w:t>IHACPA acknowledges that this level of reporting is new for the sector and the potential limitations of the data.</w:t>
      </w:r>
    </w:p>
    <w:p w14:paraId="39A054A5" w14:textId="71AEB4F5" w:rsidR="005F15C4" w:rsidRPr="002D2560" w:rsidRDefault="005F15C4" w:rsidP="005F15C4">
      <w:pPr>
        <w:spacing w:line="259" w:lineRule="auto"/>
        <w:rPr>
          <w:b/>
          <w:bCs/>
          <w:lang w:val="en-AU"/>
        </w:rPr>
      </w:pPr>
      <w:r w:rsidRPr="002D2560">
        <w:rPr>
          <w:b/>
          <w:bCs/>
          <w:lang w:val="en-AU"/>
        </w:rPr>
        <w:t>Table 1</w:t>
      </w:r>
      <w:r w:rsidR="002A50EE" w:rsidRPr="002D2560">
        <w:rPr>
          <w:b/>
          <w:bCs/>
          <w:lang w:val="en-AU"/>
        </w:rPr>
        <w:t>1</w:t>
      </w:r>
      <w:r w:rsidRPr="002D2560">
        <w:rPr>
          <w:b/>
          <w:bCs/>
          <w:lang w:val="en-AU"/>
        </w:rPr>
        <w:t>. Data requirements from the Department of Health and Aged Care</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30"/>
        <w:gridCol w:w="6897"/>
      </w:tblGrid>
      <w:tr w:rsidR="0036017B" w:rsidRPr="002D2560" w14:paraId="7B261808" w14:textId="77777777" w:rsidTr="0092379F">
        <w:trPr>
          <w:cnfStyle w:val="100000000000" w:firstRow="1" w:lastRow="0" w:firstColumn="0" w:lastColumn="0" w:oddVBand="0" w:evenVBand="0" w:oddHBand="0" w:evenHBand="0" w:firstRowFirstColumn="0" w:firstRowLastColumn="0" w:lastRowFirstColumn="0" w:lastRowLastColumn="0"/>
          <w:trHeight w:val="20"/>
          <w:tblHeader/>
        </w:trPr>
        <w:tc>
          <w:tcPr>
            <w:tcW w:w="2830" w:type="dxa"/>
            <w:shd w:val="clear" w:color="auto" w:fill="104F99" w:themeFill="accent2"/>
          </w:tcPr>
          <w:p w14:paraId="0C8D5118" w14:textId="77777777" w:rsidR="0036017B" w:rsidRPr="002D2560" w:rsidRDefault="0036017B" w:rsidP="0092379F">
            <w:pPr>
              <w:spacing w:before="80" w:after="80"/>
              <w:rPr>
                <w:rFonts w:cs="Arial"/>
                <w:b/>
                <w:bCs/>
                <w:color w:val="FFFFFF" w:themeColor="background2"/>
                <w:sz w:val="20"/>
                <w:szCs w:val="20"/>
                <w:lang w:val="en-AU"/>
              </w:rPr>
            </w:pPr>
            <w:r w:rsidRPr="002D2560">
              <w:rPr>
                <w:rFonts w:cs="Arial"/>
                <w:b/>
                <w:bCs/>
                <w:color w:val="FFFFFF" w:themeColor="background2"/>
                <w:sz w:val="20"/>
                <w:szCs w:val="20"/>
                <w:lang w:val="en-AU"/>
              </w:rPr>
              <w:t>Data</w:t>
            </w:r>
          </w:p>
        </w:tc>
        <w:tc>
          <w:tcPr>
            <w:tcW w:w="6897" w:type="dxa"/>
            <w:shd w:val="clear" w:color="auto" w:fill="104F99" w:themeFill="accent2"/>
          </w:tcPr>
          <w:p w14:paraId="246CC09D" w14:textId="77777777" w:rsidR="0036017B" w:rsidRPr="002D2560" w:rsidRDefault="0036017B" w:rsidP="0092379F">
            <w:pPr>
              <w:spacing w:before="80" w:after="80"/>
              <w:rPr>
                <w:rFonts w:cs="Arial"/>
                <w:b/>
                <w:bCs/>
                <w:color w:val="FFFFFF" w:themeColor="background2"/>
                <w:sz w:val="20"/>
                <w:szCs w:val="20"/>
                <w:lang w:val="en-AU"/>
              </w:rPr>
            </w:pPr>
            <w:r w:rsidRPr="002D2560">
              <w:rPr>
                <w:rFonts w:cs="Arial"/>
                <w:b/>
                <w:bCs/>
                <w:color w:val="FFFFFF" w:themeColor="background2"/>
                <w:sz w:val="20"/>
                <w:szCs w:val="20"/>
                <w:lang w:val="en-AU"/>
              </w:rPr>
              <w:t>Description</w:t>
            </w:r>
          </w:p>
        </w:tc>
      </w:tr>
      <w:tr w:rsidR="0092379F" w:rsidRPr="002D2560" w14:paraId="7F8EDFE6" w14:textId="77777777" w:rsidTr="0092379F">
        <w:trPr>
          <w:cnfStyle w:val="000000100000" w:firstRow="0" w:lastRow="0" w:firstColumn="0" w:lastColumn="0" w:oddVBand="0" w:evenVBand="0" w:oddHBand="1" w:evenHBand="0" w:firstRowFirstColumn="0" w:firstRowLastColumn="0" w:lastRowFirstColumn="0" w:lastRowLastColumn="0"/>
          <w:trHeight w:val="20"/>
        </w:trPr>
        <w:tc>
          <w:tcPr>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F74D24E" w14:textId="019796D5" w:rsidR="0092379F" w:rsidRPr="002D2560" w:rsidRDefault="0092379F" w:rsidP="0092379F">
            <w:pPr>
              <w:spacing w:before="80" w:after="80"/>
              <w:rPr>
                <w:rFonts w:cs="Arial"/>
                <w:color w:val="000000"/>
                <w:sz w:val="20"/>
                <w:szCs w:val="20"/>
                <w:lang w:val="en-AU"/>
              </w:rPr>
            </w:pPr>
            <w:r w:rsidRPr="002D2560">
              <w:rPr>
                <w:sz w:val="20"/>
                <w:szCs w:val="20"/>
                <w:lang w:val="en-AU"/>
              </w:rPr>
              <w:t>Residential aged care provider historical financial reports</w:t>
            </w:r>
          </w:p>
        </w:tc>
        <w:tc>
          <w:tcPr>
            <w:tcW w:w="6897"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FB4EDA7" w14:textId="0F535F89" w:rsidR="0092379F" w:rsidRPr="002D2560" w:rsidRDefault="0092379F" w:rsidP="0092379F">
            <w:pPr>
              <w:pStyle w:val="ListParagraph"/>
              <w:numPr>
                <w:ilvl w:val="0"/>
                <w:numId w:val="20"/>
              </w:numPr>
              <w:spacing w:before="80" w:after="80"/>
              <w:ind w:left="453"/>
              <w:rPr>
                <w:rFonts w:cs="Arial"/>
                <w:color w:val="1C1C1C"/>
                <w:sz w:val="20"/>
                <w:szCs w:val="20"/>
                <w:lang w:val="en-AU"/>
              </w:rPr>
            </w:pPr>
            <w:r w:rsidRPr="002D2560">
              <w:rPr>
                <w:rFonts w:cs="Arial"/>
                <w:color w:val="1C1C1C"/>
                <w:sz w:val="20"/>
                <w:szCs w:val="20"/>
                <w:lang w:val="en-AU"/>
              </w:rPr>
              <w:t>All ACFR data fields submitted for residential aged care providers.</w:t>
            </w:r>
          </w:p>
          <w:p w14:paraId="1B0DE820" w14:textId="4AFF45BF" w:rsidR="0092379F" w:rsidRPr="002D2560" w:rsidRDefault="0092379F" w:rsidP="0092379F">
            <w:pPr>
              <w:pStyle w:val="ListParagraph"/>
              <w:numPr>
                <w:ilvl w:val="0"/>
                <w:numId w:val="20"/>
              </w:numPr>
              <w:spacing w:before="80" w:after="80"/>
              <w:ind w:left="453"/>
              <w:rPr>
                <w:rFonts w:cs="Arial"/>
                <w:color w:val="1C1C1C"/>
                <w:sz w:val="20"/>
                <w:szCs w:val="20"/>
                <w:lang w:val="en-AU"/>
              </w:rPr>
            </w:pPr>
            <w:r w:rsidRPr="002D2560">
              <w:rPr>
                <w:rFonts w:cs="Arial"/>
                <w:color w:val="1C1C1C"/>
                <w:sz w:val="20"/>
                <w:szCs w:val="20"/>
                <w:lang w:val="en-AU"/>
              </w:rPr>
              <w:t>Detailed information about where providers spend their money at the residential aged care facility level, including staffing costs, care hours and resident expenses.</w:t>
            </w:r>
          </w:p>
        </w:tc>
      </w:tr>
      <w:tr w:rsidR="0092379F" w:rsidRPr="002D2560" w14:paraId="75A00217" w14:textId="77777777" w:rsidTr="0092379F">
        <w:trPr>
          <w:cnfStyle w:val="000000010000" w:firstRow="0" w:lastRow="0" w:firstColumn="0" w:lastColumn="0" w:oddVBand="0" w:evenVBand="0" w:oddHBand="0" w:evenHBand="1" w:firstRowFirstColumn="0" w:firstRowLastColumn="0" w:lastRowFirstColumn="0" w:lastRowLastColumn="0"/>
          <w:trHeight w:val="20"/>
        </w:trPr>
        <w:tc>
          <w:tcPr>
            <w:tcW w:w="2830" w:type="dxa"/>
            <w:tcBorders>
              <w:top w:val="none" w:sz="0" w:space="0" w:color="auto"/>
              <w:bottom w:val="none" w:sz="0" w:space="0" w:color="auto"/>
            </w:tcBorders>
            <w:shd w:val="clear" w:color="auto" w:fill="auto"/>
          </w:tcPr>
          <w:p w14:paraId="27307750" w14:textId="77777777" w:rsidR="0092379F" w:rsidRPr="002D2560" w:rsidRDefault="0092379F" w:rsidP="0092379F">
            <w:pPr>
              <w:spacing w:before="80" w:after="80"/>
              <w:rPr>
                <w:sz w:val="20"/>
                <w:szCs w:val="20"/>
                <w:lang w:val="en-AU"/>
              </w:rPr>
            </w:pPr>
            <w:r w:rsidRPr="002D2560">
              <w:rPr>
                <w:sz w:val="20"/>
                <w:szCs w:val="20"/>
                <w:lang w:val="en-AU"/>
              </w:rPr>
              <w:t>Aged Care Financial Report (ACFR) data</w:t>
            </w:r>
          </w:p>
        </w:tc>
        <w:tc>
          <w:tcPr>
            <w:tcW w:w="6897" w:type="dxa"/>
            <w:vMerge/>
            <w:tcBorders>
              <w:top w:val="none" w:sz="0" w:space="0" w:color="auto"/>
              <w:bottom w:val="none" w:sz="0" w:space="0" w:color="auto"/>
            </w:tcBorders>
            <w:shd w:val="clear" w:color="auto" w:fill="auto"/>
          </w:tcPr>
          <w:p w14:paraId="095DFC2D" w14:textId="77777777" w:rsidR="0092379F" w:rsidRPr="002D2560" w:rsidRDefault="0092379F" w:rsidP="0092379F">
            <w:pPr>
              <w:pStyle w:val="ListParagraph"/>
              <w:numPr>
                <w:ilvl w:val="0"/>
                <w:numId w:val="20"/>
              </w:numPr>
              <w:spacing w:before="80" w:after="80"/>
              <w:ind w:left="453"/>
              <w:rPr>
                <w:rFonts w:cs="Arial"/>
                <w:color w:val="1C1C1C"/>
                <w:sz w:val="20"/>
                <w:szCs w:val="20"/>
                <w:lang w:val="en-AU"/>
              </w:rPr>
            </w:pPr>
          </w:p>
        </w:tc>
      </w:tr>
      <w:tr w:rsidR="0036017B" w:rsidRPr="002D2560" w14:paraId="178FC1E6" w14:textId="77777777" w:rsidTr="0092379F">
        <w:trPr>
          <w:cnfStyle w:val="000000100000" w:firstRow="0" w:lastRow="0" w:firstColumn="0" w:lastColumn="0" w:oddVBand="0" w:evenVBand="0" w:oddHBand="1" w:evenHBand="0" w:firstRowFirstColumn="0" w:firstRowLastColumn="0" w:lastRowFirstColumn="0" w:lastRowLastColumn="0"/>
          <w:trHeight w:val="20"/>
        </w:trPr>
        <w:tc>
          <w:tcPr>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67D31F5" w14:textId="033746C3" w:rsidR="0036017B" w:rsidRPr="002D2560" w:rsidRDefault="0092379F" w:rsidP="0092379F">
            <w:pPr>
              <w:spacing w:before="80" w:after="80"/>
              <w:rPr>
                <w:rFonts w:cs="Arial"/>
                <w:color w:val="000000"/>
                <w:sz w:val="20"/>
                <w:szCs w:val="20"/>
                <w:lang w:val="en-AU"/>
              </w:rPr>
            </w:pPr>
            <w:r w:rsidRPr="002D2560">
              <w:rPr>
                <w:sz w:val="20"/>
                <w:szCs w:val="20"/>
                <w:lang w:val="en-AU"/>
              </w:rPr>
              <w:t>R</w:t>
            </w:r>
            <w:r w:rsidR="0036017B" w:rsidRPr="002D2560">
              <w:rPr>
                <w:sz w:val="20"/>
                <w:szCs w:val="20"/>
                <w:lang w:val="en-AU"/>
              </w:rPr>
              <w:t>esidential aged care services data</w:t>
            </w:r>
          </w:p>
        </w:tc>
        <w:tc>
          <w:tcPr>
            <w:tcW w:w="68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F23262" w14:textId="71C4B5DC" w:rsidR="0036017B" w:rsidRPr="002D2560" w:rsidRDefault="0036017B" w:rsidP="0092379F">
            <w:pPr>
              <w:pStyle w:val="ListParagraph"/>
              <w:numPr>
                <w:ilvl w:val="0"/>
                <w:numId w:val="21"/>
              </w:numPr>
              <w:spacing w:before="80" w:after="80"/>
              <w:ind w:left="453"/>
              <w:rPr>
                <w:rFonts w:cs="Arial"/>
                <w:color w:val="1C1C1C"/>
                <w:sz w:val="20"/>
                <w:szCs w:val="20"/>
                <w:lang w:val="en-AU"/>
              </w:rPr>
            </w:pPr>
            <w:r w:rsidRPr="002D2560">
              <w:rPr>
                <w:rFonts w:cs="Arial"/>
                <w:color w:val="1C1C1C"/>
                <w:sz w:val="20"/>
                <w:szCs w:val="20"/>
                <w:lang w:val="en-AU"/>
              </w:rPr>
              <w:t>A list of all residential aged care services which align with the period of ACFR reporting</w:t>
            </w:r>
            <w:r w:rsidR="0092379F" w:rsidRPr="002D2560">
              <w:rPr>
                <w:rFonts w:cs="Arial"/>
                <w:color w:val="1C1C1C"/>
                <w:sz w:val="20"/>
                <w:szCs w:val="20"/>
                <w:lang w:val="en-AU"/>
              </w:rPr>
              <w:t>.</w:t>
            </w:r>
          </w:p>
          <w:p w14:paraId="7583C426" w14:textId="2012DD92" w:rsidR="0036017B" w:rsidRPr="002D2560" w:rsidRDefault="0036017B" w:rsidP="0092379F">
            <w:pPr>
              <w:pStyle w:val="ListParagraph"/>
              <w:numPr>
                <w:ilvl w:val="0"/>
                <w:numId w:val="21"/>
              </w:numPr>
              <w:spacing w:before="80" w:after="80"/>
              <w:ind w:left="453"/>
              <w:rPr>
                <w:rFonts w:cs="Arial"/>
                <w:color w:val="1C1C1C"/>
                <w:sz w:val="20"/>
                <w:szCs w:val="20"/>
                <w:lang w:val="en-AU"/>
              </w:rPr>
            </w:pPr>
            <w:r w:rsidRPr="002D2560">
              <w:rPr>
                <w:rFonts w:cs="Arial"/>
                <w:color w:val="1C1C1C"/>
                <w:sz w:val="20"/>
                <w:szCs w:val="20"/>
                <w:lang w:val="en-AU"/>
              </w:rPr>
              <w:t>Facility level star ratings</w:t>
            </w:r>
            <w:r w:rsidR="0092379F" w:rsidRPr="002D2560">
              <w:rPr>
                <w:rFonts w:cs="Arial"/>
                <w:color w:val="1C1C1C"/>
                <w:sz w:val="20"/>
                <w:szCs w:val="20"/>
                <w:lang w:val="en-AU"/>
              </w:rPr>
              <w:t>.</w:t>
            </w:r>
          </w:p>
          <w:p w14:paraId="5B08CAE2" w14:textId="44504C55" w:rsidR="0036017B" w:rsidRPr="002D2560" w:rsidRDefault="0036017B" w:rsidP="0092379F">
            <w:pPr>
              <w:pStyle w:val="ListParagraph"/>
              <w:numPr>
                <w:ilvl w:val="0"/>
                <w:numId w:val="21"/>
              </w:numPr>
              <w:spacing w:before="80" w:after="80"/>
              <w:ind w:left="453"/>
              <w:rPr>
                <w:rFonts w:cs="Arial"/>
                <w:color w:val="1C1C1C"/>
                <w:sz w:val="20"/>
                <w:szCs w:val="20"/>
                <w:lang w:val="en-AU"/>
              </w:rPr>
            </w:pPr>
            <w:r w:rsidRPr="002D2560">
              <w:rPr>
                <w:rFonts w:cs="Arial"/>
                <w:color w:val="1C1C1C"/>
                <w:sz w:val="20"/>
                <w:szCs w:val="20"/>
                <w:lang w:val="en-AU"/>
              </w:rPr>
              <w:t>Facility level safety sanctions and accreditation status</w:t>
            </w:r>
            <w:r w:rsidR="0092379F" w:rsidRPr="002D2560">
              <w:rPr>
                <w:rFonts w:cs="Arial"/>
                <w:color w:val="1C1C1C"/>
                <w:sz w:val="20"/>
                <w:szCs w:val="20"/>
                <w:lang w:val="en-AU"/>
              </w:rPr>
              <w:t>.</w:t>
            </w:r>
          </w:p>
          <w:p w14:paraId="7B5C1B49" w14:textId="44D387ED" w:rsidR="0036017B" w:rsidRPr="002D2560" w:rsidRDefault="0036017B" w:rsidP="0092379F">
            <w:pPr>
              <w:pStyle w:val="ListParagraph"/>
              <w:numPr>
                <w:ilvl w:val="0"/>
                <w:numId w:val="21"/>
              </w:numPr>
              <w:spacing w:before="80" w:after="80"/>
              <w:ind w:left="453"/>
              <w:rPr>
                <w:rFonts w:cs="Arial"/>
                <w:color w:val="1C1C1C"/>
                <w:sz w:val="20"/>
                <w:szCs w:val="20"/>
                <w:lang w:val="en-AU"/>
              </w:rPr>
            </w:pPr>
            <w:r w:rsidRPr="002D2560">
              <w:rPr>
                <w:rFonts w:cs="Arial"/>
                <w:color w:val="1C1C1C"/>
                <w:sz w:val="20"/>
                <w:szCs w:val="20"/>
                <w:lang w:val="en-AU"/>
              </w:rPr>
              <w:t xml:space="preserve">Facility characteristics including </w:t>
            </w:r>
            <w:r w:rsidR="006C6814" w:rsidRPr="002D2560">
              <w:rPr>
                <w:rFonts w:cs="Arial"/>
                <w:color w:val="1C1C1C"/>
                <w:sz w:val="20"/>
                <w:szCs w:val="20"/>
                <w:lang w:val="en-AU"/>
              </w:rPr>
              <w:t>Modified Monash Model classification</w:t>
            </w:r>
            <w:r w:rsidRPr="002D2560">
              <w:rPr>
                <w:rFonts w:cs="Arial"/>
                <w:color w:val="1C1C1C"/>
                <w:sz w:val="20"/>
                <w:szCs w:val="20"/>
                <w:lang w:val="en-AU"/>
              </w:rPr>
              <w:t xml:space="preserve">, </w:t>
            </w:r>
            <w:r w:rsidR="006C6814" w:rsidRPr="002D2560">
              <w:rPr>
                <w:rFonts w:cs="Arial"/>
                <w:color w:val="1C1C1C"/>
                <w:sz w:val="20"/>
                <w:szCs w:val="20"/>
                <w:lang w:val="en-AU"/>
              </w:rPr>
              <w:t>I</w:t>
            </w:r>
            <w:r w:rsidRPr="002D2560">
              <w:rPr>
                <w:rFonts w:cs="Arial"/>
                <w:color w:val="1C1C1C"/>
                <w:sz w:val="20"/>
                <w:szCs w:val="20"/>
                <w:lang w:val="en-AU"/>
              </w:rPr>
              <w:t>ndigenous status and Base Care Tariff eligibility</w:t>
            </w:r>
            <w:r w:rsidR="0092379F" w:rsidRPr="002D2560">
              <w:rPr>
                <w:rFonts w:cs="Arial"/>
                <w:color w:val="1C1C1C"/>
                <w:sz w:val="20"/>
                <w:szCs w:val="20"/>
                <w:lang w:val="en-AU"/>
              </w:rPr>
              <w:t>.</w:t>
            </w:r>
          </w:p>
        </w:tc>
      </w:tr>
      <w:tr w:rsidR="0036017B" w:rsidRPr="002D2560" w14:paraId="1EABB4F0" w14:textId="77777777" w:rsidTr="0092379F">
        <w:trPr>
          <w:cnfStyle w:val="000000010000" w:firstRow="0" w:lastRow="0" w:firstColumn="0" w:lastColumn="0" w:oddVBand="0" w:evenVBand="0" w:oddHBand="0" w:evenHBand="1" w:firstRowFirstColumn="0" w:firstRowLastColumn="0" w:lastRowFirstColumn="0" w:lastRowLastColumn="0"/>
          <w:trHeight w:val="20"/>
        </w:trPr>
        <w:tc>
          <w:tcPr>
            <w:tcW w:w="2830" w:type="dxa"/>
            <w:tcBorders>
              <w:top w:val="none" w:sz="0" w:space="0" w:color="auto"/>
              <w:bottom w:val="none" w:sz="0" w:space="0" w:color="auto"/>
            </w:tcBorders>
            <w:shd w:val="clear" w:color="auto" w:fill="auto"/>
          </w:tcPr>
          <w:p w14:paraId="010E4A22" w14:textId="775CBAE1" w:rsidR="0036017B" w:rsidRPr="002D2560" w:rsidRDefault="0092379F" w:rsidP="0092379F">
            <w:pPr>
              <w:spacing w:before="80" w:after="80"/>
              <w:rPr>
                <w:rFonts w:cs="Arial"/>
                <w:color w:val="000000"/>
                <w:sz w:val="20"/>
                <w:szCs w:val="20"/>
                <w:lang w:val="en-AU"/>
              </w:rPr>
            </w:pPr>
            <w:r w:rsidRPr="002D2560">
              <w:rPr>
                <w:sz w:val="20"/>
                <w:szCs w:val="20"/>
                <w:lang w:val="en-AU"/>
              </w:rPr>
              <w:lastRenderedPageBreak/>
              <w:t>AN-ACC</w:t>
            </w:r>
            <w:r w:rsidR="0036017B" w:rsidRPr="002D2560">
              <w:rPr>
                <w:sz w:val="20"/>
                <w:szCs w:val="20"/>
                <w:lang w:val="en-AU"/>
              </w:rPr>
              <w:t xml:space="preserve"> shadow assessment and classification data </w:t>
            </w:r>
          </w:p>
        </w:tc>
        <w:tc>
          <w:tcPr>
            <w:tcW w:w="6897" w:type="dxa"/>
            <w:tcBorders>
              <w:top w:val="none" w:sz="0" w:space="0" w:color="auto"/>
              <w:bottom w:val="none" w:sz="0" w:space="0" w:color="auto"/>
            </w:tcBorders>
            <w:shd w:val="clear" w:color="auto" w:fill="auto"/>
          </w:tcPr>
          <w:p w14:paraId="1C3EA8F6" w14:textId="56188A76" w:rsidR="0036017B" w:rsidRPr="002D2560" w:rsidRDefault="0036017B" w:rsidP="0092379F">
            <w:pPr>
              <w:pStyle w:val="ListParagraph"/>
              <w:numPr>
                <w:ilvl w:val="0"/>
                <w:numId w:val="21"/>
              </w:numPr>
              <w:spacing w:before="80" w:after="80"/>
              <w:ind w:left="453"/>
              <w:rPr>
                <w:rFonts w:cs="Arial"/>
                <w:color w:val="1C1C1C"/>
                <w:sz w:val="20"/>
                <w:szCs w:val="20"/>
                <w:lang w:val="en-AU"/>
              </w:rPr>
            </w:pPr>
            <w:r w:rsidRPr="002D2560">
              <w:rPr>
                <w:rFonts w:cs="Arial"/>
                <w:color w:val="1C1C1C"/>
                <w:sz w:val="20"/>
                <w:szCs w:val="20"/>
                <w:lang w:val="en-AU"/>
              </w:rPr>
              <w:t>All completed residential aged care recipients’ AN-ACC shadow assessments and classifications (with names removed, but IDs to allow linking with other resident level data), provided six-monthly for the AN</w:t>
            </w:r>
            <w:r w:rsidRPr="002D2560">
              <w:rPr>
                <w:rFonts w:cs="Arial"/>
                <w:color w:val="1C1C1C"/>
                <w:sz w:val="20"/>
                <w:szCs w:val="20"/>
                <w:lang w:val="en-AU"/>
              </w:rPr>
              <w:noBreakHyphen/>
              <w:t>ACC shadow assessment period</w:t>
            </w:r>
            <w:r w:rsidR="0092379F" w:rsidRPr="002D2560">
              <w:rPr>
                <w:rFonts w:cs="Arial"/>
                <w:color w:val="1C1C1C"/>
                <w:sz w:val="20"/>
                <w:szCs w:val="20"/>
                <w:lang w:val="en-AU"/>
              </w:rPr>
              <w:t>.</w:t>
            </w:r>
          </w:p>
          <w:p w14:paraId="2AE49819" w14:textId="48430340" w:rsidR="0036017B" w:rsidRPr="002D2560" w:rsidRDefault="0036017B" w:rsidP="0092379F">
            <w:pPr>
              <w:pStyle w:val="ListParagraph"/>
              <w:numPr>
                <w:ilvl w:val="0"/>
                <w:numId w:val="21"/>
              </w:numPr>
              <w:spacing w:before="80" w:after="80"/>
              <w:ind w:left="453"/>
              <w:rPr>
                <w:rFonts w:cs="Arial"/>
                <w:color w:val="1C1C1C"/>
                <w:sz w:val="20"/>
                <w:szCs w:val="20"/>
                <w:lang w:val="en-AU"/>
              </w:rPr>
            </w:pPr>
            <w:r w:rsidRPr="002D2560">
              <w:rPr>
                <w:rFonts w:cs="Arial"/>
                <w:color w:val="1C1C1C"/>
                <w:sz w:val="20"/>
                <w:szCs w:val="20"/>
                <w:lang w:val="en-AU"/>
              </w:rPr>
              <w:t>List of residential aged care services that have AN-ACC shadow assessments completed</w:t>
            </w:r>
            <w:r w:rsidR="0092379F" w:rsidRPr="002D2560">
              <w:rPr>
                <w:rFonts w:cs="Arial"/>
                <w:color w:val="1C1C1C"/>
                <w:sz w:val="20"/>
                <w:szCs w:val="20"/>
                <w:lang w:val="en-AU"/>
              </w:rPr>
              <w:t>.</w:t>
            </w:r>
          </w:p>
        </w:tc>
      </w:tr>
      <w:tr w:rsidR="0036017B" w:rsidRPr="002D2560" w14:paraId="537D2B1D" w14:textId="77777777" w:rsidTr="0092379F">
        <w:trPr>
          <w:cnfStyle w:val="000000100000" w:firstRow="0" w:lastRow="0" w:firstColumn="0" w:lastColumn="0" w:oddVBand="0" w:evenVBand="0" w:oddHBand="1" w:evenHBand="0" w:firstRowFirstColumn="0" w:firstRowLastColumn="0" w:lastRowFirstColumn="0" w:lastRowLastColumn="0"/>
          <w:trHeight w:val="20"/>
        </w:trPr>
        <w:tc>
          <w:tcPr>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491FB6" w14:textId="41280776" w:rsidR="0036017B" w:rsidRPr="002D2560" w:rsidRDefault="0036017B" w:rsidP="0092379F">
            <w:pPr>
              <w:spacing w:before="80" w:after="80"/>
              <w:rPr>
                <w:rFonts w:cs="Arial"/>
                <w:color w:val="000000"/>
                <w:sz w:val="20"/>
                <w:szCs w:val="20"/>
                <w:lang w:val="en-AU"/>
              </w:rPr>
            </w:pPr>
            <w:r w:rsidRPr="002D2560">
              <w:rPr>
                <w:sz w:val="20"/>
                <w:szCs w:val="20"/>
                <w:lang w:val="en-AU"/>
              </w:rPr>
              <w:t xml:space="preserve">Historical Aged Care Funding Instrument (ACFI) </w:t>
            </w:r>
            <w:r w:rsidR="0092379F" w:rsidRPr="002D2560">
              <w:rPr>
                <w:sz w:val="20"/>
                <w:szCs w:val="20"/>
                <w:lang w:val="en-AU"/>
              </w:rPr>
              <w:t>data</w:t>
            </w:r>
          </w:p>
        </w:tc>
        <w:tc>
          <w:tcPr>
            <w:tcW w:w="68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C525402" w14:textId="271E39FA" w:rsidR="0036017B" w:rsidRPr="002D2560" w:rsidRDefault="0036017B" w:rsidP="0092379F">
            <w:pPr>
              <w:pStyle w:val="ListParagraph"/>
              <w:numPr>
                <w:ilvl w:val="0"/>
                <w:numId w:val="22"/>
              </w:numPr>
              <w:spacing w:before="80" w:after="80"/>
              <w:ind w:left="453"/>
              <w:rPr>
                <w:rFonts w:cs="Arial"/>
                <w:color w:val="1C1C1C"/>
                <w:sz w:val="20"/>
                <w:szCs w:val="20"/>
                <w:lang w:val="en-AU"/>
              </w:rPr>
            </w:pPr>
            <w:r w:rsidRPr="002D2560">
              <w:rPr>
                <w:rFonts w:cs="Arial"/>
                <w:color w:val="1C1C1C"/>
                <w:sz w:val="20"/>
                <w:szCs w:val="20"/>
                <w:lang w:val="en-AU"/>
              </w:rPr>
              <w:t>Detailed information about all residential aged care recipients’ ACFI appraisals in the Activities of Daily Living; Behaviour and Complex Health Care Domains</w:t>
            </w:r>
            <w:r w:rsidR="0092379F" w:rsidRPr="002D2560">
              <w:rPr>
                <w:rFonts w:cs="Arial"/>
                <w:color w:val="1C1C1C"/>
                <w:sz w:val="20"/>
                <w:szCs w:val="20"/>
                <w:lang w:val="en-AU"/>
              </w:rPr>
              <w:t>.</w:t>
            </w:r>
          </w:p>
          <w:p w14:paraId="5D6DAC70" w14:textId="56ABAF56" w:rsidR="0036017B" w:rsidRPr="002D2560" w:rsidRDefault="0036017B" w:rsidP="0092379F">
            <w:pPr>
              <w:pStyle w:val="ListParagraph"/>
              <w:numPr>
                <w:ilvl w:val="0"/>
                <w:numId w:val="22"/>
              </w:numPr>
              <w:spacing w:before="80" w:after="80"/>
              <w:ind w:left="453"/>
              <w:rPr>
                <w:rFonts w:cs="Arial"/>
                <w:color w:val="1C1C1C"/>
                <w:sz w:val="20"/>
                <w:szCs w:val="20"/>
                <w:lang w:val="en-AU"/>
              </w:rPr>
            </w:pPr>
            <w:r w:rsidRPr="002D2560">
              <w:rPr>
                <w:rFonts w:cs="Arial"/>
                <w:color w:val="1C1C1C"/>
                <w:sz w:val="20"/>
                <w:szCs w:val="20"/>
                <w:lang w:val="en-AU"/>
              </w:rPr>
              <w:t>Residential aged care recipients’ ACFI classification</w:t>
            </w:r>
            <w:r w:rsidR="0092379F" w:rsidRPr="002D2560">
              <w:rPr>
                <w:rFonts w:cs="Arial"/>
                <w:color w:val="1C1C1C"/>
                <w:sz w:val="20"/>
                <w:szCs w:val="20"/>
                <w:lang w:val="en-AU"/>
              </w:rPr>
              <w:t>.</w:t>
            </w:r>
          </w:p>
        </w:tc>
      </w:tr>
      <w:tr w:rsidR="0036017B" w:rsidRPr="002D2560" w14:paraId="5ED1EE4D" w14:textId="77777777" w:rsidTr="0092379F">
        <w:trPr>
          <w:cnfStyle w:val="000000010000" w:firstRow="0" w:lastRow="0" w:firstColumn="0" w:lastColumn="0" w:oddVBand="0" w:evenVBand="0" w:oddHBand="0" w:evenHBand="1" w:firstRowFirstColumn="0" w:firstRowLastColumn="0" w:lastRowFirstColumn="0" w:lastRowLastColumn="0"/>
          <w:trHeight w:val="20"/>
        </w:trPr>
        <w:tc>
          <w:tcPr>
            <w:tcW w:w="2830" w:type="dxa"/>
            <w:tcBorders>
              <w:top w:val="none" w:sz="0" w:space="0" w:color="auto"/>
              <w:bottom w:val="none" w:sz="0" w:space="0" w:color="auto"/>
            </w:tcBorders>
            <w:shd w:val="clear" w:color="auto" w:fill="auto"/>
          </w:tcPr>
          <w:p w14:paraId="03EBDCFE" w14:textId="4A8F6D2B" w:rsidR="0036017B" w:rsidRPr="002D2560" w:rsidRDefault="0036017B" w:rsidP="0092379F">
            <w:pPr>
              <w:spacing w:before="80" w:after="80"/>
              <w:rPr>
                <w:rFonts w:cs="Arial"/>
                <w:color w:val="000000"/>
                <w:sz w:val="20"/>
                <w:szCs w:val="20"/>
                <w:lang w:val="en-AU"/>
              </w:rPr>
            </w:pPr>
            <w:r w:rsidRPr="002D2560">
              <w:rPr>
                <w:sz w:val="20"/>
                <w:szCs w:val="20"/>
                <w:lang w:val="en-AU"/>
              </w:rPr>
              <w:t>Residential aged care subsidy, supplement and service utilisation data</w:t>
            </w:r>
          </w:p>
        </w:tc>
        <w:tc>
          <w:tcPr>
            <w:tcW w:w="6897" w:type="dxa"/>
            <w:tcBorders>
              <w:top w:val="none" w:sz="0" w:space="0" w:color="auto"/>
              <w:bottom w:val="none" w:sz="0" w:space="0" w:color="auto"/>
            </w:tcBorders>
            <w:shd w:val="clear" w:color="auto" w:fill="auto"/>
          </w:tcPr>
          <w:p w14:paraId="0A89AD81" w14:textId="574AF3CD" w:rsidR="0036017B" w:rsidRPr="002D2560" w:rsidRDefault="0036017B" w:rsidP="0092379F">
            <w:pPr>
              <w:pStyle w:val="ListParagraph"/>
              <w:numPr>
                <w:ilvl w:val="0"/>
                <w:numId w:val="23"/>
              </w:numPr>
              <w:spacing w:before="80" w:after="80"/>
              <w:ind w:left="453"/>
              <w:rPr>
                <w:rFonts w:cs="Arial"/>
                <w:color w:val="1C1C1C"/>
                <w:sz w:val="20"/>
                <w:szCs w:val="20"/>
                <w:lang w:val="en-AU"/>
              </w:rPr>
            </w:pPr>
            <w:r w:rsidRPr="002D2560">
              <w:rPr>
                <w:rFonts w:cs="Arial"/>
                <w:color w:val="1C1C1C"/>
                <w:sz w:val="20"/>
                <w:szCs w:val="20"/>
                <w:lang w:val="en-AU"/>
              </w:rPr>
              <w:t>Residential aged care subsidy, supplement and service utilisation data (including for permanent and respite care) at resident level (with names removed, but IDs included to allow linking with other resident level data) with provider and facility listed, provided six-monthly</w:t>
            </w:r>
            <w:r w:rsidR="0092379F" w:rsidRPr="002D2560">
              <w:rPr>
                <w:rFonts w:cs="Arial"/>
                <w:color w:val="1C1C1C"/>
                <w:sz w:val="20"/>
                <w:szCs w:val="20"/>
                <w:lang w:val="en-AU"/>
              </w:rPr>
              <w:t>.</w:t>
            </w:r>
          </w:p>
        </w:tc>
      </w:tr>
    </w:tbl>
    <w:p w14:paraId="23631C74" w14:textId="012573FF" w:rsidR="005F15C4" w:rsidRPr="002D2560" w:rsidRDefault="00102FB7" w:rsidP="0044518C">
      <w:pPr>
        <w:pStyle w:val="Heading3"/>
      </w:pPr>
      <w:r w:rsidRPr="002D2560">
        <w:t>7.1.2</w:t>
      </w:r>
      <w:r w:rsidRPr="002D2560">
        <w:tab/>
      </w:r>
      <w:r w:rsidR="005F15C4" w:rsidRPr="002D2560">
        <w:t>Data specifications</w:t>
      </w:r>
    </w:p>
    <w:p w14:paraId="2C476642" w14:textId="144E6ABC" w:rsidR="005F15C4" w:rsidRPr="002D2560" w:rsidRDefault="005F15C4" w:rsidP="005F15C4">
      <w:pPr>
        <w:rPr>
          <w:lang w:val="en-AU"/>
        </w:rPr>
      </w:pPr>
      <w:r w:rsidRPr="002D2560">
        <w:rPr>
          <w:lang w:val="en-AU"/>
        </w:rPr>
        <w:t xml:space="preserve">IHACPA will utilise facility financial and resident level data sets currently compiled by the Department of Health and Aged Care, as outlined in </w:t>
      </w:r>
      <w:r w:rsidRPr="002D2560">
        <w:rPr>
          <w:b/>
          <w:bCs/>
          <w:lang w:val="en-AU"/>
        </w:rPr>
        <w:t xml:space="preserve">Table </w:t>
      </w:r>
      <w:r w:rsidR="0092379F" w:rsidRPr="002D2560">
        <w:rPr>
          <w:b/>
          <w:bCs/>
          <w:lang w:val="en-AU"/>
        </w:rPr>
        <w:t>1</w:t>
      </w:r>
      <w:r w:rsidRPr="002D2560">
        <w:rPr>
          <w:b/>
          <w:bCs/>
          <w:lang w:val="en-AU"/>
        </w:rPr>
        <w:t>2</w:t>
      </w:r>
      <w:r w:rsidRPr="002D2560">
        <w:rPr>
          <w:lang w:val="en-AU"/>
        </w:rPr>
        <w:t>. IHACPA is in the process of creating new data sets containing costed information at a resident level. These data sets have not yet been developed and will be added in the future.</w:t>
      </w:r>
    </w:p>
    <w:p w14:paraId="4A2ABCD4" w14:textId="15E2623D" w:rsidR="005F15C4" w:rsidRPr="002D2560" w:rsidRDefault="005F15C4" w:rsidP="005F15C4">
      <w:pPr>
        <w:spacing w:line="259" w:lineRule="auto"/>
        <w:rPr>
          <w:b/>
          <w:bCs/>
          <w:lang w:val="en-AU"/>
        </w:rPr>
      </w:pPr>
      <w:r w:rsidRPr="002D2560">
        <w:rPr>
          <w:b/>
          <w:bCs/>
          <w:lang w:val="en-AU"/>
        </w:rPr>
        <w:t xml:space="preserve">Table </w:t>
      </w:r>
      <w:r w:rsidR="002A50EE" w:rsidRPr="002D2560">
        <w:rPr>
          <w:b/>
          <w:bCs/>
          <w:lang w:val="en-AU"/>
        </w:rPr>
        <w:t>1</w:t>
      </w:r>
      <w:r w:rsidRPr="002D2560">
        <w:rPr>
          <w:b/>
          <w:bCs/>
          <w:lang w:val="en-AU"/>
        </w:rPr>
        <w:t>2. Aged care data sets</w:t>
      </w:r>
    </w:p>
    <w:tbl>
      <w:tblPr>
        <w:tblStyle w:val="IHPATable"/>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47"/>
        <w:gridCol w:w="5670"/>
        <w:gridCol w:w="1510"/>
      </w:tblGrid>
      <w:tr w:rsidR="005F15C4" w:rsidRPr="002D2560" w14:paraId="323D8987" w14:textId="77777777" w:rsidTr="00606225">
        <w:trPr>
          <w:cnfStyle w:val="100000000000" w:firstRow="1" w:lastRow="0" w:firstColumn="0" w:lastColumn="0" w:oddVBand="0" w:evenVBand="0" w:oddHBand="0" w:evenHBand="0" w:firstRowFirstColumn="0" w:firstRowLastColumn="0" w:lastRowFirstColumn="0" w:lastRowLastColumn="0"/>
          <w:trHeight w:val="20"/>
        </w:trPr>
        <w:tc>
          <w:tcPr>
            <w:tcW w:w="2547" w:type="dxa"/>
            <w:shd w:val="clear" w:color="auto" w:fill="104F99" w:themeFill="accent2"/>
          </w:tcPr>
          <w:p w14:paraId="649AFC76" w14:textId="77777777" w:rsidR="005F15C4" w:rsidRPr="002D2560" w:rsidRDefault="005F15C4" w:rsidP="006C6814">
            <w:pPr>
              <w:spacing w:before="80" w:after="80"/>
              <w:rPr>
                <w:rFonts w:cs="Arial"/>
                <w:b/>
                <w:bCs/>
                <w:color w:val="FFFFFF" w:themeColor="background2"/>
                <w:sz w:val="20"/>
                <w:szCs w:val="20"/>
                <w:lang w:val="en-AU"/>
              </w:rPr>
            </w:pPr>
            <w:r w:rsidRPr="002D2560">
              <w:rPr>
                <w:b/>
                <w:bCs/>
                <w:color w:val="FFFFFF" w:themeColor="background2"/>
                <w:sz w:val="20"/>
                <w:szCs w:val="20"/>
                <w:lang w:val="en-AU"/>
              </w:rPr>
              <w:t>Data set</w:t>
            </w:r>
          </w:p>
        </w:tc>
        <w:tc>
          <w:tcPr>
            <w:tcW w:w="5670" w:type="dxa"/>
            <w:shd w:val="clear" w:color="auto" w:fill="104F99" w:themeFill="accent2"/>
          </w:tcPr>
          <w:p w14:paraId="28D426D7" w14:textId="77777777" w:rsidR="005F15C4" w:rsidRPr="002D2560" w:rsidRDefault="005F15C4" w:rsidP="006C6814">
            <w:pPr>
              <w:spacing w:before="80" w:after="80"/>
              <w:rPr>
                <w:rFonts w:cs="Arial"/>
                <w:b/>
                <w:bCs/>
                <w:color w:val="FFFFFF" w:themeColor="background2"/>
                <w:sz w:val="20"/>
                <w:szCs w:val="20"/>
                <w:lang w:val="en-AU"/>
              </w:rPr>
            </w:pPr>
            <w:r w:rsidRPr="002D2560">
              <w:rPr>
                <w:b/>
                <w:bCs/>
                <w:color w:val="FFFFFF" w:themeColor="background2"/>
                <w:sz w:val="20"/>
                <w:szCs w:val="20"/>
                <w:lang w:val="en-AU"/>
              </w:rPr>
              <w:t>Data set specifications</w:t>
            </w:r>
          </w:p>
        </w:tc>
        <w:tc>
          <w:tcPr>
            <w:tcW w:w="1510" w:type="dxa"/>
            <w:shd w:val="clear" w:color="auto" w:fill="104F99" w:themeFill="accent2"/>
            <w:vAlign w:val="center"/>
          </w:tcPr>
          <w:p w14:paraId="6DE2D620" w14:textId="77777777" w:rsidR="005F15C4" w:rsidRPr="002D2560" w:rsidRDefault="005F15C4" w:rsidP="006C6814">
            <w:pPr>
              <w:spacing w:before="80" w:after="80"/>
              <w:jc w:val="center"/>
              <w:rPr>
                <w:rFonts w:cs="Arial"/>
                <w:b/>
                <w:bCs/>
                <w:color w:val="FFFFFF" w:themeColor="background2"/>
                <w:sz w:val="20"/>
                <w:szCs w:val="20"/>
                <w:lang w:val="en-AU"/>
              </w:rPr>
            </w:pPr>
            <w:r w:rsidRPr="002D2560">
              <w:rPr>
                <w:b/>
                <w:bCs/>
                <w:color w:val="FFFFFF" w:themeColor="background2"/>
                <w:sz w:val="20"/>
                <w:szCs w:val="20"/>
                <w:lang w:val="en-AU"/>
              </w:rPr>
              <w:t>Start date</w:t>
            </w:r>
          </w:p>
        </w:tc>
      </w:tr>
      <w:tr w:rsidR="005F15C4" w:rsidRPr="002D2560" w14:paraId="5454D351" w14:textId="77777777" w:rsidTr="00606225">
        <w:trPr>
          <w:cnfStyle w:val="000000100000" w:firstRow="0" w:lastRow="0" w:firstColumn="0" w:lastColumn="0" w:oddVBand="0" w:evenVBand="0" w:oddHBand="1" w:evenHBand="0" w:firstRowFirstColumn="0" w:firstRowLastColumn="0" w:lastRowFirstColumn="0" w:lastRowLastColumn="0"/>
          <w:trHeight w:val="20"/>
        </w:trPr>
        <w:tc>
          <w:tcPr>
            <w:tcW w:w="254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D1DC47" w14:textId="77777777" w:rsidR="005F15C4" w:rsidRPr="002D2560" w:rsidRDefault="005F15C4" w:rsidP="006C6814">
            <w:pPr>
              <w:spacing w:before="80" w:after="80"/>
              <w:rPr>
                <w:rFonts w:cs="Arial"/>
                <w:color w:val="000000"/>
                <w:sz w:val="20"/>
                <w:szCs w:val="20"/>
                <w:lang w:val="en-AU"/>
              </w:rPr>
            </w:pPr>
            <w:r w:rsidRPr="002D2560">
              <w:rPr>
                <w:sz w:val="20"/>
                <w:szCs w:val="20"/>
                <w:lang w:val="en-AU"/>
              </w:rPr>
              <w:t>AN-ACC Resident Level</w:t>
            </w:r>
          </w:p>
        </w:tc>
        <w:tc>
          <w:tcPr>
            <w:tcW w:w="56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6FC80A2" w14:textId="77777777" w:rsidR="005F15C4" w:rsidRPr="002D2560" w:rsidRDefault="005F15C4" w:rsidP="006C6814">
            <w:pPr>
              <w:spacing w:before="80" w:after="80"/>
              <w:rPr>
                <w:rFonts w:cs="Arial"/>
                <w:color w:val="000000"/>
                <w:sz w:val="20"/>
                <w:szCs w:val="20"/>
                <w:lang w:val="en-AU"/>
              </w:rPr>
            </w:pPr>
            <w:r w:rsidRPr="002D2560">
              <w:rPr>
                <w:sz w:val="20"/>
                <w:szCs w:val="20"/>
                <w:lang w:val="en-AU"/>
              </w:rPr>
              <w:t>AN-ACC resident level assessment and end classes</w:t>
            </w:r>
          </w:p>
        </w:tc>
        <w:tc>
          <w:tcPr>
            <w:tcW w:w="15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FDFB5F8" w14:textId="77777777" w:rsidR="005F15C4" w:rsidRPr="002D2560" w:rsidRDefault="005F15C4" w:rsidP="006C6814">
            <w:pPr>
              <w:spacing w:before="80" w:after="80"/>
              <w:jc w:val="center"/>
              <w:rPr>
                <w:rFonts w:cs="Arial"/>
                <w:color w:val="1C1C1C"/>
                <w:sz w:val="20"/>
                <w:szCs w:val="20"/>
                <w:lang w:val="en-AU"/>
              </w:rPr>
            </w:pPr>
            <w:r w:rsidRPr="002D2560">
              <w:rPr>
                <w:sz w:val="20"/>
                <w:szCs w:val="20"/>
                <w:lang w:val="en-AU"/>
              </w:rPr>
              <w:t>1 July 2023</w:t>
            </w:r>
          </w:p>
        </w:tc>
      </w:tr>
      <w:tr w:rsidR="005F15C4" w:rsidRPr="002D2560" w14:paraId="0AC6C5AB" w14:textId="77777777" w:rsidTr="00606225">
        <w:trPr>
          <w:cnfStyle w:val="000000010000" w:firstRow="0" w:lastRow="0" w:firstColumn="0" w:lastColumn="0" w:oddVBand="0" w:evenVBand="0" w:oddHBand="0" w:evenHBand="1" w:firstRowFirstColumn="0" w:firstRowLastColumn="0" w:lastRowFirstColumn="0" w:lastRowLastColumn="0"/>
          <w:trHeight w:val="20"/>
        </w:trPr>
        <w:tc>
          <w:tcPr>
            <w:tcW w:w="2547" w:type="dxa"/>
            <w:tcBorders>
              <w:top w:val="none" w:sz="0" w:space="0" w:color="auto"/>
              <w:bottom w:val="none" w:sz="0" w:space="0" w:color="auto"/>
            </w:tcBorders>
            <w:shd w:val="clear" w:color="auto" w:fill="auto"/>
          </w:tcPr>
          <w:p w14:paraId="553BBDAA" w14:textId="77777777" w:rsidR="005F15C4" w:rsidRPr="002D2560" w:rsidRDefault="005F15C4" w:rsidP="006C6814">
            <w:pPr>
              <w:spacing w:before="80" w:after="80"/>
              <w:rPr>
                <w:rFonts w:cs="Arial"/>
                <w:color w:val="000000"/>
                <w:sz w:val="20"/>
                <w:szCs w:val="20"/>
                <w:lang w:val="en-AU"/>
              </w:rPr>
            </w:pPr>
            <w:r w:rsidRPr="002D2560">
              <w:rPr>
                <w:sz w:val="20"/>
                <w:szCs w:val="20"/>
                <w:lang w:val="en-AU"/>
              </w:rPr>
              <w:t xml:space="preserve">AN-ACC Facility Level </w:t>
            </w:r>
          </w:p>
        </w:tc>
        <w:tc>
          <w:tcPr>
            <w:tcW w:w="5670" w:type="dxa"/>
            <w:tcBorders>
              <w:top w:val="none" w:sz="0" w:space="0" w:color="auto"/>
              <w:bottom w:val="none" w:sz="0" w:space="0" w:color="auto"/>
            </w:tcBorders>
            <w:shd w:val="clear" w:color="auto" w:fill="auto"/>
          </w:tcPr>
          <w:p w14:paraId="6FE80A88" w14:textId="77777777" w:rsidR="005F15C4" w:rsidRPr="002D2560" w:rsidRDefault="005F15C4" w:rsidP="006C6814">
            <w:pPr>
              <w:spacing w:before="80" w:after="80"/>
              <w:rPr>
                <w:rFonts w:cs="Arial"/>
                <w:color w:val="000000"/>
                <w:sz w:val="20"/>
                <w:szCs w:val="20"/>
                <w:lang w:val="en-AU"/>
              </w:rPr>
            </w:pPr>
            <w:r w:rsidRPr="002D2560">
              <w:rPr>
                <w:sz w:val="20"/>
                <w:szCs w:val="20"/>
                <w:lang w:val="en-AU"/>
              </w:rPr>
              <w:t>AN-ACC facility level information and characteristics</w:t>
            </w:r>
          </w:p>
        </w:tc>
        <w:tc>
          <w:tcPr>
            <w:tcW w:w="1510" w:type="dxa"/>
            <w:tcBorders>
              <w:top w:val="none" w:sz="0" w:space="0" w:color="auto"/>
              <w:bottom w:val="none" w:sz="0" w:space="0" w:color="auto"/>
            </w:tcBorders>
            <w:shd w:val="clear" w:color="auto" w:fill="auto"/>
            <w:vAlign w:val="center"/>
          </w:tcPr>
          <w:p w14:paraId="33E8F333" w14:textId="77777777" w:rsidR="005F15C4" w:rsidRPr="002D2560" w:rsidRDefault="005F15C4" w:rsidP="006C6814">
            <w:pPr>
              <w:spacing w:before="80" w:after="80"/>
              <w:jc w:val="center"/>
              <w:rPr>
                <w:rFonts w:cs="Arial"/>
                <w:color w:val="1C1C1C"/>
                <w:sz w:val="20"/>
                <w:szCs w:val="20"/>
                <w:lang w:val="en-AU"/>
              </w:rPr>
            </w:pPr>
            <w:r w:rsidRPr="002D2560">
              <w:rPr>
                <w:sz w:val="20"/>
                <w:szCs w:val="20"/>
                <w:lang w:val="en-AU"/>
              </w:rPr>
              <w:t>1 July 2023</w:t>
            </w:r>
          </w:p>
        </w:tc>
      </w:tr>
      <w:tr w:rsidR="005F15C4" w:rsidRPr="002D2560" w14:paraId="2B479FEB" w14:textId="77777777" w:rsidTr="00606225">
        <w:trPr>
          <w:cnfStyle w:val="000000100000" w:firstRow="0" w:lastRow="0" w:firstColumn="0" w:lastColumn="0" w:oddVBand="0" w:evenVBand="0" w:oddHBand="1" w:evenHBand="0" w:firstRowFirstColumn="0" w:firstRowLastColumn="0" w:lastRowFirstColumn="0" w:lastRowLastColumn="0"/>
          <w:trHeight w:val="20"/>
        </w:trPr>
        <w:tc>
          <w:tcPr>
            <w:tcW w:w="254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699F84F" w14:textId="77777777" w:rsidR="005F15C4" w:rsidRPr="002D2560" w:rsidRDefault="005F15C4" w:rsidP="006C6814">
            <w:pPr>
              <w:spacing w:before="80" w:after="80"/>
              <w:rPr>
                <w:rFonts w:cs="Arial"/>
                <w:color w:val="000000"/>
                <w:sz w:val="20"/>
                <w:szCs w:val="20"/>
                <w:lang w:val="en-AU"/>
              </w:rPr>
            </w:pPr>
            <w:r w:rsidRPr="002D2560">
              <w:rPr>
                <w:sz w:val="20"/>
                <w:szCs w:val="20"/>
                <w:lang w:val="en-AU"/>
              </w:rPr>
              <w:t>Quarterly Financial Report</w:t>
            </w:r>
          </w:p>
        </w:tc>
        <w:tc>
          <w:tcPr>
            <w:tcW w:w="56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D7913D" w14:textId="77777777" w:rsidR="005F15C4" w:rsidRPr="002D2560" w:rsidRDefault="005F15C4" w:rsidP="006C6814">
            <w:pPr>
              <w:spacing w:before="80" w:after="80"/>
              <w:rPr>
                <w:rFonts w:cs="Arial"/>
                <w:color w:val="000000"/>
                <w:sz w:val="20"/>
                <w:szCs w:val="20"/>
                <w:lang w:val="en-AU"/>
              </w:rPr>
            </w:pPr>
            <w:r w:rsidRPr="002D2560">
              <w:rPr>
                <w:sz w:val="20"/>
                <w:szCs w:val="20"/>
                <w:lang w:val="en-AU"/>
              </w:rPr>
              <w:t>Quarterly Financial Report of service level financial, labour and nutrition information</w:t>
            </w:r>
          </w:p>
        </w:tc>
        <w:tc>
          <w:tcPr>
            <w:tcW w:w="15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77EBC73E" w14:textId="77777777" w:rsidR="005F15C4" w:rsidRPr="002D2560" w:rsidRDefault="005F15C4" w:rsidP="006C6814">
            <w:pPr>
              <w:spacing w:before="80" w:after="80"/>
              <w:jc w:val="center"/>
              <w:rPr>
                <w:rFonts w:cs="Arial"/>
                <w:color w:val="1C1C1C"/>
                <w:sz w:val="20"/>
                <w:szCs w:val="20"/>
                <w:lang w:val="en-AU"/>
              </w:rPr>
            </w:pPr>
            <w:r w:rsidRPr="002D2560">
              <w:rPr>
                <w:sz w:val="20"/>
                <w:szCs w:val="20"/>
                <w:lang w:val="en-AU"/>
              </w:rPr>
              <w:t>1 July 2023</w:t>
            </w:r>
          </w:p>
        </w:tc>
      </w:tr>
      <w:tr w:rsidR="005F15C4" w:rsidRPr="002D2560" w14:paraId="5007DBAD" w14:textId="77777777" w:rsidTr="00606225">
        <w:trPr>
          <w:cnfStyle w:val="000000010000" w:firstRow="0" w:lastRow="0" w:firstColumn="0" w:lastColumn="0" w:oddVBand="0" w:evenVBand="0" w:oddHBand="0" w:evenHBand="1" w:firstRowFirstColumn="0" w:firstRowLastColumn="0" w:lastRowFirstColumn="0" w:lastRowLastColumn="0"/>
          <w:trHeight w:val="20"/>
        </w:trPr>
        <w:tc>
          <w:tcPr>
            <w:tcW w:w="2547" w:type="dxa"/>
            <w:tcBorders>
              <w:top w:val="none" w:sz="0" w:space="0" w:color="auto"/>
              <w:bottom w:val="none" w:sz="0" w:space="0" w:color="auto"/>
            </w:tcBorders>
            <w:shd w:val="clear" w:color="auto" w:fill="auto"/>
          </w:tcPr>
          <w:p w14:paraId="75CEC0BA" w14:textId="77777777" w:rsidR="005F15C4" w:rsidRPr="002D2560" w:rsidRDefault="005F15C4" w:rsidP="006C6814">
            <w:pPr>
              <w:spacing w:before="80" w:after="80"/>
              <w:rPr>
                <w:rFonts w:cs="Arial"/>
                <w:color w:val="000000"/>
                <w:sz w:val="20"/>
                <w:szCs w:val="20"/>
                <w:lang w:val="en-AU"/>
              </w:rPr>
            </w:pPr>
            <w:r w:rsidRPr="002D2560">
              <w:rPr>
                <w:sz w:val="20"/>
                <w:szCs w:val="20"/>
                <w:lang w:val="en-AU"/>
              </w:rPr>
              <w:t>ACFR</w:t>
            </w:r>
          </w:p>
        </w:tc>
        <w:tc>
          <w:tcPr>
            <w:tcW w:w="5670" w:type="dxa"/>
            <w:tcBorders>
              <w:top w:val="none" w:sz="0" w:space="0" w:color="auto"/>
              <w:bottom w:val="none" w:sz="0" w:space="0" w:color="auto"/>
            </w:tcBorders>
            <w:shd w:val="clear" w:color="auto" w:fill="auto"/>
          </w:tcPr>
          <w:p w14:paraId="17C48EEB" w14:textId="77777777" w:rsidR="005F15C4" w:rsidRPr="002D2560" w:rsidRDefault="005F15C4" w:rsidP="006C6814">
            <w:pPr>
              <w:spacing w:before="80" w:after="80"/>
              <w:rPr>
                <w:rFonts w:cs="Arial"/>
                <w:color w:val="000000"/>
                <w:sz w:val="20"/>
                <w:szCs w:val="20"/>
                <w:lang w:val="en-AU"/>
              </w:rPr>
            </w:pPr>
            <w:r w:rsidRPr="002D2560">
              <w:rPr>
                <w:sz w:val="20"/>
                <w:szCs w:val="20"/>
                <w:lang w:val="en-AU"/>
              </w:rPr>
              <w:t>ACFR of service level financial expenditure information</w:t>
            </w:r>
          </w:p>
        </w:tc>
        <w:tc>
          <w:tcPr>
            <w:tcW w:w="1510" w:type="dxa"/>
            <w:tcBorders>
              <w:top w:val="none" w:sz="0" w:space="0" w:color="auto"/>
              <w:bottom w:val="none" w:sz="0" w:space="0" w:color="auto"/>
            </w:tcBorders>
            <w:shd w:val="clear" w:color="auto" w:fill="auto"/>
            <w:vAlign w:val="center"/>
          </w:tcPr>
          <w:p w14:paraId="6AAB7DD9" w14:textId="77777777" w:rsidR="005F15C4" w:rsidRPr="002D2560" w:rsidRDefault="005F15C4" w:rsidP="006C6814">
            <w:pPr>
              <w:spacing w:before="80" w:after="80"/>
              <w:jc w:val="center"/>
              <w:rPr>
                <w:sz w:val="20"/>
                <w:szCs w:val="20"/>
                <w:lang w:val="en-AU"/>
              </w:rPr>
            </w:pPr>
            <w:r w:rsidRPr="002D2560">
              <w:rPr>
                <w:sz w:val="20"/>
                <w:szCs w:val="20"/>
                <w:lang w:val="en-AU"/>
              </w:rPr>
              <w:t>1 July 2023</w:t>
            </w:r>
          </w:p>
        </w:tc>
      </w:tr>
    </w:tbl>
    <w:p w14:paraId="3407E9F5" w14:textId="1C49163D" w:rsidR="00102FB7" w:rsidRPr="002D2560" w:rsidRDefault="00102FB7" w:rsidP="00102FB7">
      <w:pPr>
        <w:pStyle w:val="Heading2"/>
      </w:pPr>
      <w:r w:rsidRPr="002D2560">
        <w:t>Support at Home Program</w:t>
      </w:r>
    </w:p>
    <w:p w14:paraId="01039BE3" w14:textId="4B9CCB4C" w:rsidR="00102FB7" w:rsidRPr="002D2560" w:rsidRDefault="00102FB7" w:rsidP="00102FB7">
      <w:pPr>
        <w:rPr>
          <w:lang w:val="en-AU"/>
        </w:rPr>
      </w:pPr>
      <w:r w:rsidRPr="002D2560">
        <w:rPr>
          <w:lang w:val="en-AU"/>
        </w:rPr>
        <w:t>Delivered on 25 October 2022, the Federal Budget 2022–23 further expanded IHACPA’s functions to include the development of advice on in-home aged care reforms by 1 July 2024. The Commonwealth Support at Home Program provides entry-level support services for older people who require assistance to live independently at home.</w:t>
      </w:r>
    </w:p>
    <w:p w14:paraId="60A6C72E" w14:textId="2CE17E3D" w:rsidR="00102FB7" w:rsidRPr="002D2560" w:rsidRDefault="00102FB7" w:rsidP="00102FB7">
      <w:pPr>
        <w:rPr>
          <w:lang w:val="en-AU"/>
        </w:rPr>
      </w:pPr>
      <w:r w:rsidRPr="002D2560">
        <w:rPr>
          <w:lang w:val="en-AU"/>
        </w:rPr>
        <w:t>IHACPA is required to provide pricing advice to the Department of Health and Aged Care to inform decisions on the Support at Home Program from 1 July 2024.</w:t>
      </w:r>
    </w:p>
    <w:p w14:paraId="588360A0" w14:textId="71C187A5" w:rsidR="005F15C4" w:rsidRPr="002D2560" w:rsidRDefault="00102FB7" w:rsidP="006C6814">
      <w:pPr>
        <w:rPr>
          <w:lang w:val="en-AU"/>
        </w:rPr>
      </w:pPr>
      <w:r w:rsidRPr="002D2560">
        <w:rPr>
          <w:lang w:val="en-AU"/>
        </w:rPr>
        <w:t xml:space="preserve">IHACPA is in the process of developing governance arrangements and </w:t>
      </w:r>
      <w:r w:rsidR="006C6814" w:rsidRPr="002D2560">
        <w:rPr>
          <w:lang w:val="en-AU"/>
        </w:rPr>
        <w:t>a methodology for the provision of this advice. Any data requirements will be included in future</w:t>
      </w:r>
      <w:r w:rsidRPr="002D2560">
        <w:rPr>
          <w:lang w:val="en-AU"/>
        </w:rPr>
        <w:t xml:space="preserve"> Three Year Data Plan</w:t>
      </w:r>
      <w:r w:rsidR="006C6814" w:rsidRPr="002D2560">
        <w:rPr>
          <w:lang w:val="en-AU"/>
        </w:rPr>
        <w:t>s</w:t>
      </w:r>
      <w:r w:rsidRPr="002D2560">
        <w:rPr>
          <w:lang w:val="en-AU"/>
        </w:rPr>
        <w:t>.</w:t>
      </w:r>
    </w:p>
    <w:p w14:paraId="2BF5511D" w14:textId="77777777" w:rsidR="00271FC1" w:rsidRPr="002D2560" w:rsidRDefault="00271FC1" w:rsidP="00723269">
      <w:pPr>
        <w:pStyle w:val="ListLevel2"/>
        <w:numPr>
          <w:ilvl w:val="0"/>
          <w:numId w:val="0"/>
        </w:numPr>
        <w:rPr>
          <w:lang w:val="en-AU"/>
        </w:rPr>
        <w:sectPr w:rsidR="00271FC1" w:rsidRPr="002D2560" w:rsidSect="009B6CDE">
          <w:pgSz w:w="11906" w:h="16838" w:code="9"/>
          <w:pgMar w:top="1276" w:right="1080" w:bottom="1440" w:left="1080" w:header="709" w:footer="709" w:gutter="0"/>
          <w:cols w:space="720"/>
          <w:docGrid w:linePitch="360"/>
        </w:sectPr>
      </w:pPr>
    </w:p>
    <w:p w14:paraId="13399F15" w14:textId="6F0E52F3" w:rsidR="00271FC1" w:rsidRPr="002D2560" w:rsidRDefault="00271FC1" w:rsidP="00E456EF">
      <w:pPr>
        <w:pStyle w:val="Heading1"/>
        <w:numPr>
          <w:ilvl w:val="0"/>
          <w:numId w:val="0"/>
        </w:numPr>
        <w:rPr>
          <w:sz w:val="64"/>
          <w:szCs w:val="64"/>
        </w:rPr>
      </w:pPr>
      <w:bookmarkStart w:id="16" w:name="_Toc121927357"/>
      <w:r w:rsidRPr="002D2560">
        <w:rPr>
          <w:sz w:val="64"/>
          <w:szCs w:val="64"/>
        </w:rPr>
        <w:lastRenderedPageBreak/>
        <w:t>Appendix A</w:t>
      </w:r>
      <w:r w:rsidR="00E456EF" w:rsidRPr="002D2560">
        <w:rPr>
          <w:sz w:val="64"/>
          <w:szCs w:val="64"/>
        </w:rPr>
        <w:t xml:space="preserve"> –</w:t>
      </w:r>
      <w:r w:rsidRPr="002D2560">
        <w:rPr>
          <w:sz w:val="64"/>
          <w:szCs w:val="64"/>
        </w:rPr>
        <w:t xml:space="preserve"> IHACPA and the Administrator</w:t>
      </w:r>
      <w:bookmarkEnd w:id="16"/>
    </w:p>
    <w:p w14:paraId="40F78D21" w14:textId="0EF666AF" w:rsidR="00CA1505" w:rsidRPr="002D2560" w:rsidRDefault="00CA1505" w:rsidP="00107591">
      <w:pPr>
        <w:rPr>
          <w:lang w:val="en-AU"/>
        </w:rPr>
      </w:pPr>
      <w:r w:rsidRPr="002D2560">
        <w:rPr>
          <w:lang w:val="en-AU"/>
        </w:rPr>
        <w:t>IH</w:t>
      </w:r>
      <w:r w:rsidR="007F1B0A" w:rsidRPr="002D2560">
        <w:rPr>
          <w:lang w:val="en-AU"/>
        </w:rPr>
        <w:t>AC</w:t>
      </w:r>
      <w:r w:rsidRPr="002D2560">
        <w:rPr>
          <w:lang w:val="en-AU"/>
        </w:rPr>
        <w:t>PA has worked collaboratively with the Administrator in revising the IH</w:t>
      </w:r>
      <w:r w:rsidR="007F1B0A" w:rsidRPr="002D2560">
        <w:rPr>
          <w:lang w:val="en-AU"/>
        </w:rPr>
        <w:t>AC</w:t>
      </w:r>
      <w:r w:rsidRPr="002D2560">
        <w:rPr>
          <w:lang w:val="en-AU"/>
        </w:rPr>
        <w:t>PA Three Year Data Plan as part of IH</w:t>
      </w:r>
      <w:r w:rsidR="007F1B0A" w:rsidRPr="002D2560">
        <w:rPr>
          <w:lang w:val="en-AU"/>
        </w:rPr>
        <w:t>AC</w:t>
      </w:r>
      <w:r w:rsidRPr="002D2560">
        <w:rPr>
          <w:lang w:val="en-AU"/>
        </w:rPr>
        <w:t>PA’s commitment to the principle of data rationalisation expressed in the Addendum particularly the ‘single provision, multiple use’ concept.</w:t>
      </w:r>
    </w:p>
    <w:p w14:paraId="73EDFA56" w14:textId="77777777" w:rsidR="00CA1505" w:rsidRPr="002D2560" w:rsidRDefault="00CA1505" w:rsidP="00107591">
      <w:pPr>
        <w:rPr>
          <w:lang w:val="en-AU"/>
        </w:rPr>
      </w:pPr>
      <w:r w:rsidRPr="002D2560">
        <w:rPr>
          <w:lang w:val="en-AU"/>
        </w:rPr>
        <w:t>The national bodies use cost and expenditure data through the same key collections – the NHCDC, the National Public Hospitals Establishments Database and the Public Hospitals Establishments Data Set Specification.</w:t>
      </w:r>
    </w:p>
    <w:p w14:paraId="0BA99CCC" w14:textId="77777777" w:rsidR="00CA1505" w:rsidRPr="002D2560" w:rsidRDefault="00CA1505" w:rsidP="00CA1505">
      <w:pPr>
        <w:rPr>
          <w:lang w:val="en-AU"/>
        </w:rPr>
      </w:pPr>
      <w:r w:rsidRPr="002D2560">
        <w:rPr>
          <w:b/>
          <w:bCs/>
          <w:lang w:val="en-AU"/>
        </w:rPr>
        <w:t>Table A1</w:t>
      </w:r>
      <w:r w:rsidRPr="002D2560">
        <w:rPr>
          <w:lang w:val="en-AU"/>
        </w:rPr>
        <w:t xml:space="preserve"> details the activity data collections utilised by the national bodies.</w:t>
      </w:r>
    </w:p>
    <w:p w14:paraId="06C6033E" w14:textId="1FE8A57B" w:rsidR="00CA2692" w:rsidRPr="002D2560" w:rsidRDefault="00CA1505" w:rsidP="00CA1505">
      <w:pPr>
        <w:rPr>
          <w:b/>
          <w:bCs/>
          <w:lang w:val="en-AU"/>
        </w:rPr>
      </w:pPr>
      <w:r w:rsidRPr="002D2560">
        <w:rPr>
          <w:b/>
          <w:bCs/>
          <w:lang w:val="en-AU"/>
        </w:rPr>
        <w:t>Table A1</w:t>
      </w:r>
      <w:r w:rsidR="005E330F" w:rsidRPr="002D2560">
        <w:rPr>
          <w:b/>
          <w:bCs/>
          <w:lang w:val="en-AU"/>
        </w:rPr>
        <w:t>.</w:t>
      </w:r>
      <w:r w:rsidRPr="002D2560">
        <w:rPr>
          <w:b/>
          <w:bCs/>
          <w:lang w:val="en-AU"/>
        </w:rPr>
        <w:t xml:space="preserve"> Comparative activity data collections utilised by the national bodies</w:t>
      </w:r>
    </w:p>
    <w:tbl>
      <w:tblPr>
        <w:tblStyle w:val="TableGrid"/>
        <w:tblW w:w="0" w:type="auto"/>
        <w:tblLook w:val="04A0" w:firstRow="1" w:lastRow="0" w:firstColumn="1" w:lastColumn="0" w:noHBand="0" w:noVBand="1"/>
      </w:tblPr>
      <w:tblGrid>
        <w:gridCol w:w="1269"/>
        <w:gridCol w:w="853"/>
        <w:gridCol w:w="992"/>
        <w:gridCol w:w="1288"/>
        <w:gridCol w:w="1614"/>
        <w:gridCol w:w="1568"/>
        <w:gridCol w:w="1614"/>
        <w:gridCol w:w="1568"/>
        <w:gridCol w:w="1614"/>
        <w:gridCol w:w="1568"/>
      </w:tblGrid>
      <w:tr w:rsidR="00CA1505" w:rsidRPr="002D2560" w14:paraId="5A0FE313" w14:textId="77777777" w:rsidTr="00B33F98">
        <w:trPr>
          <w:tblHeader/>
        </w:trPr>
        <w:tc>
          <w:tcPr>
            <w:tcW w:w="1269" w:type="dxa"/>
            <w:vMerge w:val="restart"/>
            <w:shd w:val="clear" w:color="auto" w:fill="104F99" w:themeFill="accent2"/>
            <w:vAlign w:val="center"/>
          </w:tcPr>
          <w:p w14:paraId="30AA35A2" w14:textId="77777777" w:rsidR="00CA1505" w:rsidRPr="002D2560" w:rsidRDefault="00CA1505" w:rsidP="00B33F98">
            <w:pPr>
              <w:spacing w:before="60" w:after="60" w:line="240" w:lineRule="auto"/>
              <w:jc w:val="center"/>
              <w:rPr>
                <w:b/>
                <w:bCs/>
                <w:color w:val="FFFFFF" w:themeColor="background2"/>
                <w:sz w:val="16"/>
                <w:szCs w:val="16"/>
                <w:lang w:val="en-AU"/>
              </w:rPr>
            </w:pPr>
          </w:p>
        </w:tc>
        <w:tc>
          <w:tcPr>
            <w:tcW w:w="3133" w:type="dxa"/>
            <w:gridSpan w:val="3"/>
            <w:shd w:val="clear" w:color="auto" w:fill="104F99" w:themeFill="accent2"/>
            <w:vAlign w:val="center"/>
          </w:tcPr>
          <w:p w14:paraId="4B4ABAB6" w14:textId="3C9DC5AF" w:rsidR="00CA1505" w:rsidRPr="002D2560" w:rsidRDefault="00CA1505"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National agencies</w:t>
            </w:r>
          </w:p>
        </w:tc>
        <w:tc>
          <w:tcPr>
            <w:tcW w:w="9546" w:type="dxa"/>
            <w:gridSpan w:val="6"/>
            <w:shd w:val="clear" w:color="auto" w:fill="104F99" w:themeFill="accent2"/>
            <w:vAlign w:val="center"/>
          </w:tcPr>
          <w:p w14:paraId="36D665E5" w14:textId="14682EC0" w:rsidR="00CA1505" w:rsidRPr="002D2560" w:rsidRDefault="00CA1505"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Year of data collection</w:t>
            </w:r>
          </w:p>
        </w:tc>
      </w:tr>
      <w:tr w:rsidR="00047CE3" w:rsidRPr="002D2560" w14:paraId="51E6A844" w14:textId="77777777" w:rsidTr="00B33F98">
        <w:trPr>
          <w:tblHeader/>
        </w:trPr>
        <w:tc>
          <w:tcPr>
            <w:tcW w:w="1269" w:type="dxa"/>
            <w:vMerge/>
            <w:shd w:val="clear" w:color="auto" w:fill="104F99" w:themeFill="accent2"/>
            <w:vAlign w:val="center"/>
          </w:tcPr>
          <w:p w14:paraId="2E87246C" w14:textId="77777777" w:rsidR="00CA1505" w:rsidRPr="002D2560" w:rsidRDefault="00CA1505" w:rsidP="00B33F98">
            <w:pPr>
              <w:spacing w:before="60" w:after="60" w:line="240" w:lineRule="auto"/>
              <w:jc w:val="center"/>
              <w:rPr>
                <w:b/>
                <w:bCs/>
                <w:sz w:val="16"/>
                <w:szCs w:val="16"/>
                <w:lang w:val="en-AU"/>
              </w:rPr>
            </w:pPr>
          </w:p>
        </w:tc>
        <w:tc>
          <w:tcPr>
            <w:tcW w:w="1845" w:type="dxa"/>
            <w:gridSpan w:val="2"/>
            <w:shd w:val="clear" w:color="auto" w:fill="104F99" w:themeFill="accent2"/>
            <w:vAlign w:val="center"/>
          </w:tcPr>
          <w:p w14:paraId="6D003AD0" w14:textId="04EDD353" w:rsidR="00CA1505" w:rsidRPr="002D2560" w:rsidRDefault="00CA1505"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IH</w:t>
            </w:r>
            <w:r w:rsidR="007F1B0A" w:rsidRPr="002D2560">
              <w:rPr>
                <w:b/>
                <w:bCs/>
                <w:color w:val="FFFFFF" w:themeColor="background2"/>
                <w:sz w:val="16"/>
                <w:szCs w:val="16"/>
                <w:lang w:val="en-AU"/>
              </w:rPr>
              <w:t>AC</w:t>
            </w:r>
            <w:r w:rsidRPr="002D2560">
              <w:rPr>
                <w:b/>
                <w:bCs/>
                <w:color w:val="FFFFFF" w:themeColor="background2"/>
                <w:sz w:val="16"/>
                <w:szCs w:val="16"/>
                <w:lang w:val="en-AU"/>
              </w:rPr>
              <w:t>PA</w:t>
            </w:r>
          </w:p>
        </w:tc>
        <w:tc>
          <w:tcPr>
            <w:tcW w:w="1288" w:type="dxa"/>
            <w:vMerge w:val="restart"/>
            <w:shd w:val="clear" w:color="auto" w:fill="104F99" w:themeFill="accent2"/>
            <w:vAlign w:val="center"/>
          </w:tcPr>
          <w:p w14:paraId="3CDD3DEA" w14:textId="40C43946" w:rsidR="00CA1505" w:rsidRPr="002D2560" w:rsidRDefault="00CA1505"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Administrator</w:t>
            </w:r>
          </w:p>
        </w:tc>
        <w:tc>
          <w:tcPr>
            <w:tcW w:w="3182" w:type="dxa"/>
            <w:gridSpan w:val="2"/>
            <w:shd w:val="clear" w:color="auto" w:fill="104F99" w:themeFill="accent2"/>
            <w:vAlign w:val="center"/>
          </w:tcPr>
          <w:p w14:paraId="3BEF736B" w14:textId="42D5FC62" w:rsidR="00CA1505" w:rsidRPr="002D2560" w:rsidRDefault="00E04BDE"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2023–24</w:t>
            </w:r>
          </w:p>
        </w:tc>
        <w:tc>
          <w:tcPr>
            <w:tcW w:w="3182" w:type="dxa"/>
            <w:gridSpan w:val="2"/>
            <w:shd w:val="clear" w:color="auto" w:fill="104F99" w:themeFill="accent2"/>
            <w:vAlign w:val="center"/>
          </w:tcPr>
          <w:p w14:paraId="5FDB96A7" w14:textId="26402028" w:rsidR="00CA1505" w:rsidRPr="002D2560" w:rsidRDefault="00E04BDE"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2024–25</w:t>
            </w:r>
          </w:p>
        </w:tc>
        <w:tc>
          <w:tcPr>
            <w:tcW w:w="3182" w:type="dxa"/>
            <w:gridSpan w:val="2"/>
            <w:shd w:val="clear" w:color="auto" w:fill="104F99" w:themeFill="accent2"/>
            <w:vAlign w:val="center"/>
          </w:tcPr>
          <w:p w14:paraId="6506D357" w14:textId="051E6F3C" w:rsidR="00CA1505" w:rsidRPr="002D2560" w:rsidRDefault="00EE517D"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2025–26</w:t>
            </w:r>
          </w:p>
        </w:tc>
      </w:tr>
      <w:tr w:rsidR="008F44BA" w:rsidRPr="002D2560" w14:paraId="1928182D" w14:textId="77777777" w:rsidTr="008F44BA">
        <w:trPr>
          <w:trHeight w:val="361"/>
          <w:tblHeader/>
        </w:trPr>
        <w:tc>
          <w:tcPr>
            <w:tcW w:w="1269" w:type="dxa"/>
            <w:shd w:val="clear" w:color="auto" w:fill="D9D9D9" w:themeFill="background2" w:themeFillShade="D9"/>
            <w:vAlign w:val="center"/>
          </w:tcPr>
          <w:p w14:paraId="18D2159E" w14:textId="18E16A02" w:rsidR="00CA1505" w:rsidRPr="002D2560" w:rsidRDefault="00CA1505" w:rsidP="00B33F98">
            <w:pPr>
              <w:spacing w:before="60" w:after="60" w:line="240" w:lineRule="auto"/>
              <w:jc w:val="center"/>
              <w:rPr>
                <w:b/>
                <w:bCs/>
                <w:sz w:val="16"/>
                <w:szCs w:val="16"/>
                <w:lang w:val="en-AU"/>
              </w:rPr>
            </w:pPr>
            <w:r w:rsidRPr="002D2560">
              <w:rPr>
                <w:b/>
                <w:bCs/>
                <w:sz w:val="16"/>
                <w:szCs w:val="16"/>
                <w:lang w:val="en-AU"/>
              </w:rPr>
              <w:t>Service category</w:t>
            </w:r>
          </w:p>
        </w:tc>
        <w:tc>
          <w:tcPr>
            <w:tcW w:w="853" w:type="dxa"/>
            <w:shd w:val="clear" w:color="auto" w:fill="D9D9D9" w:themeFill="background2" w:themeFillShade="D9"/>
            <w:vAlign w:val="center"/>
          </w:tcPr>
          <w:p w14:paraId="4E940ADD" w14:textId="30BCC451" w:rsidR="00CA1505" w:rsidRPr="002D2560" w:rsidRDefault="00CA1505" w:rsidP="00B33F98">
            <w:pPr>
              <w:spacing w:before="60" w:after="60" w:line="240" w:lineRule="auto"/>
              <w:jc w:val="center"/>
              <w:rPr>
                <w:b/>
                <w:bCs/>
                <w:sz w:val="16"/>
                <w:szCs w:val="16"/>
                <w:lang w:val="en-AU"/>
              </w:rPr>
            </w:pPr>
            <w:r w:rsidRPr="002D2560">
              <w:rPr>
                <w:b/>
                <w:bCs/>
                <w:sz w:val="16"/>
                <w:szCs w:val="16"/>
                <w:lang w:val="en-AU"/>
              </w:rPr>
              <w:t>ABF</w:t>
            </w:r>
          </w:p>
        </w:tc>
        <w:tc>
          <w:tcPr>
            <w:tcW w:w="992" w:type="dxa"/>
            <w:shd w:val="clear" w:color="auto" w:fill="D9D9D9" w:themeFill="background2" w:themeFillShade="D9"/>
            <w:vAlign w:val="center"/>
          </w:tcPr>
          <w:p w14:paraId="2071B088" w14:textId="5CFB78EA" w:rsidR="00CA1505" w:rsidRPr="002D2560" w:rsidRDefault="00CA1505" w:rsidP="00B33F98">
            <w:pPr>
              <w:spacing w:before="60" w:after="60" w:line="240" w:lineRule="auto"/>
              <w:jc w:val="center"/>
              <w:rPr>
                <w:b/>
                <w:bCs/>
                <w:sz w:val="16"/>
                <w:szCs w:val="16"/>
                <w:lang w:val="en-AU"/>
              </w:rPr>
            </w:pPr>
            <w:r w:rsidRPr="002D2560">
              <w:rPr>
                <w:b/>
                <w:bCs/>
                <w:sz w:val="16"/>
                <w:szCs w:val="16"/>
                <w:lang w:val="en-AU"/>
              </w:rPr>
              <w:t>Block-funded</w:t>
            </w:r>
          </w:p>
        </w:tc>
        <w:tc>
          <w:tcPr>
            <w:tcW w:w="1288" w:type="dxa"/>
            <w:vMerge/>
            <w:vAlign w:val="center"/>
          </w:tcPr>
          <w:p w14:paraId="448E08A1" w14:textId="77777777" w:rsidR="00CA1505" w:rsidRPr="002D2560" w:rsidRDefault="00CA1505" w:rsidP="00B33F98">
            <w:pPr>
              <w:spacing w:before="60" w:after="60" w:line="240" w:lineRule="auto"/>
              <w:jc w:val="center"/>
              <w:rPr>
                <w:b/>
                <w:bCs/>
                <w:sz w:val="16"/>
                <w:szCs w:val="16"/>
                <w:lang w:val="en-AU"/>
              </w:rPr>
            </w:pPr>
          </w:p>
        </w:tc>
        <w:tc>
          <w:tcPr>
            <w:tcW w:w="1614" w:type="dxa"/>
            <w:shd w:val="clear" w:color="auto" w:fill="D9D9D9" w:themeFill="background2" w:themeFillShade="D9"/>
            <w:vAlign w:val="center"/>
          </w:tcPr>
          <w:p w14:paraId="17EDDD4F" w14:textId="63DBCD44" w:rsidR="00CA1505" w:rsidRPr="002D2560" w:rsidRDefault="00CA1505" w:rsidP="00B33F98">
            <w:pPr>
              <w:spacing w:before="60" w:after="60" w:line="240" w:lineRule="auto"/>
              <w:jc w:val="center"/>
              <w:rPr>
                <w:b/>
                <w:bCs/>
                <w:sz w:val="16"/>
                <w:szCs w:val="16"/>
                <w:lang w:val="en-AU"/>
              </w:rPr>
            </w:pPr>
            <w:r w:rsidRPr="002D2560">
              <w:rPr>
                <w:b/>
                <w:bCs/>
                <w:sz w:val="16"/>
                <w:szCs w:val="16"/>
                <w:lang w:val="en-AU"/>
              </w:rPr>
              <w:t>Data spec</w:t>
            </w:r>
          </w:p>
        </w:tc>
        <w:tc>
          <w:tcPr>
            <w:tcW w:w="1568" w:type="dxa"/>
            <w:shd w:val="clear" w:color="auto" w:fill="D9D9D9" w:themeFill="background2" w:themeFillShade="D9"/>
            <w:vAlign w:val="center"/>
          </w:tcPr>
          <w:p w14:paraId="1B4FEADB" w14:textId="025E9D3F" w:rsidR="00CA1505" w:rsidRPr="002D2560" w:rsidRDefault="00CA1505" w:rsidP="00B33F98">
            <w:pPr>
              <w:spacing w:before="60" w:after="60" w:line="240" w:lineRule="auto"/>
              <w:jc w:val="center"/>
              <w:rPr>
                <w:b/>
                <w:bCs/>
                <w:sz w:val="16"/>
                <w:szCs w:val="16"/>
                <w:lang w:val="en-AU"/>
              </w:rPr>
            </w:pPr>
            <w:r w:rsidRPr="002D2560">
              <w:rPr>
                <w:b/>
                <w:bCs/>
                <w:sz w:val="16"/>
                <w:szCs w:val="16"/>
                <w:lang w:val="en-AU"/>
              </w:rPr>
              <w:t>Classification</w:t>
            </w:r>
          </w:p>
        </w:tc>
        <w:tc>
          <w:tcPr>
            <w:tcW w:w="1614" w:type="dxa"/>
            <w:shd w:val="clear" w:color="auto" w:fill="D9D9D9" w:themeFill="background2" w:themeFillShade="D9"/>
            <w:vAlign w:val="center"/>
          </w:tcPr>
          <w:p w14:paraId="63F18E27" w14:textId="02C330D0" w:rsidR="00CA1505" w:rsidRPr="002D2560" w:rsidRDefault="00CA1505" w:rsidP="00B33F98">
            <w:pPr>
              <w:spacing w:before="60" w:after="60" w:line="240" w:lineRule="auto"/>
              <w:jc w:val="center"/>
              <w:rPr>
                <w:b/>
                <w:bCs/>
                <w:sz w:val="16"/>
                <w:szCs w:val="16"/>
                <w:lang w:val="en-AU"/>
              </w:rPr>
            </w:pPr>
            <w:r w:rsidRPr="002D2560">
              <w:rPr>
                <w:b/>
                <w:bCs/>
                <w:sz w:val="16"/>
                <w:szCs w:val="16"/>
                <w:lang w:val="en-AU"/>
              </w:rPr>
              <w:t>Data spec</w:t>
            </w:r>
          </w:p>
        </w:tc>
        <w:tc>
          <w:tcPr>
            <w:tcW w:w="1568" w:type="dxa"/>
            <w:shd w:val="clear" w:color="auto" w:fill="D9D9D9" w:themeFill="background2" w:themeFillShade="D9"/>
            <w:vAlign w:val="center"/>
          </w:tcPr>
          <w:p w14:paraId="44E749A8" w14:textId="15345483" w:rsidR="00CA1505" w:rsidRPr="002D2560" w:rsidRDefault="00CA1505" w:rsidP="00B33F98">
            <w:pPr>
              <w:spacing w:before="60" w:after="60" w:line="240" w:lineRule="auto"/>
              <w:jc w:val="center"/>
              <w:rPr>
                <w:b/>
                <w:bCs/>
                <w:sz w:val="16"/>
                <w:szCs w:val="16"/>
                <w:lang w:val="en-AU"/>
              </w:rPr>
            </w:pPr>
            <w:r w:rsidRPr="002D2560">
              <w:rPr>
                <w:b/>
                <w:bCs/>
                <w:sz w:val="16"/>
                <w:szCs w:val="16"/>
                <w:lang w:val="en-AU"/>
              </w:rPr>
              <w:t>Classification</w:t>
            </w:r>
          </w:p>
        </w:tc>
        <w:tc>
          <w:tcPr>
            <w:tcW w:w="1614" w:type="dxa"/>
            <w:shd w:val="clear" w:color="auto" w:fill="D9D9D9" w:themeFill="background2" w:themeFillShade="D9"/>
            <w:vAlign w:val="center"/>
          </w:tcPr>
          <w:p w14:paraId="7801838D" w14:textId="139AF1DD" w:rsidR="00CA1505" w:rsidRPr="002D2560" w:rsidRDefault="00CA1505" w:rsidP="00B33F98">
            <w:pPr>
              <w:spacing w:before="60" w:after="60" w:line="240" w:lineRule="auto"/>
              <w:jc w:val="center"/>
              <w:rPr>
                <w:b/>
                <w:bCs/>
                <w:sz w:val="16"/>
                <w:szCs w:val="16"/>
                <w:lang w:val="en-AU"/>
              </w:rPr>
            </w:pPr>
            <w:r w:rsidRPr="002D2560">
              <w:rPr>
                <w:b/>
                <w:bCs/>
                <w:sz w:val="16"/>
                <w:szCs w:val="16"/>
                <w:lang w:val="en-AU"/>
              </w:rPr>
              <w:t>Data spec</w:t>
            </w:r>
          </w:p>
        </w:tc>
        <w:tc>
          <w:tcPr>
            <w:tcW w:w="1568" w:type="dxa"/>
            <w:shd w:val="clear" w:color="auto" w:fill="D9D9D9" w:themeFill="background2" w:themeFillShade="D9"/>
            <w:vAlign w:val="center"/>
          </w:tcPr>
          <w:p w14:paraId="6D20AA09" w14:textId="3A3D7A0E" w:rsidR="00CA1505" w:rsidRPr="002D2560" w:rsidRDefault="00CA1505" w:rsidP="00B33F98">
            <w:pPr>
              <w:spacing w:before="60" w:after="60" w:line="240" w:lineRule="auto"/>
              <w:jc w:val="center"/>
              <w:rPr>
                <w:b/>
                <w:bCs/>
                <w:sz w:val="16"/>
                <w:szCs w:val="16"/>
                <w:lang w:val="en-AU"/>
              </w:rPr>
            </w:pPr>
            <w:r w:rsidRPr="002D2560">
              <w:rPr>
                <w:b/>
                <w:bCs/>
                <w:sz w:val="16"/>
                <w:szCs w:val="16"/>
                <w:lang w:val="en-AU"/>
              </w:rPr>
              <w:t>Classification</w:t>
            </w:r>
          </w:p>
        </w:tc>
      </w:tr>
      <w:tr w:rsidR="008F4E00" w:rsidRPr="002D2560" w14:paraId="1BD9960A" w14:textId="77777777" w:rsidTr="008F44BA">
        <w:tc>
          <w:tcPr>
            <w:tcW w:w="1269" w:type="dxa"/>
            <w:vAlign w:val="center"/>
          </w:tcPr>
          <w:p w14:paraId="32344865" w14:textId="12AA4140" w:rsidR="00CA1505" w:rsidRPr="002D2560" w:rsidRDefault="00CA1505" w:rsidP="008F44BA">
            <w:pPr>
              <w:spacing w:before="80" w:after="80" w:line="240" w:lineRule="auto"/>
              <w:rPr>
                <w:sz w:val="16"/>
                <w:szCs w:val="16"/>
                <w:lang w:val="en-AU"/>
              </w:rPr>
            </w:pPr>
            <w:r w:rsidRPr="002D2560">
              <w:rPr>
                <w:sz w:val="16"/>
                <w:szCs w:val="16"/>
                <w:lang w:val="en-AU"/>
              </w:rPr>
              <w:t>Admitted acute</w:t>
            </w:r>
          </w:p>
        </w:tc>
        <w:tc>
          <w:tcPr>
            <w:tcW w:w="853" w:type="dxa"/>
            <w:vAlign w:val="center"/>
          </w:tcPr>
          <w:p w14:paraId="1ACA2090" w14:textId="1C5216B4" w:rsidR="00CA1505" w:rsidRPr="002D2560" w:rsidRDefault="00CA1505"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992" w:type="dxa"/>
            <w:vAlign w:val="center"/>
          </w:tcPr>
          <w:p w14:paraId="574FEDEE" w14:textId="67645D0D" w:rsidR="00CA1505" w:rsidRPr="002D2560" w:rsidRDefault="00CA1505"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288" w:type="dxa"/>
            <w:vAlign w:val="center"/>
          </w:tcPr>
          <w:p w14:paraId="3067B774" w14:textId="3D86023B" w:rsidR="00CA1505" w:rsidRPr="002D2560" w:rsidRDefault="00CA1505"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614" w:type="dxa"/>
            <w:vAlign w:val="center"/>
          </w:tcPr>
          <w:p w14:paraId="33704F48" w14:textId="7B9DF5F5" w:rsidR="008F44BA" w:rsidRPr="002D2560" w:rsidRDefault="00CA1505" w:rsidP="008F44BA">
            <w:pPr>
              <w:spacing w:before="80" w:after="80" w:line="240" w:lineRule="auto"/>
              <w:rPr>
                <w:sz w:val="16"/>
                <w:szCs w:val="16"/>
                <w:lang w:val="en-AU"/>
              </w:rPr>
            </w:pPr>
            <w:r w:rsidRPr="002D2560">
              <w:rPr>
                <w:sz w:val="16"/>
                <w:szCs w:val="16"/>
                <w:lang w:val="en-AU"/>
              </w:rPr>
              <w:t>APC NMDS</w:t>
            </w:r>
            <w:r w:rsidR="008F44BA" w:rsidRPr="002D2560">
              <w:rPr>
                <w:sz w:val="16"/>
                <w:szCs w:val="16"/>
                <w:lang w:val="en-AU"/>
              </w:rPr>
              <w:br/>
            </w:r>
            <w:r w:rsidR="00EE517D" w:rsidRPr="002D2560">
              <w:rPr>
                <w:sz w:val="16"/>
                <w:szCs w:val="16"/>
                <w:lang w:val="en-AU"/>
              </w:rPr>
              <w:t>2023–24</w:t>
            </w:r>
          </w:p>
          <w:p w14:paraId="15F59783" w14:textId="75F1BBCD" w:rsidR="00CA1505" w:rsidRPr="002D2560" w:rsidRDefault="00CA1505" w:rsidP="008F44BA">
            <w:pPr>
              <w:spacing w:before="80" w:after="80" w:line="240" w:lineRule="auto"/>
              <w:rPr>
                <w:sz w:val="16"/>
                <w:szCs w:val="16"/>
                <w:lang w:val="en-AU"/>
              </w:rPr>
            </w:pPr>
            <w:r w:rsidRPr="002D2560">
              <w:rPr>
                <w:sz w:val="16"/>
                <w:szCs w:val="16"/>
                <w:lang w:val="en-AU"/>
              </w:rPr>
              <w:t xml:space="preserve">APC NBEDS </w:t>
            </w:r>
            <w:r w:rsidR="00E04BDE" w:rsidRPr="002D2560">
              <w:rPr>
                <w:sz w:val="16"/>
                <w:szCs w:val="16"/>
                <w:lang w:val="en-AU"/>
              </w:rPr>
              <w:t>2023–24</w:t>
            </w:r>
          </w:p>
        </w:tc>
        <w:tc>
          <w:tcPr>
            <w:tcW w:w="1568" w:type="dxa"/>
            <w:vAlign w:val="center"/>
          </w:tcPr>
          <w:p w14:paraId="0D1FC53E" w14:textId="026BC7EA" w:rsidR="008F44BA" w:rsidRPr="002D2560" w:rsidRDefault="00CA1505" w:rsidP="008F44BA">
            <w:pPr>
              <w:spacing w:before="80" w:after="80" w:line="240" w:lineRule="auto"/>
              <w:rPr>
                <w:sz w:val="16"/>
                <w:szCs w:val="16"/>
                <w:lang w:val="en-AU"/>
              </w:rPr>
            </w:pPr>
            <w:r w:rsidRPr="002D2560">
              <w:rPr>
                <w:sz w:val="16"/>
                <w:szCs w:val="16"/>
                <w:lang w:val="en-AU"/>
              </w:rPr>
              <w:t>ICD-10-AM</w:t>
            </w:r>
            <w:r w:rsidR="008F44BA" w:rsidRPr="002D2560">
              <w:rPr>
                <w:sz w:val="16"/>
                <w:szCs w:val="16"/>
                <w:lang w:val="en-AU"/>
              </w:rPr>
              <w:br/>
            </w:r>
            <w:r w:rsidRPr="002D2560">
              <w:rPr>
                <w:sz w:val="16"/>
                <w:szCs w:val="16"/>
                <w:lang w:val="en-AU"/>
              </w:rPr>
              <w:t xml:space="preserve">Twelfth </w:t>
            </w:r>
            <w:r w:rsidR="00EE517D" w:rsidRPr="002D2560">
              <w:rPr>
                <w:sz w:val="16"/>
                <w:szCs w:val="16"/>
                <w:lang w:val="en-AU"/>
              </w:rPr>
              <w:t>Ed</w:t>
            </w:r>
            <w:r w:rsidR="009A42FC" w:rsidRPr="002D2560">
              <w:rPr>
                <w:sz w:val="16"/>
                <w:szCs w:val="16"/>
                <w:lang w:val="en-AU"/>
              </w:rPr>
              <w:t>ition</w:t>
            </w:r>
          </w:p>
          <w:p w14:paraId="2C89785F" w14:textId="55BE94CB" w:rsidR="008F44BA" w:rsidRPr="002D2560" w:rsidRDefault="00EE517D" w:rsidP="008F44BA">
            <w:pPr>
              <w:spacing w:before="80" w:after="80" w:line="240" w:lineRule="auto"/>
              <w:rPr>
                <w:sz w:val="16"/>
                <w:szCs w:val="16"/>
                <w:lang w:val="en-AU"/>
              </w:rPr>
            </w:pPr>
            <w:r w:rsidRPr="002D2560">
              <w:rPr>
                <w:sz w:val="16"/>
                <w:szCs w:val="16"/>
                <w:lang w:val="en-AU"/>
              </w:rPr>
              <w:t>and</w:t>
            </w:r>
          </w:p>
          <w:p w14:paraId="09C2432D" w14:textId="0B5F0A30" w:rsidR="00CA1505" w:rsidRPr="002D2560" w:rsidRDefault="00CA1505" w:rsidP="008F44BA">
            <w:pPr>
              <w:spacing w:before="80" w:after="80" w:line="240" w:lineRule="auto"/>
              <w:rPr>
                <w:sz w:val="16"/>
                <w:szCs w:val="16"/>
                <w:lang w:val="en-AU"/>
              </w:rPr>
            </w:pPr>
            <w:r w:rsidRPr="002D2560">
              <w:rPr>
                <w:sz w:val="16"/>
                <w:szCs w:val="16"/>
                <w:lang w:val="en-AU"/>
              </w:rPr>
              <w:t>AR-DRG</w:t>
            </w:r>
            <w:r w:rsidR="008F44BA" w:rsidRPr="002D2560">
              <w:rPr>
                <w:sz w:val="16"/>
                <w:szCs w:val="16"/>
                <w:lang w:val="en-AU"/>
              </w:rPr>
              <w:br/>
            </w:r>
            <w:r w:rsidR="00EE517D" w:rsidRPr="002D2560">
              <w:rPr>
                <w:sz w:val="16"/>
                <w:szCs w:val="16"/>
                <w:lang w:val="en-AU"/>
              </w:rPr>
              <w:t>Version 11.0</w:t>
            </w:r>
          </w:p>
        </w:tc>
        <w:tc>
          <w:tcPr>
            <w:tcW w:w="1614" w:type="dxa"/>
            <w:vAlign w:val="center"/>
          </w:tcPr>
          <w:p w14:paraId="6AC499A2" w14:textId="58169021" w:rsidR="008F44BA" w:rsidRPr="002D2560" w:rsidRDefault="00CA1505" w:rsidP="008F44BA">
            <w:pPr>
              <w:spacing w:before="80" w:after="80" w:line="240" w:lineRule="auto"/>
              <w:rPr>
                <w:sz w:val="16"/>
                <w:szCs w:val="16"/>
                <w:lang w:val="en-AU"/>
              </w:rPr>
            </w:pPr>
            <w:r w:rsidRPr="002D2560">
              <w:rPr>
                <w:sz w:val="16"/>
                <w:szCs w:val="16"/>
                <w:lang w:val="en-AU"/>
              </w:rPr>
              <w:t>APC NMDS</w:t>
            </w:r>
            <w:r w:rsidR="008F44BA" w:rsidRPr="002D2560">
              <w:rPr>
                <w:sz w:val="16"/>
                <w:szCs w:val="16"/>
                <w:lang w:val="en-AU"/>
              </w:rPr>
              <w:br/>
            </w:r>
            <w:r w:rsidR="00E04BDE" w:rsidRPr="002D2560">
              <w:rPr>
                <w:sz w:val="16"/>
                <w:szCs w:val="16"/>
                <w:lang w:val="en-AU"/>
              </w:rPr>
              <w:t>2024–25</w:t>
            </w:r>
          </w:p>
          <w:p w14:paraId="7C97CCDE" w14:textId="74A420C5" w:rsidR="00CA1505" w:rsidRPr="002D2560" w:rsidRDefault="00CA1505" w:rsidP="008F44BA">
            <w:pPr>
              <w:spacing w:before="80" w:after="80" w:line="240" w:lineRule="auto"/>
              <w:rPr>
                <w:sz w:val="16"/>
                <w:szCs w:val="16"/>
                <w:lang w:val="en-AU"/>
              </w:rPr>
            </w:pPr>
            <w:r w:rsidRPr="002D2560">
              <w:rPr>
                <w:sz w:val="16"/>
                <w:szCs w:val="16"/>
                <w:lang w:val="en-AU"/>
              </w:rPr>
              <w:t>APC NBEDS</w:t>
            </w:r>
            <w:r w:rsidR="008F44BA" w:rsidRPr="002D2560">
              <w:rPr>
                <w:sz w:val="16"/>
                <w:szCs w:val="16"/>
                <w:lang w:val="en-AU"/>
              </w:rPr>
              <w:br/>
            </w:r>
            <w:r w:rsidR="00E04BDE" w:rsidRPr="002D2560">
              <w:rPr>
                <w:sz w:val="16"/>
                <w:szCs w:val="16"/>
                <w:lang w:val="en-AU"/>
              </w:rPr>
              <w:t>2024–25</w:t>
            </w:r>
          </w:p>
        </w:tc>
        <w:tc>
          <w:tcPr>
            <w:tcW w:w="1568" w:type="dxa"/>
            <w:vAlign w:val="center"/>
          </w:tcPr>
          <w:p w14:paraId="4151D463" w14:textId="77777777" w:rsidR="008F44BA" w:rsidRPr="002D2560" w:rsidRDefault="00CA1505" w:rsidP="008F44BA">
            <w:pPr>
              <w:spacing w:before="80" w:after="80" w:line="240" w:lineRule="auto"/>
              <w:rPr>
                <w:sz w:val="16"/>
                <w:szCs w:val="16"/>
                <w:lang w:val="en-AU"/>
              </w:rPr>
            </w:pPr>
            <w:r w:rsidRPr="002D2560">
              <w:rPr>
                <w:sz w:val="16"/>
                <w:szCs w:val="16"/>
                <w:lang w:val="en-AU"/>
              </w:rPr>
              <w:t>ICD-10-AM</w:t>
            </w:r>
            <w:r w:rsidR="008F44BA" w:rsidRPr="002D2560">
              <w:rPr>
                <w:sz w:val="16"/>
                <w:szCs w:val="16"/>
                <w:lang w:val="en-AU"/>
              </w:rPr>
              <w:br/>
            </w:r>
            <w:r w:rsidRPr="002D2560">
              <w:rPr>
                <w:sz w:val="16"/>
                <w:szCs w:val="16"/>
                <w:lang w:val="en-AU"/>
              </w:rPr>
              <w:t xml:space="preserve">Twelfth </w:t>
            </w:r>
            <w:r w:rsidR="00EE517D" w:rsidRPr="002D2560">
              <w:rPr>
                <w:sz w:val="16"/>
                <w:szCs w:val="16"/>
                <w:lang w:val="en-AU"/>
              </w:rPr>
              <w:t>Ed</w:t>
            </w:r>
            <w:r w:rsidR="009A42FC" w:rsidRPr="002D2560">
              <w:rPr>
                <w:sz w:val="16"/>
                <w:szCs w:val="16"/>
                <w:lang w:val="en-AU"/>
              </w:rPr>
              <w:t>ition</w:t>
            </w:r>
          </w:p>
          <w:p w14:paraId="40747962" w14:textId="578A1D27" w:rsidR="008F44BA" w:rsidRPr="002D2560" w:rsidRDefault="00EE517D" w:rsidP="008F44BA">
            <w:pPr>
              <w:spacing w:before="80" w:after="80" w:line="240" w:lineRule="auto"/>
              <w:rPr>
                <w:sz w:val="16"/>
                <w:szCs w:val="16"/>
                <w:lang w:val="en-AU"/>
              </w:rPr>
            </w:pPr>
            <w:r w:rsidRPr="002D2560">
              <w:rPr>
                <w:sz w:val="16"/>
                <w:szCs w:val="16"/>
                <w:lang w:val="en-AU"/>
              </w:rPr>
              <w:t>and</w:t>
            </w:r>
          </w:p>
          <w:p w14:paraId="669B5157" w14:textId="688D371C" w:rsidR="00CA1505" w:rsidRPr="002D2560" w:rsidRDefault="00CA1505" w:rsidP="008F44BA">
            <w:pPr>
              <w:spacing w:before="80" w:after="80" w:line="240" w:lineRule="auto"/>
              <w:rPr>
                <w:sz w:val="16"/>
                <w:szCs w:val="16"/>
                <w:lang w:val="en-AU"/>
              </w:rPr>
            </w:pPr>
            <w:r w:rsidRPr="002D2560">
              <w:rPr>
                <w:sz w:val="16"/>
                <w:szCs w:val="16"/>
                <w:lang w:val="en-AU"/>
              </w:rPr>
              <w:t>AR-DRG</w:t>
            </w:r>
            <w:r w:rsidR="008F44BA" w:rsidRPr="002D2560">
              <w:rPr>
                <w:sz w:val="16"/>
                <w:szCs w:val="16"/>
                <w:lang w:val="en-AU"/>
              </w:rPr>
              <w:br/>
            </w:r>
            <w:r w:rsidR="00EE517D" w:rsidRPr="002D2560">
              <w:rPr>
                <w:sz w:val="16"/>
                <w:szCs w:val="16"/>
                <w:lang w:val="en-AU"/>
              </w:rPr>
              <w:t>Version </w:t>
            </w:r>
            <w:r w:rsidRPr="002D2560">
              <w:rPr>
                <w:sz w:val="16"/>
                <w:szCs w:val="16"/>
                <w:lang w:val="en-AU"/>
              </w:rPr>
              <w:t>11.0</w:t>
            </w:r>
          </w:p>
        </w:tc>
        <w:tc>
          <w:tcPr>
            <w:tcW w:w="1614" w:type="dxa"/>
            <w:vAlign w:val="center"/>
          </w:tcPr>
          <w:p w14:paraId="76701117" w14:textId="0C881420" w:rsidR="008F44BA" w:rsidRPr="002D2560" w:rsidRDefault="00CA1505" w:rsidP="008F44BA">
            <w:pPr>
              <w:spacing w:before="80" w:after="80" w:line="240" w:lineRule="auto"/>
              <w:rPr>
                <w:sz w:val="16"/>
                <w:szCs w:val="16"/>
                <w:lang w:val="en-AU"/>
              </w:rPr>
            </w:pPr>
            <w:r w:rsidRPr="002D2560">
              <w:rPr>
                <w:sz w:val="16"/>
                <w:szCs w:val="16"/>
                <w:lang w:val="en-AU"/>
              </w:rPr>
              <w:t>APC NMDS</w:t>
            </w:r>
            <w:r w:rsidR="008F44BA" w:rsidRPr="002D2560">
              <w:rPr>
                <w:sz w:val="16"/>
                <w:szCs w:val="16"/>
                <w:lang w:val="en-AU"/>
              </w:rPr>
              <w:br/>
            </w:r>
            <w:r w:rsidR="00EE517D" w:rsidRPr="002D2560">
              <w:rPr>
                <w:sz w:val="16"/>
                <w:szCs w:val="16"/>
                <w:lang w:val="en-AU"/>
              </w:rPr>
              <w:t>2025–26</w:t>
            </w:r>
          </w:p>
          <w:p w14:paraId="6F8C57A3" w14:textId="5B78D921" w:rsidR="00CA1505" w:rsidRPr="002D2560" w:rsidRDefault="00CA1505" w:rsidP="008F44BA">
            <w:pPr>
              <w:spacing w:before="80" w:after="80" w:line="240" w:lineRule="auto"/>
              <w:rPr>
                <w:sz w:val="16"/>
                <w:szCs w:val="16"/>
                <w:lang w:val="en-AU"/>
              </w:rPr>
            </w:pPr>
            <w:r w:rsidRPr="002D2560">
              <w:rPr>
                <w:sz w:val="16"/>
                <w:szCs w:val="16"/>
                <w:lang w:val="en-AU"/>
              </w:rPr>
              <w:t>APC NBEDS</w:t>
            </w:r>
            <w:r w:rsidR="008F44BA" w:rsidRPr="002D2560">
              <w:rPr>
                <w:sz w:val="16"/>
                <w:szCs w:val="16"/>
                <w:lang w:val="en-AU"/>
              </w:rPr>
              <w:br/>
            </w:r>
            <w:r w:rsidR="00EE517D" w:rsidRPr="002D2560">
              <w:rPr>
                <w:sz w:val="16"/>
                <w:szCs w:val="16"/>
                <w:lang w:val="en-AU"/>
              </w:rPr>
              <w:t>2025–26</w:t>
            </w:r>
          </w:p>
        </w:tc>
        <w:tc>
          <w:tcPr>
            <w:tcW w:w="1568" w:type="dxa"/>
            <w:vAlign w:val="center"/>
          </w:tcPr>
          <w:p w14:paraId="492FC4F8" w14:textId="77777777" w:rsidR="008F44BA" w:rsidRPr="002D2560" w:rsidRDefault="00CA1505" w:rsidP="008F44BA">
            <w:pPr>
              <w:spacing w:before="80" w:after="80" w:line="240" w:lineRule="auto"/>
              <w:rPr>
                <w:sz w:val="16"/>
                <w:szCs w:val="16"/>
                <w:lang w:val="en-AU"/>
              </w:rPr>
            </w:pPr>
            <w:r w:rsidRPr="002D2560">
              <w:rPr>
                <w:sz w:val="16"/>
                <w:szCs w:val="16"/>
                <w:lang w:val="en-AU"/>
              </w:rPr>
              <w:t>ICD-10-AM</w:t>
            </w:r>
            <w:r w:rsidR="008F44BA" w:rsidRPr="002D2560">
              <w:rPr>
                <w:sz w:val="16"/>
                <w:szCs w:val="16"/>
                <w:lang w:val="en-AU"/>
              </w:rPr>
              <w:br/>
            </w:r>
            <w:r w:rsidR="009A42FC" w:rsidRPr="002D2560">
              <w:rPr>
                <w:sz w:val="16"/>
                <w:szCs w:val="16"/>
                <w:lang w:val="en-AU"/>
              </w:rPr>
              <w:t>Thirteenth Edition</w:t>
            </w:r>
          </w:p>
          <w:p w14:paraId="0FEFB8DE" w14:textId="462EA818" w:rsidR="008F44BA" w:rsidRPr="002D2560" w:rsidRDefault="009A42FC" w:rsidP="008F44BA">
            <w:pPr>
              <w:spacing w:before="80" w:after="80" w:line="240" w:lineRule="auto"/>
              <w:rPr>
                <w:sz w:val="16"/>
                <w:szCs w:val="16"/>
                <w:lang w:val="en-AU"/>
              </w:rPr>
            </w:pPr>
            <w:r w:rsidRPr="002D2560">
              <w:rPr>
                <w:sz w:val="16"/>
                <w:szCs w:val="16"/>
                <w:lang w:val="en-AU"/>
              </w:rPr>
              <w:t>and</w:t>
            </w:r>
          </w:p>
          <w:p w14:paraId="760AEAAB" w14:textId="06F38A26" w:rsidR="00CA1505" w:rsidRPr="002D2560" w:rsidRDefault="00CA1505" w:rsidP="008F44BA">
            <w:pPr>
              <w:spacing w:before="80" w:after="80" w:line="240" w:lineRule="auto"/>
              <w:rPr>
                <w:sz w:val="16"/>
                <w:szCs w:val="16"/>
                <w:lang w:val="en-AU"/>
              </w:rPr>
            </w:pPr>
            <w:r w:rsidRPr="002D2560">
              <w:rPr>
                <w:sz w:val="16"/>
                <w:szCs w:val="16"/>
                <w:lang w:val="en-AU"/>
              </w:rPr>
              <w:t>AR-DRG</w:t>
            </w:r>
            <w:r w:rsidR="008F44BA" w:rsidRPr="002D2560">
              <w:rPr>
                <w:sz w:val="16"/>
                <w:szCs w:val="16"/>
                <w:lang w:val="en-AU"/>
              </w:rPr>
              <w:br/>
            </w:r>
            <w:r w:rsidR="00EE517D" w:rsidRPr="002D2560">
              <w:rPr>
                <w:sz w:val="16"/>
                <w:szCs w:val="16"/>
                <w:lang w:val="en-AU"/>
              </w:rPr>
              <w:t>Version </w:t>
            </w:r>
            <w:r w:rsidRPr="002D2560">
              <w:rPr>
                <w:sz w:val="16"/>
                <w:szCs w:val="16"/>
                <w:lang w:val="en-AU"/>
              </w:rPr>
              <w:t>11.0</w:t>
            </w:r>
          </w:p>
        </w:tc>
      </w:tr>
      <w:tr w:rsidR="008F4E00" w:rsidRPr="002D2560" w14:paraId="76DE303E" w14:textId="77777777" w:rsidTr="008F44BA">
        <w:tc>
          <w:tcPr>
            <w:tcW w:w="1269" w:type="dxa"/>
            <w:vAlign w:val="center"/>
          </w:tcPr>
          <w:p w14:paraId="278C0E9B" w14:textId="77777777" w:rsidR="00CA1505" w:rsidRPr="002D2560" w:rsidRDefault="00CA1505" w:rsidP="008F44BA">
            <w:pPr>
              <w:spacing w:before="80" w:after="80" w:line="240" w:lineRule="auto"/>
              <w:rPr>
                <w:sz w:val="16"/>
                <w:szCs w:val="16"/>
                <w:lang w:val="en-AU"/>
              </w:rPr>
            </w:pPr>
            <w:r w:rsidRPr="002D2560">
              <w:rPr>
                <w:sz w:val="16"/>
                <w:szCs w:val="16"/>
                <w:lang w:val="en-AU"/>
              </w:rPr>
              <w:t>Emergency</w:t>
            </w:r>
          </w:p>
          <w:p w14:paraId="055DB11D" w14:textId="77644646" w:rsidR="00CA1505" w:rsidRPr="002D2560" w:rsidRDefault="00CA1505" w:rsidP="008F44BA">
            <w:pPr>
              <w:spacing w:before="80" w:after="80" w:line="240" w:lineRule="auto"/>
              <w:rPr>
                <w:sz w:val="16"/>
                <w:szCs w:val="16"/>
                <w:lang w:val="en-AU"/>
              </w:rPr>
            </w:pPr>
            <w:r w:rsidRPr="002D2560">
              <w:rPr>
                <w:sz w:val="16"/>
                <w:szCs w:val="16"/>
                <w:lang w:val="en-AU"/>
              </w:rPr>
              <w:t>(Levels 3B – 6)</w:t>
            </w:r>
          </w:p>
        </w:tc>
        <w:tc>
          <w:tcPr>
            <w:tcW w:w="853" w:type="dxa"/>
            <w:vAlign w:val="center"/>
          </w:tcPr>
          <w:p w14:paraId="766050D7" w14:textId="4E5F5C08" w:rsidR="00CA1505" w:rsidRPr="002D2560" w:rsidRDefault="00CA1505"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992" w:type="dxa"/>
            <w:vAlign w:val="center"/>
          </w:tcPr>
          <w:p w14:paraId="680A47DB" w14:textId="3B5A7A3F" w:rsidR="00CA1505" w:rsidRPr="002D2560" w:rsidRDefault="00CA1505"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288" w:type="dxa"/>
            <w:vAlign w:val="center"/>
          </w:tcPr>
          <w:p w14:paraId="6D739138" w14:textId="1910867A" w:rsidR="00CA1505" w:rsidRPr="002D2560" w:rsidRDefault="00CA1505"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614" w:type="dxa"/>
            <w:vAlign w:val="center"/>
          </w:tcPr>
          <w:p w14:paraId="05970A6F" w14:textId="480776B9" w:rsidR="00CA1505" w:rsidRPr="002D2560" w:rsidRDefault="00CA1505" w:rsidP="008F44BA">
            <w:pPr>
              <w:spacing w:before="80" w:after="80" w:line="240" w:lineRule="auto"/>
              <w:rPr>
                <w:sz w:val="16"/>
                <w:szCs w:val="16"/>
                <w:lang w:val="en-AU"/>
              </w:rPr>
            </w:pPr>
            <w:r w:rsidRPr="002D2560">
              <w:rPr>
                <w:sz w:val="16"/>
                <w:szCs w:val="16"/>
                <w:lang w:val="en-AU"/>
              </w:rPr>
              <w:t>NAPEDC NMDS</w:t>
            </w:r>
            <w:r w:rsidR="008F44BA" w:rsidRPr="002D2560">
              <w:rPr>
                <w:sz w:val="16"/>
                <w:szCs w:val="16"/>
                <w:lang w:val="en-AU"/>
              </w:rPr>
              <w:br/>
            </w:r>
            <w:r w:rsidR="00E04BDE" w:rsidRPr="002D2560">
              <w:rPr>
                <w:sz w:val="16"/>
                <w:szCs w:val="16"/>
                <w:lang w:val="en-AU"/>
              </w:rPr>
              <w:t>2023–24</w:t>
            </w:r>
          </w:p>
        </w:tc>
        <w:tc>
          <w:tcPr>
            <w:tcW w:w="1568" w:type="dxa"/>
            <w:vAlign w:val="center"/>
          </w:tcPr>
          <w:p w14:paraId="0E77E5D2" w14:textId="61626368" w:rsidR="00CA1505" w:rsidRPr="002D2560" w:rsidRDefault="00EE517D" w:rsidP="008F44BA">
            <w:pPr>
              <w:spacing w:before="80" w:after="80" w:line="240" w:lineRule="auto"/>
              <w:rPr>
                <w:sz w:val="16"/>
                <w:szCs w:val="16"/>
                <w:lang w:val="en-AU"/>
              </w:rPr>
            </w:pPr>
            <w:r w:rsidRPr="002D2560">
              <w:rPr>
                <w:sz w:val="16"/>
                <w:szCs w:val="16"/>
                <w:lang w:val="en-AU"/>
              </w:rPr>
              <w:t xml:space="preserve">AECC Version </w:t>
            </w:r>
            <w:r w:rsidR="00CA1505" w:rsidRPr="002D2560">
              <w:rPr>
                <w:sz w:val="16"/>
                <w:szCs w:val="16"/>
                <w:lang w:val="en-AU"/>
              </w:rPr>
              <w:t>1.0</w:t>
            </w:r>
          </w:p>
        </w:tc>
        <w:tc>
          <w:tcPr>
            <w:tcW w:w="1614" w:type="dxa"/>
            <w:vAlign w:val="center"/>
          </w:tcPr>
          <w:p w14:paraId="28B8642F" w14:textId="168C8292" w:rsidR="00CA1505" w:rsidRPr="002D2560" w:rsidRDefault="00CA1505" w:rsidP="008F44BA">
            <w:pPr>
              <w:spacing w:before="80" w:after="80" w:line="240" w:lineRule="auto"/>
              <w:rPr>
                <w:sz w:val="16"/>
                <w:szCs w:val="16"/>
                <w:lang w:val="en-AU"/>
              </w:rPr>
            </w:pPr>
            <w:r w:rsidRPr="002D2560">
              <w:rPr>
                <w:sz w:val="16"/>
                <w:szCs w:val="16"/>
                <w:lang w:val="en-AU"/>
              </w:rPr>
              <w:t>NAPEDC NMDS</w:t>
            </w:r>
            <w:r w:rsidR="008F44BA" w:rsidRPr="002D2560">
              <w:rPr>
                <w:sz w:val="16"/>
                <w:szCs w:val="16"/>
                <w:lang w:val="en-AU"/>
              </w:rPr>
              <w:br/>
            </w:r>
            <w:r w:rsidR="00E04BDE" w:rsidRPr="002D2560">
              <w:rPr>
                <w:sz w:val="16"/>
                <w:szCs w:val="16"/>
                <w:lang w:val="en-AU"/>
              </w:rPr>
              <w:t>2024–25</w:t>
            </w:r>
          </w:p>
        </w:tc>
        <w:tc>
          <w:tcPr>
            <w:tcW w:w="1568" w:type="dxa"/>
            <w:vAlign w:val="center"/>
          </w:tcPr>
          <w:p w14:paraId="44E83012" w14:textId="2779E332" w:rsidR="00CA1505" w:rsidRPr="002D2560" w:rsidRDefault="00EE517D" w:rsidP="008F44BA">
            <w:pPr>
              <w:spacing w:before="80" w:after="80" w:line="240" w:lineRule="auto"/>
              <w:rPr>
                <w:sz w:val="16"/>
                <w:szCs w:val="16"/>
                <w:lang w:val="en-AU"/>
              </w:rPr>
            </w:pPr>
            <w:r w:rsidRPr="002D2560">
              <w:rPr>
                <w:sz w:val="16"/>
                <w:szCs w:val="16"/>
                <w:lang w:val="en-AU"/>
              </w:rPr>
              <w:t xml:space="preserve">AECC Version </w:t>
            </w:r>
            <w:r w:rsidR="00CA1505" w:rsidRPr="002D2560">
              <w:rPr>
                <w:sz w:val="16"/>
                <w:szCs w:val="16"/>
                <w:lang w:val="en-AU"/>
              </w:rPr>
              <w:t>1.0</w:t>
            </w:r>
          </w:p>
        </w:tc>
        <w:tc>
          <w:tcPr>
            <w:tcW w:w="1614" w:type="dxa"/>
            <w:vAlign w:val="center"/>
          </w:tcPr>
          <w:p w14:paraId="1A8909F1" w14:textId="0A0DCBEF" w:rsidR="00CA1505" w:rsidRPr="002D2560" w:rsidRDefault="00CA1505" w:rsidP="008F44BA">
            <w:pPr>
              <w:spacing w:before="80" w:after="80" w:line="240" w:lineRule="auto"/>
              <w:rPr>
                <w:sz w:val="16"/>
                <w:szCs w:val="16"/>
                <w:lang w:val="en-AU"/>
              </w:rPr>
            </w:pPr>
            <w:r w:rsidRPr="002D2560">
              <w:rPr>
                <w:sz w:val="16"/>
                <w:szCs w:val="16"/>
                <w:lang w:val="en-AU"/>
              </w:rPr>
              <w:t>NAPEDC NMDS</w:t>
            </w:r>
            <w:r w:rsidR="008F44BA" w:rsidRPr="002D2560">
              <w:rPr>
                <w:sz w:val="16"/>
                <w:szCs w:val="16"/>
                <w:lang w:val="en-AU"/>
              </w:rPr>
              <w:br/>
            </w:r>
            <w:r w:rsidR="00EE517D" w:rsidRPr="002D2560">
              <w:rPr>
                <w:sz w:val="16"/>
                <w:szCs w:val="16"/>
                <w:lang w:val="en-AU"/>
              </w:rPr>
              <w:t>2025–26</w:t>
            </w:r>
          </w:p>
        </w:tc>
        <w:tc>
          <w:tcPr>
            <w:tcW w:w="1568" w:type="dxa"/>
            <w:vAlign w:val="center"/>
          </w:tcPr>
          <w:p w14:paraId="164F2F81" w14:textId="4E555056" w:rsidR="00CA1505" w:rsidRPr="002D2560" w:rsidRDefault="00EE517D" w:rsidP="008F44BA">
            <w:pPr>
              <w:spacing w:before="80" w:after="80" w:line="240" w:lineRule="auto"/>
              <w:rPr>
                <w:sz w:val="16"/>
                <w:szCs w:val="16"/>
                <w:lang w:val="en-AU"/>
              </w:rPr>
            </w:pPr>
            <w:r w:rsidRPr="002D2560">
              <w:rPr>
                <w:sz w:val="16"/>
                <w:szCs w:val="16"/>
                <w:lang w:val="en-AU"/>
              </w:rPr>
              <w:t xml:space="preserve">AECC Version </w:t>
            </w:r>
            <w:r w:rsidR="00CA1505" w:rsidRPr="002D2560">
              <w:rPr>
                <w:sz w:val="16"/>
                <w:szCs w:val="16"/>
                <w:lang w:val="en-AU"/>
              </w:rPr>
              <w:t>1.0</w:t>
            </w:r>
          </w:p>
        </w:tc>
      </w:tr>
      <w:tr w:rsidR="008F4E00" w:rsidRPr="002D2560" w14:paraId="651F1E22" w14:textId="77777777" w:rsidTr="008F44BA">
        <w:tc>
          <w:tcPr>
            <w:tcW w:w="1269" w:type="dxa"/>
            <w:vAlign w:val="center"/>
          </w:tcPr>
          <w:p w14:paraId="7195C874" w14:textId="77777777" w:rsidR="00CA1505" w:rsidRPr="002D2560" w:rsidRDefault="00CA1505" w:rsidP="008F44BA">
            <w:pPr>
              <w:spacing w:before="80" w:after="80" w:line="240" w:lineRule="auto"/>
              <w:rPr>
                <w:sz w:val="16"/>
                <w:szCs w:val="16"/>
                <w:lang w:val="en-AU"/>
              </w:rPr>
            </w:pPr>
            <w:r w:rsidRPr="002D2560">
              <w:rPr>
                <w:sz w:val="16"/>
                <w:szCs w:val="16"/>
                <w:lang w:val="en-AU"/>
              </w:rPr>
              <w:t>Emergency</w:t>
            </w:r>
          </w:p>
          <w:p w14:paraId="44EDA632" w14:textId="5CF27561" w:rsidR="00CA1505" w:rsidRPr="002D2560" w:rsidRDefault="00CA1505" w:rsidP="008F44BA">
            <w:pPr>
              <w:spacing w:before="80" w:after="80" w:line="240" w:lineRule="auto"/>
              <w:rPr>
                <w:sz w:val="16"/>
                <w:szCs w:val="16"/>
                <w:lang w:val="en-AU"/>
              </w:rPr>
            </w:pPr>
            <w:r w:rsidRPr="002D2560">
              <w:rPr>
                <w:sz w:val="16"/>
                <w:szCs w:val="16"/>
                <w:lang w:val="en-AU"/>
              </w:rPr>
              <w:t>(Levels 1 – 3A)</w:t>
            </w:r>
          </w:p>
        </w:tc>
        <w:tc>
          <w:tcPr>
            <w:tcW w:w="853" w:type="dxa"/>
            <w:vAlign w:val="center"/>
          </w:tcPr>
          <w:p w14:paraId="6C0DA6C0" w14:textId="069E05FE" w:rsidR="00CA1505" w:rsidRPr="002D2560" w:rsidRDefault="00CA1505"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992" w:type="dxa"/>
            <w:vAlign w:val="center"/>
          </w:tcPr>
          <w:p w14:paraId="62C304BD" w14:textId="7758889C" w:rsidR="00CA1505" w:rsidRPr="002D2560" w:rsidRDefault="00CA1505"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288" w:type="dxa"/>
            <w:vAlign w:val="center"/>
          </w:tcPr>
          <w:p w14:paraId="6E99C390" w14:textId="1A7DB060" w:rsidR="00CA1505" w:rsidRPr="002D2560" w:rsidRDefault="00CA1505"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614" w:type="dxa"/>
            <w:vAlign w:val="center"/>
          </w:tcPr>
          <w:p w14:paraId="1BF063A6" w14:textId="39F7DC24" w:rsidR="00CA1505" w:rsidRPr="002D2560" w:rsidRDefault="00683542" w:rsidP="008F44BA">
            <w:pPr>
              <w:spacing w:before="80" w:after="80" w:line="240" w:lineRule="auto"/>
              <w:rPr>
                <w:sz w:val="16"/>
                <w:szCs w:val="16"/>
                <w:lang w:val="en-AU"/>
              </w:rPr>
            </w:pPr>
            <w:r w:rsidRPr="002D2560">
              <w:rPr>
                <w:sz w:val="16"/>
                <w:szCs w:val="16"/>
                <w:lang w:val="en-AU"/>
              </w:rPr>
              <w:t>ESC NBEDS / ESCA NBEDS</w:t>
            </w:r>
            <w:r w:rsidR="008F44BA" w:rsidRPr="002D2560">
              <w:rPr>
                <w:sz w:val="16"/>
                <w:szCs w:val="16"/>
                <w:lang w:val="en-AU"/>
              </w:rPr>
              <w:br/>
            </w:r>
            <w:r w:rsidR="00E04BDE" w:rsidRPr="002D2560">
              <w:rPr>
                <w:sz w:val="16"/>
                <w:szCs w:val="16"/>
                <w:lang w:val="en-AU"/>
              </w:rPr>
              <w:t>2023–24</w:t>
            </w:r>
          </w:p>
        </w:tc>
        <w:tc>
          <w:tcPr>
            <w:tcW w:w="1568" w:type="dxa"/>
            <w:vAlign w:val="center"/>
          </w:tcPr>
          <w:p w14:paraId="702BA65A" w14:textId="74C5364E" w:rsidR="00CA1505" w:rsidRPr="002D2560" w:rsidRDefault="00EE517D" w:rsidP="008F44BA">
            <w:pPr>
              <w:spacing w:before="80" w:after="80" w:line="240" w:lineRule="auto"/>
              <w:rPr>
                <w:sz w:val="16"/>
                <w:szCs w:val="16"/>
                <w:lang w:val="en-AU"/>
              </w:rPr>
            </w:pPr>
            <w:r w:rsidRPr="002D2560">
              <w:rPr>
                <w:sz w:val="16"/>
                <w:szCs w:val="16"/>
                <w:lang w:val="en-AU"/>
              </w:rPr>
              <w:t xml:space="preserve">UDGs Version </w:t>
            </w:r>
            <w:r w:rsidR="00683542" w:rsidRPr="002D2560">
              <w:rPr>
                <w:sz w:val="16"/>
                <w:szCs w:val="16"/>
                <w:lang w:val="en-AU"/>
              </w:rPr>
              <w:t>1.3</w:t>
            </w:r>
          </w:p>
        </w:tc>
        <w:tc>
          <w:tcPr>
            <w:tcW w:w="1614" w:type="dxa"/>
            <w:vAlign w:val="center"/>
          </w:tcPr>
          <w:p w14:paraId="5599BCBC" w14:textId="4CC13763" w:rsidR="00CA1505" w:rsidRPr="002D2560" w:rsidRDefault="00683542" w:rsidP="008F44BA">
            <w:pPr>
              <w:spacing w:before="80" w:after="80" w:line="240" w:lineRule="auto"/>
              <w:rPr>
                <w:sz w:val="16"/>
                <w:szCs w:val="16"/>
                <w:lang w:val="en-AU"/>
              </w:rPr>
            </w:pPr>
            <w:r w:rsidRPr="002D2560">
              <w:rPr>
                <w:sz w:val="16"/>
                <w:szCs w:val="16"/>
                <w:lang w:val="en-AU"/>
              </w:rPr>
              <w:t>ESC NBEDS / ESCA NBEDS</w:t>
            </w:r>
            <w:r w:rsidR="008F44BA" w:rsidRPr="002D2560">
              <w:rPr>
                <w:sz w:val="16"/>
                <w:szCs w:val="16"/>
                <w:lang w:val="en-AU"/>
              </w:rPr>
              <w:br/>
            </w:r>
            <w:r w:rsidR="00E04BDE" w:rsidRPr="002D2560">
              <w:rPr>
                <w:sz w:val="16"/>
                <w:szCs w:val="16"/>
                <w:lang w:val="en-AU"/>
              </w:rPr>
              <w:t>2024–25</w:t>
            </w:r>
          </w:p>
        </w:tc>
        <w:tc>
          <w:tcPr>
            <w:tcW w:w="1568" w:type="dxa"/>
            <w:vAlign w:val="center"/>
          </w:tcPr>
          <w:p w14:paraId="05EA63D3" w14:textId="2B769DEB" w:rsidR="00CA1505" w:rsidRPr="002D2560" w:rsidRDefault="00EE517D" w:rsidP="008F44BA">
            <w:pPr>
              <w:spacing w:before="80" w:after="80" w:line="240" w:lineRule="auto"/>
              <w:rPr>
                <w:sz w:val="16"/>
                <w:szCs w:val="16"/>
                <w:lang w:val="en-AU"/>
              </w:rPr>
            </w:pPr>
            <w:r w:rsidRPr="002D2560">
              <w:rPr>
                <w:sz w:val="16"/>
                <w:szCs w:val="16"/>
                <w:lang w:val="en-AU"/>
              </w:rPr>
              <w:t xml:space="preserve">UDGs Version </w:t>
            </w:r>
            <w:r w:rsidR="00683542" w:rsidRPr="002D2560">
              <w:rPr>
                <w:sz w:val="16"/>
                <w:szCs w:val="16"/>
                <w:lang w:val="en-AU"/>
              </w:rPr>
              <w:t>1.3</w:t>
            </w:r>
          </w:p>
        </w:tc>
        <w:tc>
          <w:tcPr>
            <w:tcW w:w="1614" w:type="dxa"/>
            <w:vAlign w:val="center"/>
          </w:tcPr>
          <w:p w14:paraId="0C043BDF" w14:textId="009508C2" w:rsidR="00CA1505" w:rsidRPr="002D2560" w:rsidRDefault="00683542" w:rsidP="008F44BA">
            <w:pPr>
              <w:spacing w:before="80" w:after="80" w:line="240" w:lineRule="auto"/>
              <w:rPr>
                <w:sz w:val="16"/>
                <w:szCs w:val="16"/>
                <w:lang w:val="en-AU"/>
              </w:rPr>
            </w:pPr>
            <w:r w:rsidRPr="002D2560">
              <w:rPr>
                <w:sz w:val="16"/>
                <w:szCs w:val="16"/>
                <w:lang w:val="en-AU"/>
              </w:rPr>
              <w:t>ESC NBEDS / ESCA NBEDS</w:t>
            </w:r>
            <w:r w:rsidR="008F44BA" w:rsidRPr="002D2560">
              <w:rPr>
                <w:sz w:val="16"/>
                <w:szCs w:val="16"/>
                <w:lang w:val="en-AU"/>
              </w:rPr>
              <w:br/>
            </w:r>
            <w:r w:rsidR="00EE517D" w:rsidRPr="002D2560">
              <w:rPr>
                <w:sz w:val="16"/>
                <w:szCs w:val="16"/>
                <w:lang w:val="en-AU"/>
              </w:rPr>
              <w:t>2025–26</w:t>
            </w:r>
          </w:p>
        </w:tc>
        <w:tc>
          <w:tcPr>
            <w:tcW w:w="1568" w:type="dxa"/>
            <w:vAlign w:val="center"/>
          </w:tcPr>
          <w:p w14:paraId="19797F8E" w14:textId="707D996B" w:rsidR="00CA1505" w:rsidRPr="002D2560" w:rsidRDefault="00EE517D" w:rsidP="008F44BA">
            <w:pPr>
              <w:spacing w:before="80" w:after="80" w:line="240" w:lineRule="auto"/>
              <w:rPr>
                <w:sz w:val="16"/>
                <w:szCs w:val="16"/>
                <w:lang w:val="en-AU"/>
              </w:rPr>
            </w:pPr>
            <w:r w:rsidRPr="002D2560">
              <w:rPr>
                <w:sz w:val="16"/>
                <w:szCs w:val="16"/>
                <w:lang w:val="en-AU"/>
              </w:rPr>
              <w:t xml:space="preserve">UDGs Version </w:t>
            </w:r>
            <w:r w:rsidR="00683542" w:rsidRPr="002D2560">
              <w:rPr>
                <w:sz w:val="16"/>
                <w:szCs w:val="16"/>
                <w:lang w:val="en-AU"/>
              </w:rPr>
              <w:t>1.3</w:t>
            </w:r>
          </w:p>
        </w:tc>
      </w:tr>
      <w:tr w:rsidR="008F4E00" w:rsidRPr="002D2560" w14:paraId="4F0BB893" w14:textId="77777777" w:rsidTr="008F44BA">
        <w:tc>
          <w:tcPr>
            <w:tcW w:w="1269" w:type="dxa"/>
            <w:vAlign w:val="center"/>
          </w:tcPr>
          <w:p w14:paraId="75D3FD5A" w14:textId="42723DEC" w:rsidR="00CA1505" w:rsidRPr="002D2560" w:rsidRDefault="00683542" w:rsidP="008F44BA">
            <w:pPr>
              <w:spacing w:before="80" w:after="80" w:line="240" w:lineRule="auto"/>
              <w:rPr>
                <w:sz w:val="16"/>
                <w:szCs w:val="16"/>
                <w:lang w:val="en-AU"/>
              </w:rPr>
            </w:pPr>
            <w:r w:rsidRPr="002D2560">
              <w:rPr>
                <w:sz w:val="16"/>
                <w:szCs w:val="16"/>
                <w:lang w:val="en-AU"/>
              </w:rPr>
              <w:t>Non-admitted services</w:t>
            </w:r>
          </w:p>
        </w:tc>
        <w:tc>
          <w:tcPr>
            <w:tcW w:w="853" w:type="dxa"/>
            <w:vAlign w:val="center"/>
          </w:tcPr>
          <w:p w14:paraId="60AB6153" w14:textId="3C109875" w:rsidR="00CA1505" w:rsidRPr="002D2560" w:rsidRDefault="00683542"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992" w:type="dxa"/>
            <w:vAlign w:val="center"/>
          </w:tcPr>
          <w:p w14:paraId="29C1A244" w14:textId="77777777" w:rsidR="00CA1505" w:rsidRPr="002D2560" w:rsidRDefault="00CA1505" w:rsidP="008F44BA">
            <w:pPr>
              <w:spacing w:before="80" w:after="80" w:line="240" w:lineRule="auto"/>
              <w:jc w:val="center"/>
              <w:rPr>
                <w:sz w:val="16"/>
                <w:szCs w:val="16"/>
                <w:lang w:val="en-AU"/>
              </w:rPr>
            </w:pPr>
          </w:p>
        </w:tc>
        <w:tc>
          <w:tcPr>
            <w:tcW w:w="1288" w:type="dxa"/>
            <w:vAlign w:val="center"/>
          </w:tcPr>
          <w:p w14:paraId="047AE0E0" w14:textId="63B588BC" w:rsidR="00CA1505" w:rsidRPr="002D2560" w:rsidRDefault="00683542"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614" w:type="dxa"/>
            <w:vAlign w:val="center"/>
          </w:tcPr>
          <w:p w14:paraId="7911A080" w14:textId="1D739EC0" w:rsidR="00CA1505" w:rsidRPr="002D2560" w:rsidRDefault="00683542" w:rsidP="008F44BA">
            <w:pPr>
              <w:spacing w:before="80" w:after="80" w:line="240" w:lineRule="auto"/>
              <w:rPr>
                <w:sz w:val="16"/>
                <w:szCs w:val="16"/>
                <w:lang w:val="en-AU"/>
              </w:rPr>
            </w:pPr>
            <w:r w:rsidRPr="002D2560">
              <w:rPr>
                <w:sz w:val="16"/>
                <w:szCs w:val="16"/>
                <w:lang w:val="en-AU"/>
              </w:rPr>
              <w:t>NAP NBEDS</w:t>
            </w:r>
            <w:r w:rsidR="008F44BA" w:rsidRPr="002D2560">
              <w:rPr>
                <w:sz w:val="16"/>
                <w:szCs w:val="16"/>
                <w:lang w:val="en-AU"/>
              </w:rPr>
              <w:br/>
            </w:r>
            <w:r w:rsidR="00E04BDE" w:rsidRPr="002D2560">
              <w:rPr>
                <w:sz w:val="16"/>
                <w:szCs w:val="16"/>
                <w:lang w:val="en-AU"/>
              </w:rPr>
              <w:t>2023–24</w:t>
            </w:r>
          </w:p>
        </w:tc>
        <w:tc>
          <w:tcPr>
            <w:tcW w:w="1568" w:type="dxa"/>
            <w:vAlign w:val="center"/>
          </w:tcPr>
          <w:p w14:paraId="3447585E" w14:textId="02B115E5" w:rsidR="00CA1505" w:rsidRPr="002D2560" w:rsidRDefault="00683542" w:rsidP="008F44BA">
            <w:pPr>
              <w:spacing w:before="80" w:after="80" w:line="240" w:lineRule="auto"/>
              <w:rPr>
                <w:sz w:val="16"/>
                <w:szCs w:val="16"/>
                <w:lang w:val="en-AU"/>
              </w:rPr>
            </w:pPr>
            <w:r w:rsidRPr="002D2560">
              <w:rPr>
                <w:sz w:val="16"/>
                <w:szCs w:val="16"/>
                <w:lang w:val="en-AU"/>
              </w:rPr>
              <w:t xml:space="preserve">Tier 2 </w:t>
            </w:r>
            <w:r w:rsidR="008F44BA" w:rsidRPr="002D2560">
              <w:rPr>
                <w:sz w:val="16"/>
                <w:szCs w:val="16"/>
                <w:lang w:val="en-AU"/>
              </w:rPr>
              <w:t>Version 8.0</w:t>
            </w:r>
          </w:p>
        </w:tc>
        <w:tc>
          <w:tcPr>
            <w:tcW w:w="1614" w:type="dxa"/>
            <w:vAlign w:val="center"/>
          </w:tcPr>
          <w:p w14:paraId="3015F061" w14:textId="5EA1AEF5" w:rsidR="00CA1505" w:rsidRPr="002D2560" w:rsidRDefault="00683542" w:rsidP="008F44BA">
            <w:pPr>
              <w:spacing w:before="80" w:after="80" w:line="240" w:lineRule="auto"/>
              <w:rPr>
                <w:sz w:val="16"/>
                <w:szCs w:val="16"/>
                <w:lang w:val="en-AU"/>
              </w:rPr>
            </w:pPr>
            <w:r w:rsidRPr="002D2560">
              <w:rPr>
                <w:sz w:val="16"/>
                <w:szCs w:val="16"/>
                <w:lang w:val="en-AU"/>
              </w:rPr>
              <w:t>NAP NBEDS</w:t>
            </w:r>
            <w:r w:rsidR="008F44BA" w:rsidRPr="002D2560">
              <w:rPr>
                <w:sz w:val="16"/>
                <w:szCs w:val="16"/>
                <w:lang w:val="en-AU"/>
              </w:rPr>
              <w:br/>
            </w:r>
            <w:r w:rsidR="00E04BDE" w:rsidRPr="002D2560">
              <w:rPr>
                <w:sz w:val="16"/>
                <w:szCs w:val="16"/>
                <w:lang w:val="en-AU"/>
              </w:rPr>
              <w:t>2024–25</w:t>
            </w:r>
          </w:p>
        </w:tc>
        <w:tc>
          <w:tcPr>
            <w:tcW w:w="1568" w:type="dxa"/>
            <w:vAlign w:val="center"/>
          </w:tcPr>
          <w:p w14:paraId="54B39819" w14:textId="55BF4094" w:rsidR="00CA1505" w:rsidRPr="002D2560" w:rsidRDefault="00683542" w:rsidP="008F44BA">
            <w:pPr>
              <w:spacing w:before="80" w:after="80" w:line="240" w:lineRule="auto"/>
              <w:rPr>
                <w:sz w:val="16"/>
                <w:szCs w:val="16"/>
                <w:lang w:val="en-AU"/>
              </w:rPr>
            </w:pPr>
            <w:r w:rsidRPr="002D2560">
              <w:rPr>
                <w:sz w:val="16"/>
                <w:szCs w:val="16"/>
                <w:lang w:val="en-AU"/>
              </w:rPr>
              <w:t xml:space="preserve">Tier 2 </w:t>
            </w:r>
            <w:r w:rsidR="008F44BA" w:rsidRPr="002D2560">
              <w:rPr>
                <w:sz w:val="16"/>
                <w:szCs w:val="16"/>
                <w:lang w:val="en-AU"/>
              </w:rPr>
              <w:t>Version 8.0</w:t>
            </w:r>
          </w:p>
        </w:tc>
        <w:tc>
          <w:tcPr>
            <w:tcW w:w="1614" w:type="dxa"/>
            <w:vAlign w:val="center"/>
          </w:tcPr>
          <w:p w14:paraId="08DECF47" w14:textId="251D6162" w:rsidR="00CA1505" w:rsidRPr="002D2560" w:rsidRDefault="00683542" w:rsidP="008F44BA">
            <w:pPr>
              <w:spacing w:before="80" w:after="80" w:line="240" w:lineRule="auto"/>
              <w:rPr>
                <w:sz w:val="16"/>
                <w:szCs w:val="16"/>
                <w:lang w:val="en-AU"/>
              </w:rPr>
            </w:pPr>
            <w:r w:rsidRPr="002D2560">
              <w:rPr>
                <w:sz w:val="16"/>
                <w:szCs w:val="16"/>
                <w:lang w:val="en-AU"/>
              </w:rPr>
              <w:t>NAP NBEDS</w:t>
            </w:r>
            <w:r w:rsidR="008F44BA" w:rsidRPr="002D2560">
              <w:rPr>
                <w:sz w:val="16"/>
                <w:szCs w:val="16"/>
                <w:lang w:val="en-AU"/>
              </w:rPr>
              <w:br/>
            </w:r>
            <w:r w:rsidR="00EE517D" w:rsidRPr="002D2560">
              <w:rPr>
                <w:sz w:val="16"/>
                <w:szCs w:val="16"/>
                <w:lang w:val="en-AU"/>
              </w:rPr>
              <w:t>2025–26</w:t>
            </w:r>
          </w:p>
        </w:tc>
        <w:tc>
          <w:tcPr>
            <w:tcW w:w="1568" w:type="dxa"/>
            <w:vAlign w:val="center"/>
          </w:tcPr>
          <w:p w14:paraId="66C28240" w14:textId="39F27EF6" w:rsidR="00CA1505" w:rsidRPr="002D2560" w:rsidRDefault="00683542" w:rsidP="008F44BA">
            <w:pPr>
              <w:spacing w:before="80" w:after="80" w:line="240" w:lineRule="auto"/>
              <w:rPr>
                <w:sz w:val="16"/>
                <w:szCs w:val="16"/>
                <w:lang w:val="en-AU"/>
              </w:rPr>
            </w:pPr>
            <w:r w:rsidRPr="002D2560">
              <w:rPr>
                <w:sz w:val="16"/>
                <w:szCs w:val="16"/>
                <w:lang w:val="en-AU"/>
              </w:rPr>
              <w:t xml:space="preserve">Tier 2 </w:t>
            </w:r>
            <w:r w:rsidR="008F44BA" w:rsidRPr="002D2560">
              <w:rPr>
                <w:sz w:val="16"/>
                <w:szCs w:val="16"/>
                <w:lang w:val="en-AU"/>
              </w:rPr>
              <w:t>Version 8.0</w:t>
            </w:r>
          </w:p>
        </w:tc>
      </w:tr>
      <w:tr w:rsidR="008F4E00" w:rsidRPr="002D2560" w14:paraId="00953493" w14:textId="77777777" w:rsidTr="008F44BA">
        <w:tc>
          <w:tcPr>
            <w:tcW w:w="1269" w:type="dxa"/>
            <w:vAlign w:val="center"/>
          </w:tcPr>
          <w:p w14:paraId="4623A44E" w14:textId="65DDD962" w:rsidR="008F4E00" w:rsidRPr="002D2560" w:rsidRDefault="008F4E00" w:rsidP="008F44BA">
            <w:pPr>
              <w:spacing w:before="80" w:after="80" w:line="240" w:lineRule="auto"/>
              <w:rPr>
                <w:sz w:val="16"/>
                <w:szCs w:val="16"/>
                <w:lang w:val="en-AU"/>
              </w:rPr>
            </w:pPr>
            <w:r w:rsidRPr="002D2560">
              <w:rPr>
                <w:sz w:val="16"/>
                <w:szCs w:val="16"/>
                <w:lang w:val="en-AU"/>
              </w:rPr>
              <w:t>Mental health</w:t>
            </w:r>
          </w:p>
        </w:tc>
        <w:tc>
          <w:tcPr>
            <w:tcW w:w="853" w:type="dxa"/>
            <w:vAlign w:val="center"/>
          </w:tcPr>
          <w:p w14:paraId="606311E3" w14:textId="4FDA142F" w:rsidR="008F4E00" w:rsidRPr="002D2560" w:rsidRDefault="008F4E00" w:rsidP="008F44BA">
            <w:pPr>
              <w:spacing w:before="80" w:after="8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992" w:type="dxa"/>
            <w:vAlign w:val="center"/>
          </w:tcPr>
          <w:p w14:paraId="53B20B3A" w14:textId="7C452490" w:rsidR="008F4E00" w:rsidRPr="002D2560" w:rsidRDefault="008F4E00"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288" w:type="dxa"/>
            <w:vAlign w:val="center"/>
          </w:tcPr>
          <w:p w14:paraId="7065A122" w14:textId="0398B22F" w:rsidR="008F4E00" w:rsidRPr="002D2560" w:rsidRDefault="008F4E00" w:rsidP="008F44BA">
            <w:pPr>
              <w:spacing w:before="80" w:after="8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1614" w:type="dxa"/>
            <w:vAlign w:val="center"/>
          </w:tcPr>
          <w:p w14:paraId="05E3993B" w14:textId="26FD7F75" w:rsidR="008F4E00" w:rsidRPr="002D2560" w:rsidRDefault="008F4E00" w:rsidP="008F44BA">
            <w:pPr>
              <w:spacing w:before="80" w:after="80" w:line="240" w:lineRule="auto"/>
              <w:rPr>
                <w:sz w:val="16"/>
                <w:szCs w:val="16"/>
                <w:lang w:val="en-AU"/>
              </w:rPr>
            </w:pPr>
            <w:r w:rsidRPr="002D2560">
              <w:rPr>
                <w:sz w:val="16"/>
                <w:szCs w:val="16"/>
                <w:lang w:val="en-AU"/>
              </w:rPr>
              <w:t>ABF MHC NBEDS</w:t>
            </w:r>
            <w:r w:rsidR="008F44BA" w:rsidRPr="002D2560">
              <w:rPr>
                <w:sz w:val="16"/>
                <w:szCs w:val="16"/>
                <w:lang w:val="en-AU"/>
              </w:rPr>
              <w:br/>
            </w:r>
            <w:r w:rsidR="00E04BDE" w:rsidRPr="002D2560">
              <w:rPr>
                <w:sz w:val="16"/>
                <w:szCs w:val="16"/>
                <w:lang w:val="en-AU"/>
              </w:rPr>
              <w:t>2023–24</w:t>
            </w:r>
          </w:p>
        </w:tc>
        <w:tc>
          <w:tcPr>
            <w:tcW w:w="1568" w:type="dxa"/>
            <w:vAlign w:val="center"/>
          </w:tcPr>
          <w:p w14:paraId="077A13ED" w14:textId="660F680B" w:rsidR="008F4E00" w:rsidRPr="002D2560" w:rsidRDefault="008F4E00" w:rsidP="008F44BA">
            <w:pPr>
              <w:spacing w:before="80" w:after="80" w:line="240" w:lineRule="auto"/>
              <w:rPr>
                <w:sz w:val="16"/>
                <w:szCs w:val="16"/>
                <w:lang w:val="en-AU"/>
              </w:rPr>
            </w:pPr>
            <w:r w:rsidRPr="002D2560">
              <w:rPr>
                <w:sz w:val="16"/>
                <w:szCs w:val="16"/>
                <w:lang w:val="en-AU"/>
              </w:rPr>
              <w:t>AMHCC</w:t>
            </w:r>
            <w:r w:rsidR="008F44BA" w:rsidRPr="002D2560">
              <w:rPr>
                <w:sz w:val="16"/>
                <w:szCs w:val="16"/>
                <w:lang w:val="en-AU"/>
              </w:rPr>
              <w:br/>
            </w:r>
            <w:r w:rsidR="00EE517D" w:rsidRPr="002D2560">
              <w:rPr>
                <w:sz w:val="16"/>
                <w:szCs w:val="16"/>
                <w:lang w:val="en-AU"/>
              </w:rPr>
              <w:t>Version </w:t>
            </w:r>
            <w:r w:rsidRPr="002D2560">
              <w:rPr>
                <w:sz w:val="16"/>
                <w:szCs w:val="16"/>
                <w:lang w:val="en-AU"/>
              </w:rPr>
              <w:t>1.0</w:t>
            </w:r>
          </w:p>
        </w:tc>
        <w:tc>
          <w:tcPr>
            <w:tcW w:w="1614" w:type="dxa"/>
            <w:vAlign w:val="center"/>
          </w:tcPr>
          <w:p w14:paraId="715B1401" w14:textId="78176534" w:rsidR="008F4E00" w:rsidRPr="002D2560" w:rsidRDefault="008F4E00" w:rsidP="008F44BA">
            <w:pPr>
              <w:spacing w:before="80" w:after="80" w:line="240" w:lineRule="auto"/>
              <w:rPr>
                <w:sz w:val="16"/>
                <w:szCs w:val="16"/>
                <w:lang w:val="en-AU"/>
              </w:rPr>
            </w:pPr>
            <w:r w:rsidRPr="002D2560">
              <w:rPr>
                <w:sz w:val="16"/>
                <w:szCs w:val="16"/>
                <w:lang w:val="en-AU"/>
              </w:rPr>
              <w:t>ABF MHC NBEDS</w:t>
            </w:r>
            <w:r w:rsidR="008F44BA" w:rsidRPr="002D2560">
              <w:rPr>
                <w:sz w:val="16"/>
                <w:szCs w:val="16"/>
                <w:lang w:val="en-AU"/>
              </w:rPr>
              <w:br/>
            </w:r>
            <w:r w:rsidR="00E04BDE" w:rsidRPr="002D2560">
              <w:rPr>
                <w:sz w:val="16"/>
                <w:szCs w:val="16"/>
                <w:lang w:val="en-AU"/>
              </w:rPr>
              <w:t>2024–25</w:t>
            </w:r>
          </w:p>
        </w:tc>
        <w:tc>
          <w:tcPr>
            <w:tcW w:w="1568" w:type="dxa"/>
            <w:vAlign w:val="center"/>
          </w:tcPr>
          <w:p w14:paraId="4E1B714F" w14:textId="34927BB8" w:rsidR="008F4E00" w:rsidRPr="002D2560" w:rsidRDefault="008F4E00" w:rsidP="008F44BA">
            <w:pPr>
              <w:spacing w:before="80" w:after="80" w:line="240" w:lineRule="auto"/>
              <w:rPr>
                <w:sz w:val="16"/>
                <w:szCs w:val="16"/>
                <w:lang w:val="en-AU"/>
              </w:rPr>
            </w:pPr>
            <w:r w:rsidRPr="002D2560">
              <w:rPr>
                <w:sz w:val="16"/>
                <w:szCs w:val="16"/>
                <w:lang w:val="en-AU"/>
              </w:rPr>
              <w:t>AMHCC</w:t>
            </w:r>
            <w:r w:rsidR="008F44BA" w:rsidRPr="002D2560">
              <w:rPr>
                <w:sz w:val="16"/>
                <w:szCs w:val="16"/>
                <w:lang w:val="en-AU"/>
              </w:rPr>
              <w:br/>
            </w:r>
            <w:r w:rsidR="00EE517D" w:rsidRPr="002D2560">
              <w:rPr>
                <w:sz w:val="16"/>
                <w:szCs w:val="16"/>
                <w:lang w:val="en-AU"/>
              </w:rPr>
              <w:t>Version </w:t>
            </w:r>
            <w:r w:rsidRPr="002D2560">
              <w:rPr>
                <w:sz w:val="16"/>
                <w:szCs w:val="16"/>
                <w:lang w:val="en-AU"/>
              </w:rPr>
              <w:t>1.0</w:t>
            </w:r>
          </w:p>
        </w:tc>
        <w:tc>
          <w:tcPr>
            <w:tcW w:w="1614" w:type="dxa"/>
            <w:vAlign w:val="center"/>
          </w:tcPr>
          <w:p w14:paraId="0DD6C2C9" w14:textId="72A1172F" w:rsidR="008F4E00" w:rsidRPr="002D2560" w:rsidRDefault="008F4E00" w:rsidP="008F44BA">
            <w:pPr>
              <w:spacing w:before="80" w:after="80" w:line="240" w:lineRule="auto"/>
              <w:rPr>
                <w:sz w:val="16"/>
                <w:szCs w:val="16"/>
                <w:lang w:val="en-AU"/>
              </w:rPr>
            </w:pPr>
            <w:r w:rsidRPr="002D2560">
              <w:rPr>
                <w:sz w:val="16"/>
                <w:szCs w:val="16"/>
                <w:lang w:val="en-AU"/>
              </w:rPr>
              <w:t>ABF MHC NBEDS</w:t>
            </w:r>
            <w:r w:rsidR="008F44BA" w:rsidRPr="002D2560">
              <w:rPr>
                <w:sz w:val="16"/>
                <w:szCs w:val="16"/>
                <w:lang w:val="en-AU"/>
              </w:rPr>
              <w:br/>
            </w:r>
            <w:r w:rsidR="00EE517D" w:rsidRPr="002D2560">
              <w:rPr>
                <w:sz w:val="16"/>
                <w:szCs w:val="16"/>
                <w:lang w:val="en-AU"/>
              </w:rPr>
              <w:t>2025–26</w:t>
            </w:r>
          </w:p>
        </w:tc>
        <w:tc>
          <w:tcPr>
            <w:tcW w:w="1568" w:type="dxa"/>
            <w:vAlign w:val="center"/>
          </w:tcPr>
          <w:p w14:paraId="02FB5FC2" w14:textId="29036202" w:rsidR="008F4E00" w:rsidRPr="002D2560" w:rsidRDefault="008F4E00" w:rsidP="008F44BA">
            <w:pPr>
              <w:spacing w:before="80" w:after="80" w:line="240" w:lineRule="auto"/>
              <w:rPr>
                <w:sz w:val="16"/>
                <w:szCs w:val="16"/>
                <w:lang w:val="en-AU"/>
              </w:rPr>
            </w:pPr>
            <w:r w:rsidRPr="002D2560">
              <w:rPr>
                <w:sz w:val="16"/>
                <w:szCs w:val="16"/>
                <w:lang w:val="en-AU"/>
              </w:rPr>
              <w:t>AMHCC</w:t>
            </w:r>
            <w:r w:rsidR="008F44BA" w:rsidRPr="002D2560">
              <w:rPr>
                <w:sz w:val="16"/>
                <w:szCs w:val="16"/>
                <w:lang w:val="en-AU"/>
              </w:rPr>
              <w:br/>
            </w:r>
            <w:r w:rsidR="00EE517D" w:rsidRPr="002D2560">
              <w:rPr>
                <w:sz w:val="16"/>
                <w:szCs w:val="16"/>
                <w:lang w:val="en-AU"/>
              </w:rPr>
              <w:t>Version </w:t>
            </w:r>
            <w:r w:rsidRPr="002D2560">
              <w:rPr>
                <w:sz w:val="16"/>
                <w:szCs w:val="16"/>
                <w:lang w:val="en-AU"/>
              </w:rPr>
              <w:t>1.0</w:t>
            </w:r>
          </w:p>
        </w:tc>
      </w:tr>
      <w:tr w:rsidR="00047CE3" w:rsidRPr="002D2560" w14:paraId="180B5BD4" w14:textId="77777777" w:rsidTr="008F44BA">
        <w:tc>
          <w:tcPr>
            <w:tcW w:w="1269" w:type="dxa"/>
            <w:vAlign w:val="center"/>
          </w:tcPr>
          <w:p w14:paraId="22BF3FBD" w14:textId="01D3AAFE" w:rsidR="00047CE3" w:rsidRPr="002D2560" w:rsidRDefault="00047CE3" w:rsidP="008F44BA">
            <w:pPr>
              <w:spacing w:before="80" w:after="80" w:line="240" w:lineRule="auto"/>
              <w:rPr>
                <w:sz w:val="16"/>
                <w:szCs w:val="16"/>
                <w:lang w:val="en-AU"/>
              </w:rPr>
            </w:pPr>
            <w:r w:rsidRPr="002D2560">
              <w:rPr>
                <w:sz w:val="16"/>
                <w:szCs w:val="16"/>
                <w:lang w:val="en-AU"/>
              </w:rPr>
              <w:t xml:space="preserve">Admitted subacute </w:t>
            </w:r>
            <w:r w:rsidR="00EE517D" w:rsidRPr="002D2560">
              <w:rPr>
                <w:sz w:val="16"/>
                <w:szCs w:val="16"/>
                <w:lang w:val="en-AU"/>
              </w:rPr>
              <w:t>and</w:t>
            </w:r>
            <w:r w:rsidRPr="002D2560">
              <w:rPr>
                <w:sz w:val="16"/>
                <w:szCs w:val="16"/>
                <w:lang w:val="en-AU"/>
              </w:rPr>
              <w:t xml:space="preserve"> non-acute</w:t>
            </w:r>
          </w:p>
        </w:tc>
        <w:tc>
          <w:tcPr>
            <w:tcW w:w="853" w:type="dxa"/>
            <w:vAlign w:val="center"/>
          </w:tcPr>
          <w:p w14:paraId="1DFCF979" w14:textId="7183EB22" w:rsidR="00047CE3" w:rsidRPr="002D2560" w:rsidRDefault="00047CE3" w:rsidP="008F44BA">
            <w:pPr>
              <w:spacing w:before="80" w:after="8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992" w:type="dxa"/>
            <w:vAlign w:val="center"/>
          </w:tcPr>
          <w:p w14:paraId="0CFB5932" w14:textId="6CE070E2" w:rsidR="00047CE3" w:rsidRPr="002D2560" w:rsidRDefault="00047CE3"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288" w:type="dxa"/>
            <w:vAlign w:val="center"/>
          </w:tcPr>
          <w:p w14:paraId="21999C85" w14:textId="79577FEA" w:rsidR="00047CE3" w:rsidRPr="002D2560" w:rsidRDefault="00047CE3" w:rsidP="008F44BA">
            <w:pPr>
              <w:spacing w:before="80" w:after="8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1614" w:type="dxa"/>
            <w:vAlign w:val="center"/>
          </w:tcPr>
          <w:p w14:paraId="1D166D7D" w14:textId="30537198" w:rsidR="00047CE3" w:rsidRPr="002D2560" w:rsidRDefault="00047CE3" w:rsidP="008F44BA">
            <w:pPr>
              <w:spacing w:before="80" w:after="80" w:line="240" w:lineRule="auto"/>
              <w:rPr>
                <w:sz w:val="16"/>
                <w:szCs w:val="16"/>
                <w:lang w:val="en-AU"/>
              </w:rPr>
            </w:pPr>
            <w:r w:rsidRPr="002D2560">
              <w:rPr>
                <w:sz w:val="16"/>
                <w:szCs w:val="16"/>
                <w:lang w:val="en-AU"/>
              </w:rPr>
              <w:t>ASNHC NBEDS</w:t>
            </w:r>
            <w:r w:rsidR="008F44BA" w:rsidRPr="002D2560">
              <w:rPr>
                <w:sz w:val="16"/>
                <w:szCs w:val="16"/>
                <w:lang w:val="en-AU"/>
              </w:rPr>
              <w:br/>
            </w:r>
            <w:r w:rsidR="00E04BDE" w:rsidRPr="002D2560">
              <w:rPr>
                <w:sz w:val="16"/>
                <w:szCs w:val="16"/>
                <w:lang w:val="en-AU"/>
              </w:rPr>
              <w:t>2023–24</w:t>
            </w:r>
          </w:p>
        </w:tc>
        <w:tc>
          <w:tcPr>
            <w:tcW w:w="1568" w:type="dxa"/>
            <w:vAlign w:val="center"/>
          </w:tcPr>
          <w:p w14:paraId="00731FB8" w14:textId="0C39AB37" w:rsidR="00047CE3" w:rsidRPr="002D2560" w:rsidRDefault="00047CE3" w:rsidP="008F44BA">
            <w:pPr>
              <w:spacing w:before="80" w:after="80" w:line="240" w:lineRule="auto"/>
              <w:rPr>
                <w:sz w:val="16"/>
                <w:szCs w:val="16"/>
                <w:lang w:val="en-AU"/>
              </w:rPr>
            </w:pPr>
            <w:r w:rsidRPr="002D2560">
              <w:rPr>
                <w:sz w:val="16"/>
                <w:szCs w:val="16"/>
                <w:lang w:val="en-AU"/>
              </w:rPr>
              <w:t>AN-SNAP</w:t>
            </w:r>
            <w:r w:rsidR="008F44BA" w:rsidRPr="002D2560">
              <w:rPr>
                <w:sz w:val="16"/>
                <w:szCs w:val="16"/>
                <w:lang w:val="en-AU"/>
              </w:rPr>
              <w:br/>
            </w:r>
            <w:r w:rsidR="009A42FC" w:rsidRPr="002D2560">
              <w:rPr>
                <w:sz w:val="16"/>
                <w:szCs w:val="16"/>
                <w:lang w:val="en-AU"/>
              </w:rPr>
              <w:t>Version </w:t>
            </w:r>
            <w:r w:rsidRPr="002D2560">
              <w:rPr>
                <w:sz w:val="16"/>
                <w:szCs w:val="16"/>
                <w:lang w:val="en-AU"/>
              </w:rPr>
              <w:t>4.0</w:t>
            </w:r>
          </w:p>
        </w:tc>
        <w:tc>
          <w:tcPr>
            <w:tcW w:w="1614" w:type="dxa"/>
            <w:vAlign w:val="center"/>
          </w:tcPr>
          <w:p w14:paraId="5B947802" w14:textId="1B6A230A" w:rsidR="00047CE3" w:rsidRPr="002D2560" w:rsidRDefault="00047CE3" w:rsidP="008F44BA">
            <w:pPr>
              <w:spacing w:before="80" w:after="80" w:line="240" w:lineRule="auto"/>
              <w:rPr>
                <w:sz w:val="16"/>
                <w:szCs w:val="16"/>
                <w:lang w:val="en-AU"/>
              </w:rPr>
            </w:pPr>
            <w:r w:rsidRPr="002D2560">
              <w:rPr>
                <w:sz w:val="16"/>
                <w:szCs w:val="16"/>
                <w:lang w:val="en-AU"/>
              </w:rPr>
              <w:t>ASNHC NBEDS</w:t>
            </w:r>
            <w:r w:rsidR="008F44BA" w:rsidRPr="002D2560">
              <w:rPr>
                <w:sz w:val="16"/>
                <w:szCs w:val="16"/>
                <w:lang w:val="en-AU"/>
              </w:rPr>
              <w:br/>
            </w:r>
            <w:r w:rsidR="00EE517D" w:rsidRPr="002D2560">
              <w:rPr>
                <w:sz w:val="16"/>
                <w:szCs w:val="16"/>
                <w:lang w:val="en-AU"/>
              </w:rPr>
              <w:t>2024–25</w:t>
            </w:r>
          </w:p>
        </w:tc>
        <w:tc>
          <w:tcPr>
            <w:tcW w:w="1568" w:type="dxa"/>
            <w:vAlign w:val="center"/>
          </w:tcPr>
          <w:p w14:paraId="69CCDE56" w14:textId="51CF0A1A" w:rsidR="00047CE3" w:rsidRPr="002D2560" w:rsidRDefault="00047CE3" w:rsidP="008F44BA">
            <w:pPr>
              <w:spacing w:before="80" w:after="80" w:line="240" w:lineRule="auto"/>
              <w:rPr>
                <w:sz w:val="16"/>
                <w:szCs w:val="16"/>
                <w:lang w:val="en-AU"/>
              </w:rPr>
            </w:pPr>
            <w:r w:rsidRPr="002D2560">
              <w:rPr>
                <w:sz w:val="16"/>
                <w:szCs w:val="16"/>
                <w:lang w:val="en-AU"/>
              </w:rPr>
              <w:t xml:space="preserve">AN-SNAP </w:t>
            </w:r>
            <w:r w:rsidR="00EE517D" w:rsidRPr="002D2560">
              <w:rPr>
                <w:sz w:val="16"/>
                <w:szCs w:val="16"/>
                <w:lang w:val="en-AU"/>
              </w:rPr>
              <w:t>Version </w:t>
            </w:r>
            <w:r w:rsidRPr="002D2560">
              <w:rPr>
                <w:sz w:val="16"/>
                <w:szCs w:val="16"/>
                <w:lang w:val="en-AU"/>
              </w:rPr>
              <w:t>5.0</w:t>
            </w:r>
          </w:p>
        </w:tc>
        <w:tc>
          <w:tcPr>
            <w:tcW w:w="1614" w:type="dxa"/>
            <w:vAlign w:val="center"/>
          </w:tcPr>
          <w:p w14:paraId="737A66FA" w14:textId="0EC36EA0" w:rsidR="00047CE3" w:rsidRPr="002D2560" w:rsidRDefault="00047CE3" w:rsidP="008F44BA">
            <w:pPr>
              <w:spacing w:before="80" w:after="80" w:line="240" w:lineRule="auto"/>
              <w:rPr>
                <w:sz w:val="16"/>
                <w:szCs w:val="16"/>
                <w:lang w:val="en-AU"/>
              </w:rPr>
            </w:pPr>
            <w:r w:rsidRPr="002D2560">
              <w:rPr>
                <w:sz w:val="16"/>
                <w:szCs w:val="16"/>
                <w:lang w:val="en-AU"/>
              </w:rPr>
              <w:t xml:space="preserve">ASNHC NBEDS </w:t>
            </w:r>
            <w:r w:rsidR="008F44BA" w:rsidRPr="002D2560">
              <w:rPr>
                <w:sz w:val="16"/>
                <w:szCs w:val="16"/>
                <w:lang w:val="en-AU"/>
              </w:rPr>
              <w:br/>
            </w:r>
            <w:r w:rsidR="00EE517D" w:rsidRPr="002D2560">
              <w:rPr>
                <w:sz w:val="16"/>
                <w:szCs w:val="16"/>
                <w:lang w:val="en-AU"/>
              </w:rPr>
              <w:t>2025–26</w:t>
            </w:r>
          </w:p>
        </w:tc>
        <w:tc>
          <w:tcPr>
            <w:tcW w:w="1568" w:type="dxa"/>
            <w:vAlign w:val="center"/>
          </w:tcPr>
          <w:p w14:paraId="39CD6794" w14:textId="7A77A82B" w:rsidR="00047CE3" w:rsidRPr="002D2560" w:rsidRDefault="00047CE3" w:rsidP="008F44BA">
            <w:pPr>
              <w:spacing w:before="80" w:after="80" w:line="240" w:lineRule="auto"/>
              <w:rPr>
                <w:sz w:val="16"/>
                <w:szCs w:val="16"/>
                <w:lang w:val="en-AU"/>
              </w:rPr>
            </w:pPr>
            <w:r w:rsidRPr="002D2560">
              <w:rPr>
                <w:sz w:val="16"/>
                <w:szCs w:val="16"/>
                <w:lang w:val="en-AU"/>
              </w:rPr>
              <w:t xml:space="preserve">AN-SNAP </w:t>
            </w:r>
            <w:r w:rsidR="00EE517D" w:rsidRPr="002D2560">
              <w:rPr>
                <w:sz w:val="16"/>
                <w:szCs w:val="16"/>
                <w:lang w:val="en-AU"/>
              </w:rPr>
              <w:t>Version </w:t>
            </w:r>
            <w:r w:rsidRPr="002D2560">
              <w:rPr>
                <w:sz w:val="16"/>
                <w:szCs w:val="16"/>
                <w:lang w:val="en-AU"/>
              </w:rPr>
              <w:t>5.0</w:t>
            </w:r>
          </w:p>
        </w:tc>
      </w:tr>
      <w:tr w:rsidR="00047CE3" w:rsidRPr="002D2560" w14:paraId="693A69AC" w14:textId="77777777" w:rsidTr="008F44BA">
        <w:tc>
          <w:tcPr>
            <w:tcW w:w="1269" w:type="dxa"/>
          </w:tcPr>
          <w:p w14:paraId="0FB4CBC0" w14:textId="5B7B74BA" w:rsidR="00047CE3" w:rsidRPr="002D2560" w:rsidRDefault="00047CE3" w:rsidP="008F44BA">
            <w:pPr>
              <w:spacing w:before="80" w:after="80" w:line="240" w:lineRule="auto"/>
              <w:rPr>
                <w:sz w:val="16"/>
                <w:szCs w:val="16"/>
                <w:lang w:val="en-AU"/>
              </w:rPr>
            </w:pPr>
            <w:r w:rsidRPr="002D2560">
              <w:rPr>
                <w:sz w:val="16"/>
                <w:szCs w:val="16"/>
                <w:lang w:val="en-AU"/>
              </w:rPr>
              <w:lastRenderedPageBreak/>
              <w:t xml:space="preserve">Teaching, training </w:t>
            </w:r>
            <w:r w:rsidR="00EE517D" w:rsidRPr="002D2560">
              <w:rPr>
                <w:sz w:val="16"/>
                <w:szCs w:val="16"/>
                <w:lang w:val="en-AU"/>
              </w:rPr>
              <w:t>and</w:t>
            </w:r>
            <w:r w:rsidRPr="002D2560">
              <w:rPr>
                <w:sz w:val="16"/>
                <w:szCs w:val="16"/>
                <w:lang w:val="en-AU"/>
              </w:rPr>
              <w:t xml:space="preserve"> research</w:t>
            </w:r>
          </w:p>
        </w:tc>
        <w:tc>
          <w:tcPr>
            <w:tcW w:w="853" w:type="dxa"/>
            <w:vAlign w:val="center"/>
          </w:tcPr>
          <w:p w14:paraId="25F95141" w14:textId="77777777" w:rsidR="00047CE3" w:rsidRPr="002D2560" w:rsidRDefault="00047CE3" w:rsidP="008F44BA">
            <w:pPr>
              <w:spacing w:before="80" w:after="80" w:line="240" w:lineRule="auto"/>
              <w:jc w:val="center"/>
              <w:rPr>
                <w:sz w:val="16"/>
                <w:szCs w:val="16"/>
                <w:lang w:val="en-AU"/>
              </w:rPr>
            </w:pPr>
          </w:p>
        </w:tc>
        <w:tc>
          <w:tcPr>
            <w:tcW w:w="992" w:type="dxa"/>
            <w:vAlign w:val="center"/>
          </w:tcPr>
          <w:p w14:paraId="68AEEF8C" w14:textId="442AF4C0" w:rsidR="00047CE3" w:rsidRPr="002D2560" w:rsidRDefault="00047CE3"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288" w:type="dxa"/>
            <w:vAlign w:val="center"/>
          </w:tcPr>
          <w:p w14:paraId="1A28ABE6" w14:textId="1ECA5848" w:rsidR="00047CE3" w:rsidRPr="002D2560" w:rsidRDefault="00047CE3" w:rsidP="008F44BA">
            <w:pPr>
              <w:spacing w:before="80" w:after="80" w:line="240" w:lineRule="auto"/>
              <w:jc w:val="center"/>
              <w:rPr>
                <w:sz w:val="16"/>
                <w:szCs w:val="16"/>
                <w:lang w:val="en-AU"/>
              </w:rPr>
            </w:pPr>
          </w:p>
        </w:tc>
        <w:tc>
          <w:tcPr>
            <w:tcW w:w="1614" w:type="dxa"/>
            <w:vAlign w:val="center"/>
          </w:tcPr>
          <w:p w14:paraId="25574875" w14:textId="2A39EE32" w:rsidR="00047CE3" w:rsidRPr="002D2560" w:rsidRDefault="00047CE3" w:rsidP="008F44BA">
            <w:pPr>
              <w:spacing w:before="80" w:after="80" w:line="240" w:lineRule="auto"/>
              <w:rPr>
                <w:sz w:val="16"/>
                <w:szCs w:val="16"/>
                <w:lang w:val="en-AU"/>
              </w:rPr>
            </w:pPr>
            <w:r w:rsidRPr="002D2560">
              <w:rPr>
                <w:sz w:val="16"/>
                <w:szCs w:val="16"/>
                <w:lang w:val="en-AU"/>
              </w:rPr>
              <w:t xml:space="preserve">HTTRA NBEDS </w:t>
            </w:r>
            <w:r w:rsidR="00E04BDE" w:rsidRPr="002D2560">
              <w:rPr>
                <w:sz w:val="16"/>
                <w:szCs w:val="16"/>
                <w:lang w:val="en-AU"/>
              </w:rPr>
              <w:t>2023–24</w:t>
            </w:r>
          </w:p>
        </w:tc>
        <w:tc>
          <w:tcPr>
            <w:tcW w:w="1568" w:type="dxa"/>
            <w:vAlign w:val="center"/>
          </w:tcPr>
          <w:p w14:paraId="2083894C" w14:textId="0B73B9DA" w:rsidR="00047CE3" w:rsidRPr="002D2560" w:rsidRDefault="00047CE3" w:rsidP="008F44BA">
            <w:pPr>
              <w:spacing w:before="80" w:after="80" w:line="240" w:lineRule="auto"/>
              <w:rPr>
                <w:sz w:val="16"/>
                <w:szCs w:val="16"/>
                <w:lang w:val="en-AU"/>
              </w:rPr>
            </w:pPr>
            <w:r w:rsidRPr="002D2560">
              <w:rPr>
                <w:sz w:val="16"/>
                <w:szCs w:val="16"/>
                <w:lang w:val="en-AU"/>
              </w:rPr>
              <w:t xml:space="preserve">ATTC </w:t>
            </w:r>
            <w:r w:rsidR="00EE517D" w:rsidRPr="002D2560">
              <w:rPr>
                <w:sz w:val="16"/>
                <w:szCs w:val="16"/>
                <w:lang w:val="en-AU"/>
              </w:rPr>
              <w:t xml:space="preserve">Version </w:t>
            </w:r>
            <w:r w:rsidRPr="002D2560">
              <w:rPr>
                <w:sz w:val="16"/>
                <w:szCs w:val="16"/>
                <w:lang w:val="en-AU"/>
              </w:rPr>
              <w:t>1.0</w:t>
            </w:r>
          </w:p>
        </w:tc>
        <w:tc>
          <w:tcPr>
            <w:tcW w:w="1614" w:type="dxa"/>
            <w:vAlign w:val="center"/>
          </w:tcPr>
          <w:p w14:paraId="7136E573" w14:textId="71AD90D2" w:rsidR="00047CE3" w:rsidRPr="002D2560" w:rsidRDefault="00047CE3" w:rsidP="008F44BA">
            <w:pPr>
              <w:spacing w:before="80" w:after="80" w:line="240" w:lineRule="auto"/>
              <w:rPr>
                <w:sz w:val="16"/>
                <w:szCs w:val="16"/>
                <w:lang w:val="en-AU"/>
              </w:rPr>
            </w:pPr>
            <w:r w:rsidRPr="002D2560">
              <w:rPr>
                <w:sz w:val="16"/>
                <w:szCs w:val="16"/>
                <w:lang w:val="en-AU"/>
              </w:rPr>
              <w:t xml:space="preserve">HTTRA NBEDS </w:t>
            </w:r>
            <w:r w:rsidR="00EE517D" w:rsidRPr="002D2560">
              <w:rPr>
                <w:sz w:val="16"/>
                <w:szCs w:val="16"/>
                <w:lang w:val="en-AU"/>
              </w:rPr>
              <w:t>2024–25</w:t>
            </w:r>
          </w:p>
        </w:tc>
        <w:tc>
          <w:tcPr>
            <w:tcW w:w="1568" w:type="dxa"/>
            <w:vAlign w:val="center"/>
          </w:tcPr>
          <w:p w14:paraId="620D597F" w14:textId="2A99C412" w:rsidR="00047CE3" w:rsidRPr="002D2560" w:rsidRDefault="00047CE3" w:rsidP="008F44BA">
            <w:pPr>
              <w:spacing w:before="80" w:after="80" w:line="240" w:lineRule="auto"/>
              <w:rPr>
                <w:sz w:val="16"/>
                <w:szCs w:val="16"/>
                <w:lang w:val="en-AU"/>
              </w:rPr>
            </w:pPr>
            <w:r w:rsidRPr="002D2560">
              <w:rPr>
                <w:sz w:val="16"/>
                <w:szCs w:val="16"/>
                <w:lang w:val="en-AU"/>
              </w:rPr>
              <w:t xml:space="preserve">ATTC </w:t>
            </w:r>
            <w:r w:rsidR="00EE517D" w:rsidRPr="002D2560">
              <w:rPr>
                <w:sz w:val="16"/>
                <w:szCs w:val="16"/>
                <w:lang w:val="en-AU"/>
              </w:rPr>
              <w:t xml:space="preserve">Version </w:t>
            </w:r>
            <w:r w:rsidRPr="002D2560">
              <w:rPr>
                <w:sz w:val="16"/>
                <w:szCs w:val="16"/>
                <w:lang w:val="en-AU"/>
              </w:rPr>
              <w:t>1.0</w:t>
            </w:r>
          </w:p>
        </w:tc>
        <w:tc>
          <w:tcPr>
            <w:tcW w:w="1614" w:type="dxa"/>
            <w:vAlign w:val="center"/>
          </w:tcPr>
          <w:p w14:paraId="352F4C8E" w14:textId="6803C313" w:rsidR="00047CE3" w:rsidRPr="002D2560" w:rsidRDefault="00047CE3" w:rsidP="008F44BA">
            <w:pPr>
              <w:spacing w:before="80" w:after="80" w:line="240" w:lineRule="auto"/>
              <w:rPr>
                <w:sz w:val="16"/>
                <w:szCs w:val="16"/>
                <w:lang w:val="en-AU"/>
              </w:rPr>
            </w:pPr>
            <w:r w:rsidRPr="002D2560">
              <w:rPr>
                <w:sz w:val="16"/>
                <w:szCs w:val="16"/>
                <w:lang w:val="en-AU"/>
              </w:rPr>
              <w:t xml:space="preserve">HTTRA NBEDS </w:t>
            </w:r>
            <w:r w:rsidR="00EE517D" w:rsidRPr="002D2560">
              <w:rPr>
                <w:sz w:val="16"/>
                <w:szCs w:val="16"/>
                <w:lang w:val="en-AU"/>
              </w:rPr>
              <w:t>2025–26</w:t>
            </w:r>
          </w:p>
        </w:tc>
        <w:tc>
          <w:tcPr>
            <w:tcW w:w="1568" w:type="dxa"/>
            <w:vAlign w:val="center"/>
          </w:tcPr>
          <w:p w14:paraId="7298C13E" w14:textId="735F9640" w:rsidR="00047CE3" w:rsidRPr="002D2560" w:rsidRDefault="00047CE3" w:rsidP="008F44BA">
            <w:pPr>
              <w:spacing w:before="80" w:after="80" w:line="240" w:lineRule="auto"/>
              <w:rPr>
                <w:sz w:val="16"/>
                <w:szCs w:val="16"/>
                <w:lang w:val="en-AU"/>
              </w:rPr>
            </w:pPr>
            <w:r w:rsidRPr="002D2560">
              <w:rPr>
                <w:sz w:val="16"/>
                <w:szCs w:val="16"/>
                <w:lang w:val="en-AU"/>
              </w:rPr>
              <w:t xml:space="preserve">ATTC </w:t>
            </w:r>
            <w:r w:rsidR="00EE517D" w:rsidRPr="002D2560">
              <w:rPr>
                <w:sz w:val="16"/>
                <w:szCs w:val="16"/>
                <w:lang w:val="en-AU"/>
              </w:rPr>
              <w:t xml:space="preserve">Version </w:t>
            </w:r>
            <w:r w:rsidRPr="002D2560">
              <w:rPr>
                <w:sz w:val="16"/>
                <w:szCs w:val="16"/>
                <w:lang w:val="en-AU"/>
              </w:rPr>
              <w:t>1.0</w:t>
            </w:r>
          </w:p>
        </w:tc>
      </w:tr>
      <w:tr w:rsidR="00047CE3" w:rsidRPr="002D2560" w14:paraId="419077AE" w14:textId="77777777" w:rsidTr="008F44BA">
        <w:tc>
          <w:tcPr>
            <w:tcW w:w="1269" w:type="dxa"/>
          </w:tcPr>
          <w:p w14:paraId="6C036950" w14:textId="63C95498" w:rsidR="00047CE3" w:rsidRPr="002D2560" w:rsidRDefault="00047CE3" w:rsidP="008F44BA">
            <w:pPr>
              <w:spacing w:before="80" w:after="80" w:line="240" w:lineRule="auto"/>
              <w:rPr>
                <w:sz w:val="16"/>
                <w:szCs w:val="16"/>
                <w:lang w:val="en-AU"/>
              </w:rPr>
            </w:pPr>
            <w:r w:rsidRPr="002D2560">
              <w:rPr>
                <w:sz w:val="16"/>
                <w:szCs w:val="16"/>
                <w:lang w:val="en-AU"/>
              </w:rPr>
              <w:t>Alternative funding source</w:t>
            </w:r>
          </w:p>
        </w:tc>
        <w:tc>
          <w:tcPr>
            <w:tcW w:w="853" w:type="dxa"/>
            <w:vAlign w:val="center"/>
          </w:tcPr>
          <w:p w14:paraId="59EC1ED1" w14:textId="476E6160" w:rsidR="00047CE3" w:rsidRPr="002D2560" w:rsidRDefault="00047CE3"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992" w:type="dxa"/>
            <w:vAlign w:val="center"/>
          </w:tcPr>
          <w:p w14:paraId="52672266" w14:textId="709A755E" w:rsidR="00047CE3" w:rsidRPr="002D2560" w:rsidRDefault="00047CE3"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288" w:type="dxa"/>
            <w:vAlign w:val="center"/>
          </w:tcPr>
          <w:p w14:paraId="599F812A" w14:textId="70957AA7" w:rsidR="00047CE3" w:rsidRPr="002D2560" w:rsidRDefault="00047CE3"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614" w:type="dxa"/>
            <w:vAlign w:val="center"/>
          </w:tcPr>
          <w:p w14:paraId="572B077E" w14:textId="35141A19" w:rsidR="00047CE3" w:rsidRPr="002D2560" w:rsidRDefault="00047CE3" w:rsidP="008F44BA">
            <w:pPr>
              <w:spacing w:before="80" w:after="80" w:line="240" w:lineRule="auto"/>
              <w:rPr>
                <w:sz w:val="16"/>
                <w:szCs w:val="16"/>
                <w:lang w:val="en-AU"/>
              </w:rPr>
            </w:pPr>
            <w:r w:rsidRPr="002D2560">
              <w:rPr>
                <w:sz w:val="16"/>
                <w:szCs w:val="16"/>
                <w:lang w:val="en-AU"/>
              </w:rPr>
              <w:t xml:space="preserve">Supplementary file to identify activity in the ABF data sets eligible for alternative funding arrangement under the </w:t>
            </w:r>
            <w:r w:rsidR="006D0BA2" w:rsidRPr="002D2560">
              <w:rPr>
                <w:sz w:val="16"/>
                <w:szCs w:val="16"/>
                <w:lang w:val="en-AU"/>
              </w:rPr>
              <w:t>NHRA or NPA</w:t>
            </w:r>
            <w:r w:rsidRPr="002D2560">
              <w:rPr>
                <w:sz w:val="16"/>
                <w:szCs w:val="16"/>
                <w:lang w:val="en-AU"/>
              </w:rPr>
              <w:t xml:space="preserve">. </w:t>
            </w:r>
          </w:p>
        </w:tc>
        <w:tc>
          <w:tcPr>
            <w:tcW w:w="1568" w:type="dxa"/>
            <w:vAlign w:val="center"/>
          </w:tcPr>
          <w:p w14:paraId="28CB4172" w14:textId="48219E4B" w:rsidR="00047CE3" w:rsidRPr="002D2560" w:rsidRDefault="00047CE3" w:rsidP="008F44BA">
            <w:pPr>
              <w:spacing w:before="80" w:after="80" w:line="240" w:lineRule="auto"/>
              <w:jc w:val="center"/>
              <w:rPr>
                <w:sz w:val="16"/>
                <w:szCs w:val="16"/>
                <w:lang w:val="en-AU"/>
              </w:rPr>
            </w:pPr>
            <w:r w:rsidRPr="002D2560">
              <w:rPr>
                <w:sz w:val="16"/>
                <w:szCs w:val="16"/>
                <w:lang w:val="en-AU"/>
              </w:rPr>
              <w:t>N/A</w:t>
            </w:r>
          </w:p>
        </w:tc>
        <w:tc>
          <w:tcPr>
            <w:tcW w:w="1614" w:type="dxa"/>
            <w:vAlign w:val="center"/>
          </w:tcPr>
          <w:p w14:paraId="189A6FA2" w14:textId="5F3A0CDE" w:rsidR="00047CE3" w:rsidRPr="002D2560" w:rsidRDefault="00047CE3" w:rsidP="008F44BA">
            <w:pPr>
              <w:spacing w:before="80" w:after="80" w:line="240" w:lineRule="auto"/>
              <w:rPr>
                <w:sz w:val="16"/>
                <w:szCs w:val="16"/>
                <w:lang w:val="en-AU"/>
              </w:rPr>
            </w:pPr>
            <w:r w:rsidRPr="002D2560">
              <w:rPr>
                <w:sz w:val="16"/>
                <w:szCs w:val="16"/>
                <w:lang w:val="en-AU"/>
              </w:rPr>
              <w:t xml:space="preserve">Supplementary file to identify activity in the ABF data sets eligible for alternative funding arrangement under the </w:t>
            </w:r>
            <w:r w:rsidR="006D0BA2" w:rsidRPr="002D2560">
              <w:rPr>
                <w:sz w:val="16"/>
                <w:szCs w:val="16"/>
                <w:lang w:val="en-AU"/>
              </w:rPr>
              <w:t>NHRA or NPA</w:t>
            </w:r>
            <w:r w:rsidRPr="002D2560">
              <w:rPr>
                <w:sz w:val="16"/>
                <w:szCs w:val="16"/>
                <w:lang w:val="en-AU"/>
              </w:rPr>
              <w:t>.</w:t>
            </w:r>
          </w:p>
        </w:tc>
        <w:tc>
          <w:tcPr>
            <w:tcW w:w="1568" w:type="dxa"/>
            <w:vAlign w:val="center"/>
          </w:tcPr>
          <w:p w14:paraId="77B95CAF" w14:textId="5F47E401" w:rsidR="00047CE3" w:rsidRPr="002D2560" w:rsidRDefault="00047CE3" w:rsidP="008F44BA">
            <w:pPr>
              <w:spacing w:before="80" w:after="80" w:line="240" w:lineRule="auto"/>
              <w:jc w:val="center"/>
              <w:rPr>
                <w:sz w:val="16"/>
                <w:szCs w:val="16"/>
                <w:lang w:val="en-AU"/>
              </w:rPr>
            </w:pPr>
            <w:r w:rsidRPr="002D2560">
              <w:rPr>
                <w:sz w:val="16"/>
                <w:szCs w:val="16"/>
                <w:lang w:val="en-AU"/>
              </w:rPr>
              <w:t>N/A</w:t>
            </w:r>
          </w:p>
        </w:tc>
        <w:tc>
          <w:tcPr>
            <w:tcW w:w="1614" w:type="dxa"/>
            <w:vAlign w:val="center"/>
          </w:tcPr>
          <w:p w14:paraId="1D25A6AE" w14:textId="510C8E0B" w:rsidR="00047CE3" w:rsidRPr="002D2560" w:rsidRDefault="00047CE3" w:rsidP="008F44BA">
            <w:pPr>
              <w:spacing w:before="80" w:after="80" w:line="240" w:lineRule="auto"/>
              <w:rPr>
                <w:sz w:val="16"/>
                <w:szCs w:val="16"/>
                <w:lang w:val="en-AU"/>
              </w:rPr>
            </w:pPr>
            <w:r w:rsidRPr="002D2560">
              <w:rPr>
                <w:sz w:val="16"/>
                <w:szCs w:val="16"/>
                <w:lang w:val="en-AU"/>
              </w:rPr>
              <w:t xml:space="preserve">Supplementary file to identify activity in the ABF data sets eligible for alternative funding arrangement under the </w:t>
            </w:r>
            <w:r w:rsidR="006D0BA2" w:rsidRPr="002D2560">
              <w:rPr>
                <w:sz w:val="16"/>
                <w:szCs w:val="16"/>
                <w:lang w:val="en-AU"/>
              </w:rPr>
              <w:t>NHRA or NPA</w:t>
            </w:r>
            <w:r w:rsidRPr="002D2560">
              <w:rPr>
                <w:sz w:val="16"/>
                <w:szCs w:val="16"/>
                <w:lang w:val="en-AU"/>
              </w:rPr>
              <w:t>.</w:t>
            </w:r>
          </w:p>
        </w:tc>
        <w:tc>
          <w:tcPr>
            <w:tcW w:w="1568" w:type="dxa"/>
            <w:vAlign w:val="center"/>
          </w:tcPr>
          <w:p w14:paraId="4878137D" w14:textId="5CB8D35F" w:rsidR="00047CE3" w:rsidRPr="002D2560" w:rsidRDefault="00047CE3" w:rsidP="008F44BA">
            <w:pPr>
              <w:spacing w:before="80" w:after="80" w:line="240" w:lineRule="auto"/>
              <w:jc w:val="center"/>
              <w:rPr>
                <w:sz w:val="16"/>
                <w:szCs w:val="16"/>
                <w:lang w:val="en-AU"/>
              </w:rPr>
            </w:pPr>
            <w:r w:rsidRPr="002D2560">
              <w:rPr>
                <w:sz w:val="16"/>
                <w:szCs w:val="16"/>
                <w:lang w:val="en-AU"/>
              </w:rPr>
              <w:t>N/A</w:t>
            </w:r>
          </w:p>
        </w:tc>
      </w:tr>
      <w:tr w:rsidR="00047CE3" w:rsidRPr="002D2560" w14:paraId="7D6B7E33" w14:textId="77777777" w:rsidTr="008F44BA">
        <w:tc>
          <w:tcPr>
            <w:tcW w:w="1269" w:type="dxa"/>
          </w:tcPr>
          <w:p w14:paraId="19817C73" w14:textId="48AB0557" w:rsidR="00047CE3" w:rsidRPr="002D2560" w:rsidRDefault="00047CE3" w:rsidP="008F44BA">
            <w:pPr>
              <w:spacing w:before="80" w:after="80" w:line="240" w:lineRule="auto"/>
              <w:rPr>
                <w:sz w:val="16"/>
                <w:szCs w:val="16"/>
                <w:lang w:val="en-AU"/>
              </w:rPr>
            </w:pPr>
            <w:r w:rsidRPr="002D2560">
              <w:rPr>
                <w:sz w:val="16"/>
                <w:szCs w:val="16"/>
                <w:lang w:val="en-AU"/>
              </w:rPr>
              <w:t>Individual Healthcare Identifier (IHI)</w:t>
            </w:r>
          </w:p>
        </w:tc>
        <w:tc>
          <w:tcPr>
            <w:tcW w:w="853" w:type="dxa"/>
            <w:vAlign w:val="center"/>
          </w:tcPr>
          <w:p w14:paraId="17900200" w14:textId="1075211C" w:rsidR="00047CE3" w:rsidRPr="002D2560" w:rsidRDefault="00047CE3"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992" w:type="dxa"/>
            <w:vAlign w:val="center"/>
          </w:tcPr>
          <w:p w14:paraId="0AA972A6" w14:textId="7883F41A" w:rsidR="00047CE3" w:rsidRPr="002D2560" w:rsidRDefault="00047CE3"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288" w:type="dxa"/>
            <w:vAlign w:val="center"/>
          </w:tcPr>
          <w:p w14:paraId="21A00A12" w14:textId="79388DD7" w:rsidR="00047CE3" w:rsidRPr="002D2560" w:rsidRDefault="00047CE3" w:rsidP="008F44BA">
            <w:pPr>
              <w:spacing w:before="80" w:after="80" w:line="240" w:lineRule="auto"/>
              <w:jc w:val="center"/>
              <w:rPr>
                <w:sz w:val="16"/>
                <w:szCs w:val="16"/>
                <w:lang w:val="en-AU"/>
              </w:rPr>
            </w:pPr>
            <w:r w:rsidRPr="002D2560">
              <w:rPr>
                <w:rFonts w:ascii="Segoe UI Symbol" w:hAnsi="Segoe UI Symbol" w:cs="Segoe UI Symbol"/>
                <w:sz w:val="16"/>
                <w:szCs w:val="16"/>
                <w:lang w:val="en-AU"/>
              </w:rPr>
              <w:t>✓</w:t>
            </w:r>
          </w:p>
        </w:tc>
        <w:tc>
          <w:tcPr>
            <w:tcW w:w="1614" w:type="dxa"/>
            <w:vAlign w:val="center"/>
          </w:tcPr>
          <w:p w14:paraId="13AF1E1F" w14:textId="69B21D53" w:rsidR="00047CE3" w:rsidRPr="002D2560" w:rsidRDefault="00047CE3" w:rsidP="008F44BA">
            <w:pPr>
              <w:spacing w:before="80" w:after="80" w:line="240" w:lineRule="auto"/>
              <w:rPr>
                <w:sz w:val="16"/>
                <w:szCs w:val="16"/>
                <w:lang w:val="en-AU"/>
              </w:rPr>
            </w:pPr>
            <w:r w:rsidRPr="002D2560">
              <w:rPr>
                <w:sz w:val="16"/>
                <w:szCs w:val="16"/>
                <w:lang w:val="en-AU"/>
              </w:rPr>
              <w:t>IHI NBEDS</w:t>
            </w:r>
            <w:r w:rsidR="008F44BA" w:rsidRPr="002D2560">
              <w:rPr>
                <w:sz w:val="16"/>
                <w:szCs w:val="16"/>
                <w:lang w:val="en-AU"/>
              </w:rPr>
              <w:br/>
            </w:r>
            <w:r w:rsidR="00E04BDE" w:rsidRPr="002D2560">
              <w:rPr>
                <w:sz w:val="16"/>
                <w:szCs w:val="16"/>
                <w:lang w:val="en-AU"/>
              </w:rPr>
              <w:t>2023–24</w:t>
            </w:r>
          </w:p>
        </w:tc>
        <w:tc>
          <w:tcPr>
            <w:tcW w:w="1568" w:type="dxa"/>
            <w:vAlign w:val="center"/>
          </w:tcPr>
          <w:p w14:paraId="40234CF9" w14:textId="03CE1FDA" w:rsidR="00047CE3" w:rsidRPr="002D2560" w:rsidRDefault="00D94116" w:rsidP="008F44BA">
            <w:pPr>
              <w:spacing w:before="80" w:after="80" w:line="240" w:lineRule="auto"/>
              <w:jc w:val="center"/>
              <w:rPr>
                <w:sz w:val="16"/>
                <w:szCs w:val="16"/>
                <w:lang w:val="en-AU"/>
              </w:rPr>
            </w:pPr>
            <w:r w:rsidRPr="002D2560">
              <w:rPr>
                <w:sz w:val="16"/>
                <w:szCs w:val="16"/>
                <w:lang w:val="en-AU"/>
              </w:rPr>
              <w:t>N/A</w:t>
            </w:r>
          </w:p>
        </w:tc>
        <w:tc>
          <w:tcPr>
            <w:tcW w:w="1614" w:type="dxa"/>
            <w:vAlign w:val="center"/>
          </w:tcPr>
          <w:p w14:paraId="254CD1C3" w14:textId="711BF77B" w:rsidR="00047CE3" w:rsidRPr="002D2560" w:rsidRDefault="00D94116" w:rsidP="008F44BA">
            <w:pPr>
              <w:spacing w:before="80" w:after="80" w:line="240" w:lineRule="auto"/>
              <w:rPr>
                <w:sz w:val="16"/>
                <w:szCs w:val="16"/>
                <w:lang w:val="en-AU"/>
              </w:rPr>
            </w:pPr>
            <w:r w:rsidRPr="002D2560">
              <w:rPr>
                <w:sz w:val="16"/>
                <w:szCs w:val="16"/>
                <w:lang w:val="en-AU"/>
              </w:rPr>
              <w:t>IHI NBEDS</w:t>
            </w:r>
            <w:r w:rsidR="008F44BA" w:rsidRPr="002D2560">
              <w:rPr>
                <w:sz w:val="16"/>
                <w:szCs w:val="16"/>
                <w:lang w:val="en-AU"/>
              </w:rPr>
              <w:br/>
            </w:r>
            <w:r w:rsidR="00EE517D" w:rsidRPr="002D2560">
              <w:rPr>
                <w:sz w:val="16"/>
                <w:szCs w:val="16"/>
                <w:lang w:val="en-AU"/>
              </w:rPr>
              <w:t>2024–25</w:t>
            </w:r>
          </w:p>
        </w:tc>
        <w:tc>
          <w:tcPr>
            <w:tcW w:w="1568" w:type="dxa"/>
            <w:vAlign w:val="center"/>
          </w:tcPr>
          <w:p w14:paraId="0F17EF7F" w14:textId="6B7ED97F" w:rsidR="00047CE3" w:rsidRPr="002D2560" w:rsidRDefault="00D94116" w:rsidP="008F44BA">
            <w:pPr>
              <w:spacing w:before="80" w:after="80" w:line="240" w:lineRule="auto"/>
              <w:jc w:val="center"/>
              <w:rPr>
                <w:sz w:val="16"/>
                <w:szCs w:val="16"/>
                <w:lang w:val="en-AU"/>
              </w:rPr>
            </w:pPr>
            <w:r w:rsidRPr="002D2560">
              <w:rPr>
                <w:sz w:val="16"/>
                <w:szCs w:val="16"/>
                <w:lang w:val="en-AU"/>
              </w:rPr>
              <w:t>N/A</w:t>
            </w:r>
          </w:p>
        </w:tc>
        <w:tc>
          <w:tcPr>
            <w:tcW w:w="1614" w:type="dxa"/>
            <w:vAlign w:val="center"/>
          </w:tcPr>
          <w:p w14:paraId="244BA3D2" w14:textId="58F20CF6" w:rsidR="00047CE3" w:rsidRPr="002D2560" w:rsidRDefault="00D94116" w:rsidP="008F44BA">
            <w:pPr>
              <w:spacing w:before="80" w:after="80" w:line="240" w:lineRule="auto"/>
              <w:rPr>
                <w:sz w:val="16"/>
                <w:szCs w:val="16"/>
                <w:lang w:val="en-AU"/>
              </w:rPr>
            </w:pPr>
            <w:r w:rsidRPr="002D2560">
              <w:rPr>
                <w:sz w:val="16"/>
                <w:szCs w:val="16"/>
                <w:lang w:val="en-AU"/>
              </w:rPr>
              <w:t>IHI NBEDS</w:t>
            </w:r>
            <w:r w:rsidR="008F44BA" w:rsidRPr="002D2560">
              <w:rPr>
                <w:sz w:val="16"/>
                <w:szCs w:val="16"/>
                <w:lang w:val="en-AU"/>
              </w:rPr>
              <w:br/>
            </w:r>
            <w:r w:rsidR="00EE517D" w:rsidRPr="002D2560">
              <w:rPr>
                <w:sz w:val="16"/>
                <w:szCs w:val="16"/>
                <w:lang w:val="en-AU"/>
              </w:rPr>
              <w:t>2025–26</w:t>
            </w:r>
          </w:p>
        </w:tc>
        <w:tc>
          <w:tcPr>
            <w:tcW w:w="1568" w:type="dxa"/>
            <w:vAlign w:val="center"/>
          </w:tcPr>
          <w:p w14:paraId="04D86A1D" w14:textId="7F0AE30C" w:rsidR="00047CE3" w:rsidRPr="002D2560" w:rsidRDefault="00D94116" w:rsidP="008F44BA">
            <w:pPr>
              <w:spacing w:before="80" w:after="80" w:line="240" w:lineRule="auto"/>
              <w:jc w:val="center"/>
              <w:rPr>
                <w:sz w:val="16"/>
                <w:szCs w:val="16"/>
                <w:lang w:val="en-AU"/>
              </w:rPr>
            </w:pPr>
            <w:r w:rsidRPr="002D2560">
              <w:rPr>
                <w:sz w:val="16"/>
                <w:szCs w:val="16"/>
                <w:lang w:val="en-AU"/>
              </w:rPr>
              <w:t>N/A</w:t>
            </w:r>
          </w:p>
        </w:tc>
      </w:tr>
    </w:tbl>
    <w:p w14:paraId="79456209" w14:textId="77777777" w:rsidR="00107591" w:rsidRPr="002D2560" w:rsidRDefault="00107591" w:rsidP="00D94116">
      <w:pPr>
        <w:spacing w:before="160"/>
        <w:rPr>
          <w:b/>
          <w:bCs/>
          <w:lang w:val="en-AU"/>
        </w:rPr>
      </w:pPr>
      <w:r w:rsidRPr="002D2560">
        <w:rPr>
          <w:b/>
          <w:bCs/>
          <w:lang w:val="en-AU"/>
        </w:rPr>
        <w:br w:type="page"/>
      </w:r>
    </w:p>
    <w:p w14:paraId="2A9B3A5A" w14:textId="2DA6F658" w:rsidR="00D94116" w:rsidRPr="002D2560" w:rsidRDefault="00D94116" w:rsidP="00D94116">
      <w:pPr>
        <w:spacing w:before="160"/>
        <w:rPr>
          <w:lang w:val="en-AU"/>
        </w:rPr>
      </w:pPr>
      <w:r w:rsidRPr="002D2560">
        <w:rPr>
          <w:b/>
          <w:bCs/>
          <w:lang w:val="en-AU"/>
        </w:rPr>
        <w:lastRenderedPageBreak/>
        <w:t>Table A2</w:t>
      </w:r>
      <w:r w:rsidRPr="002D2560">
        <w:rPr>
          <w:lang w:val="en-AU"/>
        </w:rPr>
        <w:t xml:space="preserve"> details other data collections utilised by these two national agencies.</w:t>
      </w:r>
    </w:p>
    <w:p w14:paraId="2AAE97E6" w14:textId="7F19BB5D" w:rsidR="00CA1505" w:rsidRPr="002D2560" w:rsidRDefault="00D94116" w:rsidP="00D94116">
      <w:pPr>
        <w:rPr>
          <w:b/>
          <w:bCs/>
          <w:lang w:val="en-AU"/>
        </w:rPr>
      </w:pPr>
      <w:r w:rsidRPr="002D2560">
        <w:rPr>
          <w:b/>
          <w:bCs/>
          <w:lang w:val="en-AU"/>
        </w:rPr>
        <w:t>Table A2</w:t>
      </w:r>
      <w:r w:rsidR="005E330F" w:rsidRPr="002D2560">
        <w:rPr>
          <w:b/>
          <w:bCs/>
          <w:lang w:val="en-AU"/>
        </w:rPr>
        <w:t>.</w:t>
      </w:r>
      <w:r w:rsidRPr="002D2560">
        <w:rPr>
          <w:b/>
          <w:bCs/>
          <w:lang w:val="en-AU"/>
        </w:rPr>
        <w:t xml:space="preserve"> Other data collections utilised by the national bodies</w:t>
      </w:r>
    </w:p>
    <w:tbl>
      <w:tblPr>
        <w:tblStyle w:val="TableGrid"/>
        <w:tblW w:w="0" w:type="auto"/>
        <w:tblLook w:val="04A0" w:firstRow="1" w:lastRow="0" w:firstColumn="1" w:lastColumn="0" w:noHBand="0" w:noVBand="1"/>
      </w:tblPr>
      <w:tblGrid>
        <w:gridCol w:w="1301"/>
        <w:gridCol w:w="662"/>
        <w:gridCol w:w="842"/>
        <w:gridCol w:w="1274"/>
        <w:gridCol w:w="2607"/>
        <w:gridCol w:w="2608"/>
        <w:gridCol w:w="2608"/>
        <w:gridCol w:w="2046"/>
      </w:tblGrid>
      <w:tr w:rsidR="00710113" w:rsidRPr="002D2560" w14:paraId="5F1A458A" w14:textId="206A59E2" w:rsidTr="002D2560">
        <w:trPr>
          <w:tblHeader/>
        </w:trPr>
        <w:tc>
          <w:tcPr>
            <w:tcW w:w="1301" w:type="dxa"/>
            <w:vMerge w:val="restart"/>
            <w:shd w:val="clear" w:color="auto" w:fill="104F99" w:themeFill="accent2"/>
          </w:tcPr>
          <w:p w14:paraId="43A3B0A4" w14:textId="77777777" w:rsidR="00710113" w:rsidRPr="002D2560" w:rsidRDefault="00710113" w:rsidP="00265BEB">
            <w:pPr>
              <w:spacing w:before="60" w:after="60" w:line="240" w:lineRule="auto"/>
              <w:rPr>
                <w:b/>
                <w:bCs/>
                <w:color w:val="FFFFFF" w:themeColor="background2"/>
                <w:sz w:val="16"/>
                <w:szCs w:val="16"/>
                <w:lang w:val="en-AU"/>
              </w:rPr>
            </w:pPr>
          </w:p>
        </w:tc>
        <w:tc>
          <w:tcPr>
            <w:tcW w:w="2778" w:type="dxa"/>
            <w:gridSpan w:val="3"/>
            <w:shd w:val="clear" w:color="auto" w:fill="104F99" w:themeFill="accent2"/>
            <w:vAlign w:val="center"/>
          </w:tcPr>
          <w:p w14:paraId="79BC5E63" w14:textId="77777777" w:rsidR="00710113" w:rsidRPr="002D2560" w:rsidRDefault="00710113"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National agencies</w:t>
            </w:r>
          </w:p>
        </w:tc>
        <w:tc>
          <w:tcPr>
            <w:tcW w:w="7823" w:type="dxa"/>
            <w:gridSpan w:val="3"/>
            <w:shd w:val="clear" w:color="auto" w:fill="104F99" w:themeFill="accent2"/>
            <w:vAlign w:val="center"/>
          </w:tcPr>
          <w:p w14:paraId="4A7E01DD" w14:textId="77777777" w:rsidR="00710113" w:rsidRPr="002D2560" w:rsidRDefault="00710113"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Year of data collection</w:t>
            </w:r>
          </w:p>
        </w:tc>
        <w:tc>
          <w:tcPr>
            <w:tcW w:w="2046" w:type="dxa"/>
            <w:vMerge w:val="restart"/>
            <w:shd w:val="clear" w:color="auto" w:fill="104F99" w:themeFill="accent2"/>
            <w:vAlign w:val="center"/>
          </w:tcPr>
          <w:p w14:paraId="2B06FE8E" w14:textId="30D7EEAA" w:rsidR="00710113" w:rsidRPr="002D2560" w:rsidRDefault="002D2560" w:rsidP="002D2560">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Data source</w:t>
            </w:r>
          </w:p>
        </w:tc>
      </w:tr>
      <w:tr w:rsidR="00710113" w:rsidRPr="002D2560" w14:paraId="7AA18906" w14:textId="4660640E" w:rsidTr="002B25B9">
        <w:trPr>
          <w:tblHeader/>
        </w:trPr>
        <w:tc>
          <w:tcPr>
            <w:tcW w:w="1301" w:type="dxa"/>
            <w:vMerge/>
            <w:shd w:val="clear" w:color="auto" w:fill="104F99" w:themeFill="accent2"/>
          </w:tcPr>
          <w:p w14:paraId="0DEA9933" w14:textId="77777777" w:rsidR="00710113" w:rsidRPr="002D2560" w:rsidRDefault="00710113" w:rsidP="00265BEB">
            <w:pPr>
              <w:spacing w:before="60" w:after="60" w:line="240" w:lineRule="auto"/>
              <w:rPr>
                <w:b/>
                <w:bCs/>
                <w:sz w:val="16"/>
                <w:szCs w:val="16"/>
                <w:lang w:val="en-AU"/>
              </w:rPr>
            </w:pPr>
          </w:p>
        </w:tc>
        <w:tc>
          <w:tcPr>
            <w:tcW w:w="1504" w:type="dxa"/>
            <w:gridSpan w:val="2"/>
            <w:shd w:val="clear" w:color="auto" w:fill="104F99" w:themeFill="accent2"/>
            <w:vAlign w:val="center"/>
          </w:tcPr>
          <w:p w14:paraId="7C03F9BD" w14:textId="10F9FD25" w:rsidR="00710113" w:rsidRPr="002D2560" w:rsidRDefault="00710113"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IHACPA</w:t>
            </w:r>
          </w:p>
        </w:tc>
        <w:tc>
          <w:tcPr>
            <w:tcW w:w="1274" w:type="dxa"/>
            <w:vMerge w:val="restart"/>
            <w:shd w:val="clear" w:color="auto" w:fill="104F99" w:themeFill="accent2"/>
            <w:vAlign w:val="center"/>
          </w:tcPr>
          <w:p w14:paraId="3F90BB0D" w14:textId="58E82D21" w:rsidR="00710113" w:rsidRPr="002D2560" w:rsidRDefault="00710113"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Administrator</w:t>
            </w:r>
          </w:p>
        </w:tc>
        <w:tc>
          <w:tcPr>
            <w:tcW w:w="2607" w:type="dxa"/>
            <w:shd w:val="clear" w:color="auto" w:fill="104F99" w:themeFill="accent2"/>
            <w:vAlign w:val="center"/>
          </w:tcPr>
          <w:p w14:paraId="2E64B113" w14:textId="5E183D2D" w:rsidR="00710113" w:rsidRPr="002D2560" w:rsidRDefault="00710113"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2023–24</w:t>
            </w:r>
          </w:p>
        </w:tc>
        <w:tc>
          <w:tcPr>
            <w:tcW w:w="2608" w:type="dxa"/>
            <w:shd w:val="clear" w:color="auto" w:fill="104F99" w:themeFill="accent2"/>
            <w:vAlign w:val="center"/>
          </w:tcPr>
          <w:p w14:paraId="67E9E716" w14:textId="62EFE0A8" w:rsidR="00710113" w:rsidRPr="002D2560" w:rsidRDefault="00710113"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2024–25</w:t>
            </w:r>
          </w:p>
        </w:tc>
        <w:tc>
          <w:tcPr>
            <w:tcW w:w="2608" w:type="dxa"/>
            <w:shd w:val="clear" w:color="auto" w:fill="104F99" w:themeFill="accent2"/>
            <w:vAlign w:val="center"/>
          </w:tcPr>
          <w:p w14:paraId="1353383F" w14:textId="278A69CB" w:rsidR="00710113" w:rsidRPr="002D2560" w:rsidRDefault="00710113" w:rsidP="00B33F98">
            <w:pPr>
              <w:spacing w:before="60" w:after="60" w:line="240" w:lineRule="auto"/>
              <w:jc w:val="center"/>
              <w:rPr>
                <w:b/>
                <w:bCs/>
                <w:color w:val="FFFFFF" w:themeColor="background2"/>
                <w:sz w:val="16"/>
                <w:szCs w:val="16"/>
                <w:lang w:val="en-AU"/>
              </w:rPr>
            </w:pPr>
            <w:r w:rsidRPr="002D2560">
              <w:rPr>
                <w:b/>
                <w:bCs/>
                <w:color w:val="FFFFFF" w:themeColor="background2"/>
                <w:sz w:val="16"/>
                <w:szCs w:val="16"/>
                <w:lang w:val="en-AU"/>
              </w:rPr>
              <w:t>2025–26</w:t>
            </w:r>
          </w:p>
        </w:tc>
        <w:tc>
          <w:tcPr>
            <w:tcW w:w="2046" w:type="dxa"/>
            <w:vMerge/>
            <w:shd w:val="clear" w:color="auto" w:fill="104F99" w:themeFill="accent2"/>
          </w:tcPr>
          <w:p w14:paraId="7AEB3816" w14:textId="77777777" w:rsidR="00710113" w:rsidRPr="002D2560" w:rsidRDefault="00710113" w:rsidP="00B33F98">
            <w:pPr>
              <w:spacing w:before="60" w:after="60" w:line="240" w:lineRule="auto"/>
              <w:jc w:val="center"/>
              <w:rPr>
                <w:b/>
                <w:bCs/>
                <w:color w:val="FFFFFF" w:themeColor="background2"/>
                <w:sz w:val="16"/>
                <w:szCs w:val="16"/>
                <w:lang w:val="en-AU"/>
              </w:rPr>
            </w:pPr>
          </w:p>
        </w:tc>
      </w:tr>
      <w:tr w:rsidR="00710113" w:rsidRPr="002D2560" w14:paraId="602D7950" w14:textId="2CD39D61" w:rsidTr="002B25B9">
        <w:trPr>
          <w:tblHeader/>
        </w:trPr>
        <w:tc>
          <w:tcPr>
            <w:tcW w:w="1301" w:type="dxa"/>
            <w:shd w:val="clear" w:color="auto" w:fill="D9D9D9" w:themeFill="background2" w:themeFillShade="D9"/>
            <w:vAlign w:val="center"/>
          </w:tcPr>
          <w:p w14:paraId="2212979A" w14:textId="2D447009" w:rsidR="00710113" w:rsidRPr="002D2560" w:rsidRDefault="00710113" w:rsidP="00B33F98">
            <w:pPr>
              <w:spacing w:before="60" w:after="60" w:line="240" w:lineRule="auto"/>
              <w:jc w:val="center"/>
              <w:rPr>
                <w:b/>
                <w:bCs/>
                <w:sz w:val="16"/>
                <w:szCs w:val="16"/>
                <w:lang w:val="en-AU"/>
              </w:rPr>
            </w:pPr>
            <w:r w:rsidRPr="002D2560">
              <w:rPr>
                <w:b/>
                <w:bCs/>
                <w:sz w:val="16"/>
                <w:szCs w:val="16"/>
                <w:lang w:val="en-AU"/>
              </w:rPr>
              <w:t>Category</w:t>
            </w:r>
          </w:p>
        </w:tc>
        <w:tc>
          <w:tcPr>
            <w:tcW w:w="662" w:type="dxa"/>
            <w:shd w:val="clear" w:color="auto" w:fill="D9D9D9" w:themeFill="background2" w:themeFillShade="D9"/>
            <w:vAlign w:val="center"/>
          </w:tcPr>
          <w:p w14:paraId="3E4EC27E" w14:textId="77777777" w:rsidR="00710113" w:rsidRPr="002D2560" w:rsidRDefault="00710113" w:rsidP="00B33F98">
            <w:pPr>
              <w:spacing w:before="60" w:after="60" w:line="240" w:lineRule="auto"/>
              <w:jc w:val="center"/>
              <w:rPr>
                <w:b/>
                <w:bCs/>
                <w:sz w:val="16"/>
                <w:szCs w:val="16"/>
                <w:lang w:val="en-AU"/>
              </w:rPr>
            </w:pPr>
            <w:r w:rsidRPr="002D2560">
              <w:rPr>
                <w:b/>
                <w:bCs/>
                <w:sz w:val="16"/>
                <w:szCs w:val="16"/>
                <w:lang w:val="en-AU"/>
              </w:rPr>
              <w:t>ABF</w:t>
            </w:r>
          </w:p>
        </w:tc>
        <w:tc>
          <w:tcPr>
            <w:tcW w:w="842" w:type="dxa"/>
            <w:shd w:val="clear" w:color="auto" w:fill="D9D9D9" w:themeFill="background2" w:themeFillShade="D9"/>
            <w:vAlign w:val="center"/>
          </w:tcPr>
          <w:p w14:paraId="6E88238D" w14:textId="77777777" w:rsidR="00710113" w:rsidRPr="002D2560" w:rsidRDefault="00710113" w:rsidP="00B33F98">
            <w:pPr>
              <w:spacing w:before="60" w:after="60" w:line="240" w:lineRule="auto"/>
              <w:jc w:val="center"/>
              <w:rPr>
                <w:b/>
                <w:bCs/>
                <w:sz w:val="16"/>
                <w:szCs w:val="16"/>
                <w:lang w:val="en-AU"/>
              </w:rPr>
            </w:pPr>
            <w:r w:rsidRPr="002D2560">
              <w:rPr>
                <w:b/>
                <w:bCs/>
                <w:sz w:val="16"/>
                <w:szCs w:val="16"/>
                <w:lang w:val="en-AU"/>
              </w:rPr>
              <w:t>Block-funded</w:t>
            </w:r>
          </w:p>
        </w:tc>
        <w:tc>
          <w:tcPr>
            <w:tcW w:w="1274" w:type="dxa"/>
            <w:vMerge/>
          </w:tcPr>
          <w:p w14:paraId="77C8D8DF" w14:textId="77777777" w:rsidR="00710113" w:rsidRPr="002D2560" w:rsidRDefault="00710113" w:rsidP="00265BEB">
            <w:pPr>
              <w:spacing w:before="60" w:after="60" w:line="240" w:lineRule="auto"/>
              <w:rPr>
                <w:b/>
                <w:bCs/>
                <w:sz w:val="16"/>
                <w:szCs w:val="16"/>
                <w:lang w:val="en-AU"/>
              </w:rPr>
            </w:pPr>
          </w:p>
        </w:tc>
        <w:tc>
          <w:tcPr>
            <w:tcW w:w="2607" w:type="dxa"/>
            <w:shd w:val="clear" w:color="auto" w:fill="D9D9D9" w:themeFill="background2" w:themeFillShade="D9"/>
            <w:vAlign w:val="center"/>
          </w:tcPr>
          <w:p w14:paraId="5A4B4EBF" w14:textId="2C736237" w:rsidR="00710113" w:rsidRPr="002D2560" w:rsidRDefault="00710113" w:rsidP="00B33F98">
            <w:pPr>
              <w:spacing w:before="60" w:after="60" w:line="240" w:lineRule="auto"/>
              <w:jc w:val="center"/>
              <w:rPr>
                <w:b/>
                <w:bCs/>
                <w:sz w:val="16"/>
                <w:szCs w:val="16"/>
                <w:lang w:val="en-AU"/>
              </w:rPr>
            </w:pPr>
            <w:r w:rsidRPr="002D2560">
              <w:rPr>
                <w:b/>
                <w:bCs/>
                <w:sz w:val="16"/>
                <w:szCs w:val="16"/>
                <w:lang w:val="en-AU"/>
              </w:rPr>
              <w:t>Data collection</w:t>
            </w:r>
          </w:p>
        </w:tc>
        <w:tc>
          <w:tcPr>
            <w:tcW w:w="2608" w:type="dxa"/>
            <w:shd w:val="clear" w:color="auto" w:fill="D9D9D9" w:themeFill="background2" w:themeFillShade="D9"/>
            <w:vAlign w:val="center"/>
          </w:tcPr>
          <w:p w14:paraId="4FDB80DD" w14:textId="7951DE7D" w:rsidR="00710113" w:rsidRPr="002D2560" w:rsidRDefault="00710113" w:rsidP="00B33F98">
            <w:pPr>
              <w:spacing w:before="60" w:after="60" w:line="240" w:lineRule="auto"/>
              <w:jc w:val="center"/>
              <w:rPr>
                <w:b/>
                <w:bCs/>
                <w:sz w:val="16"/>
                <w:szCs w:val="16"/>
                <w:lang w:val="en-AU"/>
              </w:rPr>
            </w:pPr>
            <w:r w:rsidRPr="002D2560">
              <w:rPr>
                <w:b/>
                <w:bCs/>
                <w:sz w:val="16"/>
                <w:szCs w:val="16"/>
                <w:lang w:val="en-AU"/>
              </w:rPr>
              <w:t>Data collection</w:t>
            </w:r>
          </w:p>
        </w:tc>
        <w:tc>
          <w:tcPr>
            <w:tcW w:w="2608" w:type="dxa"/>
            <w:shd w:val="clear" w:color="auto" w:fill="D9D9D9" w:themeFill="background2" w:themeFillShade="D9"/>
            <w:vAlign w:val="center"/>
          </w:tcPr>
          <w:p w14:paraId="0FB9A64C" w14:textId="67A8A098" w:rsidR="00710113" w:rsidRPr="002D2560" w:rsidRDefault="00710113" w:rsidP="00B33F98">
            <w:pPr>
              <w:spacing w:before="60" w:after="60" w:line="240" w:lineRule="auto"/>
              <w:jc w:val="center"/>
              <w:rPr>
                <w:b/>
                <w:bCs/>
                <w:sz w:val="16"/>
                <w:szCs w:val="16"/>
                <w:lang w:val="en-AU"/>
              </w:rPr>
            </w:pPr>
            <w:r w:rsidRPr="002D2560">
              <w:rPr>
                <w:b/>
                <w:bCs/>
                <w:sz w:val="16"/>
                <w:szCs w:val="16"/>
                <w:lang w:val="en-AU"/>
              </w:rPr>
              <w:t>Data collection</w:t>
            </w:r>
          </w:p>
        </w:tc>
        <w:tc>
          <w:tcPr>
            <w:tcW w:w="2046" w:type="dxa"/>
            <w:vMerge/>
            <w:shd w:val="clear" w:color="auto" w:fill="D9D9D9" w:themeFill="background2" w:themeFillShade="D9"/>
          </w:tcPr>
          <w:p w14:paraId="4D494F9B" w14:textId="77777777" w:rsidR="00710113" w:rsidRPr="002D2560" w:rsidRDefault="00710113" w:rsidP="00B33F98">
            <w:pPr>
              <w:spacing w:before="60" w:after="60" w:line="240" w:lineRule="auto"/>
              <w:jc w:val="center"/>
              <w:rPr>
                <w:b/>
                <w:bCs/>
                <w:sz w:val="16"/>
                <w:szCs w:val="16"/>
                <w:lang w:val="en-AU"/>
              </w:rPr>
            </w:pPr>
          </w:p>
        </w:tc>
      </w:tr>
      <w:tr w:rsidR="00710113" w:rsidRPr="002D2560" w14:paraId="0A1DA24B" w14:textId="107FBE16" w:rsidTr="00710113">
        <w:tc>
          <w:tcPr>
            <w:tcW w:w="1301" w:type="dxa"/>
          </w:tcPr>
          <w:p w14:paraId="4B93EBBF" w14:textId="24F31935" w:rsidR="00710113" w:rsidRPr="002D2560" w:rsidRDefault="00710113" w:rsidP="00265BEB">
            <w:pPr>
              <w:spacing w:before="60" w:after="60" w:line="240" w:lineRule="auto"/>
              <w:rPr>
                <w:sz w:val="16"/>
                <w:szCs w:val="16"/>
                <w:lang w:val="en-AU"/>
              </w:rPr>
            </w:pPr>
            <w:r w:rsidRPr="002D2560">
              <w:rPr>
                <w:sz w:val="16"/>
                <w:szCs w:val="16"/>
                <w:lang w:val="en-AU"/>
              </w:rPr>
              <w:t>In-scope pharmaceutical program payments</w:t>
            </w:r>
          </w:p>
        </w:tc>
        <w:tc>
          <w:tcPr>
            <w:tcW w:w="662" w:type="dxa"/>
            <w:vAlign w:val="center"/>
          </w:tcPr>
          <w:p w14:paraId="04C7D7A1" w14:textId="77777777" w:rsidR="00710113" w:rsidRPr="002D2560" w:rsidRDefault="00710113" w:rsidP="00B33F98">
            <w:pPr>
              <w:spacing w:before="60" w:after="60" w:line="240" w:lineRule="auto"/>
              <w:jc w:val="center"/>
              <w:rPr>
                <w:sz w:val="16"/>
                <w:szCs w:val="16"/>
                <w:lang w:val="en-AU"/>
              </w:rPr>
            </w:pPr>
            <w:r w:rsidRPr="002D2560">
              <w:rPr>
                <w:rFonts w:ascii="Segoe UI Symbol" w:hAnsi="Segoe UI Symbol" w:cs="Segoe UI Symbol"/>
                <w:sz w:val="16"/>
                <w:szCs w:val="16"/>
                <w:lang w:val="en-AU"/>
              </w:rPr>
              <w:t>✓</w:t>
            </w:r>
          </w:p>
        </w:tc>
        <w:tc>
          <w:tcPr>
            <w:tcW w:w="842" w:type="dxa"/>
            <w:vAlign w:val="center"/>
          </w:tcPr>
          <w:p w14:paraId="01A7FBC8" w14:textId="77777777" w:rsidR="00710113" w:rsidRPr="002D2560" w:rsidRDefault="00710113" w:rsidP="00B33F98">
            <w:pPr>
              <w:spacing w:before="60" w:after="60" w:line="240" w:lineRule="auto"/>
              <w:jc w:val="center"/>
              <w:rPr>
                <w:sz w:val="16"/>
                <w:szCs w:val="16"/>
                <w:lang w:val="en-AU"/>
              </w:rPr>
            </w:pPr>
            <w:r w:rsidRPr="002D2560">
              <w:rPr>
                <w:rFonts w:ascii="Segoe UI Symbol" w:hAnsi="Segoe UI Symbol" w:cs="Segoe UI Symbol"/>
                <w:sz w:val="16"/>
                <w:szCs w:val="16"/>
                <w:lang w:val="en-AU"/>
              </w:rPr>
              <w:t>✓</w:t>
            </w:r>
          </w:p>
        </w:tc>
        <w:tc>
          <w:tcPr>
            <w:tcW w:w="1274" w:type="dxa"/>
            <w:vAlign w:val="center"/>
          </w:tcPr>
          <w:p w14:paraId="2472D54A" w14:textId="77777777" w:rsidR="00710113" w:rsidRPr="002D2560" w:rsidRDefault="00710113" w:rsidP="00B33F98">
            <w:pPr>
              <w:spacing w:before="60" w:after="60" w:line="240" w:lineRule="auto"/>
              <w:jc w:val="center"/>
              <w:rPr>
                <w:sz w:val="16"/>
                <w:szCs w:val="16"/>
                <w:lang w:val="en-AU"/>
              </w:rPr>
            </w:pPr>
            <w:r w:rsidRPr="002D2560">
              <w:rPr>
                <w:rFonts w:ascii="Segoe UI Symbol" w:hAnsi="Segoe UI Symbol" w:cs="Segoe UI Symbol"/>
                <w:sz w:val="16"/>
                <w:szCs w:val="16"/>
                <w:lang w:val="en-AU"/>
              </w:rPr>
              <w:t>✓</w:t>
            </w:r>
          </w:p>
        </w:tc>
        <w:tc>
          <w:tcPr>
            <w:tcW w:w="2607" w:type="dxa"/>
          </w:tcPr>
          <w:p w14:paraId="3887ADA2" w14:textId="30980FAC" w:rsidR="00710113" w:rsidRPr="002D2560" w:rsidRDefault="00710113" w:rsidP="00D94116">
            <w:pPr>
              <w:spacing w:before="60" w:after="60" w:line="240" w:lineRule="auto"/>
              <w:rPr>
                <w:sz w:val="16"/>
                <w:szCs w:val="16"/>
                <w:lang w:val="en-AU"/>
              </w:rPr>
            </w:pPr>
            <w:r w:rsidRPr="002D2560">
              <w:rPr>
                <w:sz w:val="16"/>
                <w:szCs w:val="16"/>
                <w:lang w:val="en-AU"/>
              </w:rPr>
              <w:t>Commonwealth in-scope patient-level pharmaceutical program payments data</w:t>
            </w:r>
          </w:p>
        </w:tc>
        <w:tc>
          <w:tcPr>
            <w:tcW w:w="2608" w:type="dxa"/>
          </w:tcPr>
          <w:p w14:paraId="35608ED3" w14:textId="4C614AF7" w:rsidR="00710113" w:rsidRPr="002D2560" w:rsidRDefault="00710113" w:rsidP="00D94116">
            <w:pPr>
              <w:spacing w:before="60" w:after="60" w:line="240" w:lineRule="auto"/>
              <w:rPr>
                <w:sz w:val="16"/>
                <w:szCs w:val="16"/>
                <w:lang w:val="en-AU"/>
              </w:rPr>
            </w:pPr>
            <w:r w:rsidRPr="002D2560">
              <w:rPr>
                <w:sz w:val="16"/>
                <w:szCs w:val="16"/>
                <w:lang w:val="en-AU"/>
              </w:rPr>
              <w:t>Commonwealth in-scope patient-level pharmaceutical program payments data</w:t>
            </w:r>
          </w:p>
        </w:tc>
        <w:tc>
          <w:tcPr>
            <w:tcW w:w="2608" w:type="dxa"/>
          </w:tcPr>
          <w:p w14:paraId="16AD1C26" w14:textId="6712BEB0" w:rsidR="00710113" w:rsidRPr="002D2560" w:rsidRDefault="00710113" w:rsidP="00D94116">
            <w:pPr>
              <w:spacing w:before="60" w:after="60" w:line="240" w:lineRule="auto"/>
              <w:rPr>
                <w:sz w:val="16"/>
                <w:szCs w:val="16"/>
                <w:lang w:val="en-AU"/>
              </w:rPr>
            </w:pPr>
            <w:r w:rsidRPr="002D2560">
              <w:rPr>
                <w:sz w:val="16"/>
                <w:szCs w:val="16"/>
                <w:lang w:val="en-AU"/>
              </w:rPr>
              <w:t>Commonwealth in-scope patient-level pharmaceutical program payments data</w:t>
            </w:r>
          </w:p>
        </w:tc>
        <w:tc>
          <w:tcPr>
            <w:tcW w:w="2046" w:type="dxa"/>
          </w:tcPr>
          <w:p w14:paraId="0FABFE21" w14:textId="3BF98CB1" w:rsidR="00710113" w:rsidRPr="002D2560" w:rsidRDefault="002D2560" w:rsidP="00D94116">
            <w:pPr>
              <w:spacing w:before="60" w:after="60" w:line="240" w:lineRule="auto"/>
              <w:rPr>
                <w:sz w:val="16"/>
                <w:szCs w:val="16"/>
                <w:lang w:val="en-AU"/>
              </w:rPr>
            </w:pPr>
            <w:r w:rsidRPr="002D2560">
              <w:rPr>
                <w:sz w:val="16"/>
                <w:szCs w:val="16"/>
                <w:lang w:val="en-AU"/>
              </w:rPr>
              <w:t>Provided to IHACPA by the Department of Health and Aged Care</w:t>
            </w:r>
          </w:p>
        </w:tc>
      </w:tr>
      <w:tr w:rsidR="00710113" w:rsidRPr="002D2560" w14:paraId="1BA5CE63" w14:textId="5440EAF0" w:rsidTr="00710113">
        <w:tc>
          <w:tcPr>
            <w:tcW w:w="1301" w:type="dxa"/>
          </w:tcPr>
          <w:p w14:paraId="33630595" w14:textId="125B4A8B" w:rsidR="00710113" w:rsidRPr="002D2560" w:rsidRDefault="00710113" w:rsidP="00D94116">
            <w:pPr>
              <w:spacing w:before="60" w:after="60" w:line="240" w:lineRule="auto"/>
              <w:rPr>
                <w:sz w:val="16"/>
                <w:szCs w:val="16"/>
                <w:lang w:val="en-AU"/>
              </w:rPr>
            </w:pPr>
            <w:r w:rsidRPr="002D2560">
              <w:rPr>
                <w:sz w:val="16"/>
                <w:szCs w:val="16"/>
                <w:lang w:val="en-AU"/>
              </w:rPr>
              <w:t>De-identified Medicare number and funding source information</w:t>
            </w:r>
          </w:p>
        </w:tc>
        <w:tc>
          <w:tcPr>
            <w:tcW w:w="662" w:type="dxa"/>
            <w:vAlign w:val="center"/>
          </w:tcPr>
          <w:p w14:paraId="78D9E411" w14:textId="5C4CC06E"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842" w:type="dxa"/>
            <w:vAlign w:val="center"/>
          </w:tcPr>
          <w:p w14:paraId="5A0F5031" w14:textId="077F1DBF"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1274" w:type="dxa"/>
            <w:vAlign w:val="center"/>
          </w:tcPr>
          <w:p w14:paraId="188456EC" w14:textId="32A4DD70"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2607" w:type="dxa"/>
          </w:tcPr>
          <w:p w14:paraId="28075D86" w14:textId="040965A5" w:rsidR="00710113" w:rsidRPr="002D2560" w:rsidRDefault="00710113" w:rsidP="00D94116">
            <w:pPr>
              <w:spacing w:before="60" w:after="60" w:line="240" w:lineRule="auto"/>
              <w:rPr>
                <w:sz w:val="16"/>
                <w:szCs w:val="16"/>
                <w:lang w:val="en-AU"/>
              </w:rPr>
            </w:pPr>
            <w:r w:rsidRPr="002D2560">
              <w:rPr>
                <w:sz w:val="16"/>
                <w:szCs w:val="16"/>
                <w:lang w:val="en-AU"/>
              </w:rPr>
              <w:t xml:space="preserve">‘Submission B’ data file provided by </w:t>
            </w:r>
            <w:r w:rsidR="002D2560" w:rsidRPr="002D2560">
              <w:rPr>
                <w:sz w:val="16"/>
                <w:szCs w:val="16"/>
                <w:lang w:val="en-AU"/>
              </w:rPr>
              <w:t xml:space="preserve">the states and territories </w:t>
            </w:r>
            <w:r w:rsidRPr="002D2560">
              <w:rPr>
                <w:sz w:val="16"/>
                <w:szCs w:val="16"/>
                <w:lang w:val="en-AU"/>
              </w:rPr>
              <w:t>to Services Australia</w:t>
            </w:r>
          </w:p>
        </w:tc>
        <w:tc>
          <w:tcPr>
            <w:tcW w:w="2608" w:type="dxa"/>
          </w:tcPr>
          <w:p w14:paraId="3D9BA397" w14:textId="778D16B2" w:rsidR="00710113" w:rsidRPr="002D2560" w:rsidRDefault="00710113" w:rsidP="00D94116">
            <w:pPr>
              <w:spacing w:before="60" w:after="60" w:line="240" w:lineRule="auto"/>
              <w:rPr>
                <w:sz w:val="16"/>
                <w:szCs w:val="16"/>
                <w:lang w:val="en-AU"/>
              </w:rPr>
            </w:pPr>
            <w:r w:rsidRPr="002D2560">
              <w:rPr>
                <w:sz w:val="16"/>
                <w:szCs w:val="16"/>
                <w:lang w:val="en-AU"/>
              </w:rPr>
              <w:t xml:space="preserve">‘Submission B’ data file provided by </w:t>
            </w:r>
            <w:r w:rsidR="002D2560" w:rsidRPr="002D2560">
              <w:rPr>
                <w:sz w:val="16"/>
                <w:szCs w:val="16"/>
                <w:lang w:val="en-AU"/>
              </w:rPr>
              <w:t xml:space="preserve">the states and territories </w:t>
            </w:r>
            <w:r w:rsidRPr="002D2560">
              <w:rPr>
                <w:sz w:val="16"/>
                <w:szCs w:val="16"/>
                <w:lang w:val="en-AU"/>
              </w:rPr>
              <w:t>to Services Australia</w:t>
            </w:r>
          </w:p>
        </w:tc>
        <w:tc>
          <w:tcPr>
            <w:tcW w:w="2608" w:type="dxa"/>
          </w:tcPr>
          <w:p w14:paraId="16DF9D64" w14:textId="7AACADDC" w:rsidR="00710113" w:rsidRPr="002D2560" w:rsidRDefault="00710113" w:rsidP="00D94116">
            <w:pPr>
              <w:spacing w:before="60" w:after="60" w:line="240" w:lineRule="auto"/>
              <w:rPr>
                <w:sz w:val="16"/>
                <w:szCs w:val="16"/>
                <w:lang w:val="en-AU"/>
              </w:rPr>
            </w:pPr>
            <w:r w:rsidRPr="002D2560">
              <w:rPr>
                <w:sz w:val="16"/>
                <w:szCs w:val="16"/>
                <w:lang w:val="en-AU"/>
              </w:rPr>
              <w:t xml:space="preserve">‘Submission B’ data file provided by </w:t>
            </w:r>
            <w:r w:rsidR="002D2560" w:rsidRPr="002D2560">
              <w:rPr>
                <w:sz w:val="16"/>
                <w:szCs w:val="16"/>
                <w:lang w:val="en-AU"/>
              </w:rPr>
              <w:t xml:space="preserve">the states and territories </w:t>
            </w:r>
            <w:r w:rsidRPr="002D2560">
              <w:rPr>
                <w:sz w:val="16"/>
                <w:szCs w:val="16"/>
                <w:lang w:val="en-AU"/>
              </w:rPr>
              <w:t>to Services Australia</w:t>
            </w:r>
          </w:p>
        </w:tc>
        <w:tc>
          <w:tcPr>
            <w:tcW w:w="2046" w:type="dxa"/>
          </w:tcPr>
          <w:p w14:paraId="5981E6CE" w14:textId="0691EAA3" w:rsidR="00710113" w:rsidRPr="002D2560" w:rsidRDefault="002D2560" w:rsidP="00D94116">
            <w:pPr>
              <w:spacing w:before="60" w:after="60" w:line="240" w:lineRule="auto"/>
              <w:rPr>
                <w:sz w:val="16"/>
                <w:szCs w:val="16"/>
                <w:lang w:val="en-AU"/>
              </w:rPr>
            </w:pPr>
            <w:r w:rsidRPr="002D2560">
              <w:rPr>
                <w:sz w:val="16"/>
                <w:szCs w:val="16"/>
                <w:lang w:val="en-AU"/>
              </w:rPr>
              <w:t>Provided to IHACPA by Services Australia</w:t>
            </w:r>
          </w:p>
        </w:tc>
      </w:tr>
      <w:tr w:rsidR="00710113" w:rsidRPr="002D2560" w14:paraId="0A0867EE" w14:textId="67806312" w:rsidTr="00710113">
        <w:tc>
          <w:tcPr>
            <w:tcW w:w="1301" w:type="dxa"/>
          </w:tcPr>
          <w:p w14:paraId="41ED5067" w14:textId="0B7BFF80" w:rsidR="00710113" w:rsidRPr="002D2560" w:rsidRDefault="00710113" w:rsidP="00D94116">
            <w:pPr>
              <w:spacing w:before="60" w:after="60" w:line="240" w:lineRule="auto"/>
              <w:rPr>
                <w:sz w:val="16"/>
                <w:szCs w:val="16"/>
                <w:lang w:val="en-AU"/>
              </w:rPr>
            </w:pPr>
            <w:r w:rsidRPr="002D2560">
              <w:rPr>
                <w:sz w:val="16"/>
                <w:szCs w:val="16"/>
                <w:lang w:val="en-AU"/>
              </w:rPr>
              <w:t>Private Health Insurance payments for private patients in public hospitals</w:t>
            </w:r>
          </w:p>
        </w:tc>
        <w:tc>
          <w:tcPr>
            <w:tcW w:w="662" w:type="dxa"/>
            <w:vAlign w:val="center"/>
          </w:tcPr>
          <w:p w14:paraId="48325D61" w14:textId="437583D0"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842" w:type="dxa"/>
            <w:vAlign w:val="center"/>
          </w:tcPr>
          <w:p w14:paraId="4F352389" w14:textId="0E4E9224"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1274" w:type="dxa"/>
            <w:vAlign w:val="center"/>
          </w:tcPr>
          <w:p w14:paraId="44A11BAE" w14:textId="77491ECE"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2607" w:type="dxa"/>
          </w:tcPr>
          <w:p w14:paraId="73AFC50A" w14:textId="49DFE3D8" w:rsidR="00710113" w:rsidRPr="002D2560" w:rsidRDefault="00710113" w:rsidP="00D94116">
            <w:pPr>
              <w:spacing w:before="60" w:after="60" w:line="240" w:lineRule="auto"/>
              <w:rPr>
                <w:sz w:val="16"/>
                <w:szCs w:val="16"/>
                <w:lang w:val="en-AU"/>
              </w:rPr>
            </w:pPr>
            <w:r w:rsidRPr="002D2560">
              <w:rPr>
                <w:sz w:val="16"/>
                <w:szCs w:val="16"/>
                <w:lang w:val="en-AU"/>
              </w:rPr>
              <w:t xml:space="preserve">Hospital </w:t>
            </w:r>
            <w:proofErr w:type="spellStart"/>
            <w:r w:rsidRPr="002D2560">
              <w:rPr>
                <w:sz w:val="16"/>
                <w:szCs w:val="16"/>
                <w:lang w:val="en-AU"/>
              </w:rPr>
              <w:t>Casemix</w:t>
            </w:r>
            <w:proofErr w:type="spellEnd"/>
            <w:r w:rsidRPr="002D2560">
              <w:rPr>
                <w:sz w:val="16"/>
                <w:szCs w:val="16"/>
                <w:lang w:val="en-AU"/>
              </w:rPr>
              <w:t xml:space="preserve"> Protocol Collection</w:t>
            </w:r>
          </w:p>
        </w:tc>
        <w:tc>
          <w:tcPr>
            <w:tcW w:w="2608" w:type="dxa"/>
          </w:tcPr>
          <w:p w14:paraId="392700E0" w14:textId="2D34A425" w:rsidR="00710113" w:rsidRPr="002D2560" w:rsidRDefault="00710113" w:rsidP="00D94116">
            <w:pPr>
              <w:spacing w:before="60" w:after="60" w:line="240" w:lineRule="auto"/>
              <w:rPr>
                <w:sz w:val="16"/>
                <w:szCs w:val="16"/>
                <w:lang w:val="en-AU"/>
              </w:rPr>
            </w:pPr>
            <w:r w:rsidRPr="002D2560">
              <w:rPr>
                <w:sz w:val="16"/>
                <w:szCs w:val="16"/>
                <w:lang w:val="en-AU"/>
              </w:rPr>
              <w:t xml:space="preserve">Hospital </w:t>
            </w:r>
            <w:proofErr w:type="spellStart"/>
            <w:r w:rsidRPr="002D2560">
              <w:rPr>
                <w:sz w:val="16"/>
                <w:szCs w:val="16"/>
                <w:lang w:val="en-AU"/>
              </w:rPr>
              <w:t>Casemix</w:t>
            </w:r>
            <w:proofErr w:type="spellEnd"/>
            <w:r w:rsidRPr="002D2560">
              <w:rPr>
                <w:sz w:val="16"/>
                <w:szCs w:val="16"/>
                <w:lang w:val="en-AU"/>
              </w:rPr>
              <w:t xml:space="preserve"> Protocol Collection</w:t>
            </w:r>
          </w:p>
        </w:tc>
        <w:tc>
          <w:tcPr>
            <w:tcW w:w="2608" w:type="dxa"/>
          </w:tcPr>
          <w:p w14:paraId="28596F1D" w14:textId="5789EEA4" w:rsidR="00710113" w:rsidRPr="002D2560" w:rsidRDefault="00710113" w:rsidP="00D94116">
            <w:pPr>
              <w:spacing w:before="60" w:after="60" w:line="240" w:lineRule="auto"/>
              <w:rPr>
                <w:sz w:val="16"/>
                <w:szCs w:val="16"/>
                <w:lang w:val="en-AU"/>
              </w:rPr>
            </w:pPr>
            <w:r w:rsidRPr="002D2560">
              <w:rPr>
                <w:sz w:val="16"/>
                <w:szCs w:val="16"/>
                <w:lang w:val="en-AU"/>
              </w:rPr>
              <w:t xml:space="preserve">Hospital </w:t>
            </w:r>
            <w:proofErr w:type="spellStart"/>
            <w:r w:rsidRPr="002D2560">
              <w:rPr>
                <w:sz w:val="16"/>
                <w:szCs w:val="16"/>
                <w:lang w:val="en-AU"/>
              </w:rPr>
              <w:t>Casemix</w:t>
            </w:r>
            <w:proofErr w:type="spellEnd"/>
            <w:r w:rsidRPr="002D2560">
              <w:rPr>
                <w:sz w:val="16"/>
                <w:szCs w:val="16"/>
                <w:lang w:val="en-AU"/>
              </w:rPr>
              <w:t xml:space="preserve"> Protocol Collection</w:t>
            </w:r>
          </w:p>
        </w:tc>
        <w:tc>
          <w:tcPr>
            <w:tcW w:w="2046" w:type="dxa"/>
          </w:tcPr>
          <w:p w14:paraId="43659B81" w14:textId="0C2241C9" w:rsidR="00710113" w:rsidRPr="002D2560" w:rsidRDefault="002D2560" w:rsidP="00D94116">
            <w:pPr>
              <w:spacing w:before="60" w:after="60" w:line="240" w:lineRule="auto"/>
              <w:rPr>
                <w:sz w:val="16"/>
                <w:szCs w:val="16"/>
                <w:lang w:val="en-AU"/>
              </w:rPr>
            </w:pPr>
            <w:r w:rsidRPr="002D2560">
              <w:rPr>
                <w:sz w:val="16"/>
                <w:szCs w:val="16"/>
                <w:lang w:val="en-AU"/>
              </w:rPr>
              <w:t>Provided to IHACPA by the Department of Health and Aged Care</w:t>
            </w:r>
          </w:p>
        </w:tc>
      </w:tr>
      <w:tr w:rsidR="00710113" w:rsidRPr="002D2560" w14:paraId="7910BECA" w14:textId="2C0B8845" w:rsidTr="00710113">
        <w:trPr>
          <w:trHeight w:val="67"/>
        </w:trPr>
        <w:tc>
          <w:tcPr>
            <w:tcW w:w="1301" w:type="dxa"/>
          </w:tcPr>
          <w:p w14:paraId="603ADE7A" w14:textId="2F058700" w:rsidR="00710113" w:rsidRPr="002D2560" w:rsidRDefault="00710113" w:rsidP="00D94116">
            <w:pPr>
              <w:spacing w:before="60" w:after="60" w:line="240" w:lineRule="auto"/>
              <w:rPr>
                <w:sz w:val="16"/>
                <w:szCs w:val="16"/>
                <w:lang w:val="en-AU"/>
              </w:rPr>
            </w:pPr>
            <w:r w:rsidRPr="002D2560">
              <w:rPr>
                <w:sz w:val="16"/>
                <w:szCs w:val="16"/>
                <w:lang w:val="en-AU"/>
              </w:rPr>
              <w:t xml:space="preserve">State and territory payments to LHNs for public and private patients </w:t>
            </w:r>
          </w:p>
        </w:tc>
        <w:tc>
          <w:tcPr>
            <w:tcW w:w="662" w:type="dxa"/>
            <w:vAlign w:val="center"/>
          </w:tcPr>
          <w:p w14:paraId="4D75DFC3" w14:textId="67FC349B"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842" w:type="dxa"/>
            <w:vAlign w:val="center"/>
          </w:tcPr>
          <w:p w14:paraId="3E1615D4" w14:textId="517B0C9A"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1274" w:type="dxa"/>
            <w:vAlign w:val="center"/>
          </w:tcPr>
          <w:p w14:paraId="7050459F" w14:textId="789F582B"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2607" w:type="dxa"/>
          </w:tcPr>
          <w:p w14:paraId="528BDC46" w14:textId="4D96D339" w:rsidR="00710113" w:rsidRPr="002D2560" w:rsidRDefault="00710113" w:rsidP="00D94116">
            <w:pPr>
              <w:spacing w:before="60" w:after="60" w:line="240" w:lineRule="auto"/>
              <w:rPr>
                <w:sz w:val="16"/>
                <w:szCs w:val="16"/>
                <w:lang w:val="en-AU"/>
              </w:rPr>
            </w:pPr>
            <w:r w:rsidRPr="002D2560">
              <w:rPr>
                <w:sz w:val="16"/>
                <w:szCs w:val="16"/>
                <w:lang w:val="en-AU"/>
              </w:rPr>
              <w:t>State and territory payments to LHNs for public and private patients</w:t>
            </w:r>
          </w:p>
        </w:tc>
        <w:tc>
          <w:tcPr>
            <w:tcW w:w="2608" w:type="dxa"/>
          </w:tcPr>
          <w:p w14:paraId="5A8E387A" w14:textId="27DCB1EF" w:rsidR="00710113" w:rsidRPr="002D2560" w:rsidRDefault="00710113" w:rsidP="00D94116">
            <w:pPr>
              <w:spacing w:before="60" w:after="60" w:line="240" w:lineRule="auto"/>
              <w:rPr>
                <w:sz w:val="16"/>
                <w:szCs w:val="16"/>
                <w:lang w:val="en-AU"/>
              </w:rPr>
            </w:pPr>
            <w:r w:rsidRPr="002D2560">
              <w:rPr>
                <w:sz w:val="16"/>
                <w:szCs w:val="16"/>
                <w:lang w:val="en-AU"/>
              </w:rPr>
              <w:t>State and territory payments to LHNs for public and private patients</w:t>
            </w:r>
          </w:p>
        </w:tc>
        <w:tc>
          <w:tcPr>
            <w:tcW w:w="2608" w:type="dxa"/>
          </w:tcPr>
          <w:p w14:paraId="1D19925D" w14:textId="58A2DD36" w:rsidR="00710113" w:rsidRPr="002D2560" w:rsidRDefault="00710113" w:rsidP="00D94116">
            <w:pPr>
              <w:spacing w:before="60" w:after="60" w:line="240" w:lineRule="auto"/>
              <w:rPr>
                <w:sz w:val="16"/>
                <w:szCs w:val="16"/>
                <w:lang w:val="en-AU"/>
              </w:rPr>
            </w:pPr>
            <w:r w:rsidRPr="002D2560">
              <w:rPr>
                <w:sz w:val="16"/>
                <w:szCs w:val="16"/>
                <w:lang w:val="en-AU"/>
              </w:rPr>
              <w:t>State and territory payments to LHNs for public and private patients</w:t>
            </w:r>
          </w:p>
        </w:tc>
        <w:tc>
          <w:tcPr>
            <w:tcW w:w="2046" w:type="dxa"/>
          </w:tcPr>
          <w:p w14:paraId="517781D4" w14:textId="09DA5CD3" w:rsidR="00710113" w:rsidRPr="002D2560" w:rsidRDefault="002D2560" w:rsidP="00D94116">
            <w:pPr>
              <w:spacing w:before="60" w:after="60" w:line="240" w:lineRule="auto"/>
              <w:rPr>
                <w:sz w:val="16"/>
                <w:szCs w:val="16"/>
                <w:lang w:val="en-AU"/>
              </w:rPr>
            </w:pPr>
            <w:r w:rsidRPr="002D2560">
              <w:rPr>
                <w:sz w:val="16"/>
                <w:szCs w:val="16"/>
                <w:lang w:val="en-AU"/>
              </w:rPr>
              <w:t>Provided to IHACPA by the states and territories</w:t>
            </w:r>
          </w:p>
        </w:tc>
      </w:tr>
      <w:tr w:rsidR="00710113" w:rsidRPr="002D2560" w14:paraId="30C8EEA8" w14:textId="70BC75C8" w:rsidTr="00710113">
        <w:tc>
          <w:tcPr>
            <w:tcW w:w="1301" w:type="dxa"/>
          </w:tcPr>
          <w:p w14:paraId="195AEC47" w14:textId="0218D901" w:rsidR="00710113" w:rsidRPr="002D2560" w:rsidRDefault="00710113" w:rsidP="00D94116">
            <w:pPr>
              <w:spacing w:before="60" w:after="60" w:line="240" w:lineRule="auto"/>
              <w:rPr>
                <w:sz w:val="16"/>
                <w:szCs w:val="16"/>
                <w:lang w:val="en-AU"/>
              </w:rPr>
            </w:pPr>
            <w:r w:rsidRPr="002D2560">
              <w:rPr>
                <w:sz w:val="16"/>
                <w:szCs w:val="16"/>
                <w:lang w:val="en-AU"/>
              </w:rPr>
              <w:t>Sentinel events</w:t>
            </w:r>
          </w:p>
        </w:tc>
        <w:tc>
          <w:tcPr>
            <w:tcW w:w="662" w:type="dxa"/>
            <w:vAlign w:val="center"/>
          </w:tcPr>
          <w:p w14:paraId="50272CD2" w14:textId="05EBAE88"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842" w:type="dxa"/>
            <w:vAlign w:val="center"/>
          </w:tcPr>
          <w:p w14:paraId="09EF43A4" w14:textId="3D935945"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1274" w:type="dxa"/>
            <w:vAlign w:val="center"/>
          </w:tcPr>
          <w:p w14:paraId="3B02ABC4" w14:textId="58D478F1" w:rsidR="00710113" w:rsidRPr="002D2560" w:rsidRDefault="00710113" w:rsidP="00B33F98">
            <w:pPr>
              <w:spacing w:before="60" w:after="60" w:line="240" w:lineRule="auto"/>
              <w:jc w:val="center"/>
              <w:rPr>
                <w:rFonts w:ascii="Segoe UI Symbol" w:hAnsi="Segoe UI Symbol" w:cs="Segoe UI Symbol"/>
                <w:sz w:val="16"/>
                <w:szCs w:val="16"/>
                <w:lang w:val="en-AU"/>
              </w:rPr>
            </w:pPr>
            <w:r w:rsidRPr="002D2560">
              <w:rPr>
                <w:rFonts w:ascii="Segoe UI Symbol" w:hAnsi="Segoe UI Symbol" w:cs="Segoe UI Symbol"/>
                <w:sz w:val="16"/>
                <w:szCs w:val="16"/>
                <w:lang w:val="en-AU"/>
              </w:rPr>
              <w:t>✓</w:t>
            </w:r>
          </w:p>
        </w:tc>
        <w:tc>
          <w:tcPr>
            <w:tcW w:w="2607" w:type="dxa"/>
          </w:tcPr>
          <w:p w14:paraId="70845917" w14:textId="291F3861" w:rsidR="00710113" w:rsidRPr="002D2560" w:rsidRDefault="00710113" w:rsidP="00D94116">
            <w:pPr>
              <w:spacing w:before="60" w:after="60" w:line="240" w:lineRule="auto"/>
              <w:rPr>
                <w:sz w:val="16"/>
                <w:szCs w:val="16"/>
                <w:lang w:val="en-AU"/>
              </w:rPr>
            </w:pPr>
            <w:r w:rsidRPr="002D2560">
              <w:rPr>
                <w:sz w:val="16"/>
                <w:szCs w:val="16"/>
                <w:lang w:val="en-AU"/>
              </w:rPr>
              <w:t xml:space="preserve">Data file which identifies episodes with sentinel events to be provided by </w:t>
            </w:r>
            <w:r w:rsidR="002D2560" w:rsidRPr="002D2560">
              <w:rPr>
                <w:sz w:val="16"/>
                <w:szCs w:val="16"/>
                <w:lang w:val="en-AU"/>
              </w:rPr>
              <w:t xml:space="preserve">the states and territories </w:t>
            </w:r>
            <w:r w:rsidRPr="002D2560">
              <w:rPr>
                <w:sz w:val="16"/>
                <w:szCs w:val="16"/>
                <w:lang w:val="en-AU"/>
              </w:rPr>
              <w:t>using Australian Sentinel Events List Version 2.0</w:t>
            </w:r>
          </w:p>
        </w:tc>
        <w:tc>
          <w:tcPr>
            <w:tcW w:w="2608" w:type="dxa"/>
          </w:tcPr>
          <w:p w14:paraId="205AADDC" w14:textId="7269AADD" w:rsidR="00710113" w:rsidRPr="002D2560" w:rsidRDefault="00710113" w:rsidP="00D94116">
            <w:pPr>
              <w:spacing w:before="60" w:after="60" w:line="240" w:lineRule="auto"/>
              <w:rPr>
                <w:sz w:val="16"/>
                <w:szCs w:val="16"/>
                <w:lang w:val="en-AU"/>
              </w:rPr>
            </w:pPr>
            <w:r w:rsidRPr="002D2560">
              <w:rPr>
                <w:sz w:val="16"/>
                <w:szCs w:val="16"/>
                <w:lang w:val="en-AU"/>
              </w:rPr>
              <w:t xml:space="preserve">Data file which identifies episodes with sentinel events to be provided by </w:t>
            </w:r>
            <w:r w:rsidR="002D2560" w:rsidRPr="002D2560">
              <w:rPr>
                <w:sz w:val="16"/>
                <w:szCs w:val="16"/>
                <w:lang w:val="en-AU"/>
              </w:rPr>
              <w:t xml:space="preserve">the states and territories </w:t>
            </w:r>
            <w:r w:rsidRPr="002D2560">
              <w:rPr>
                <w:sz w:val="16"/>
                <w:szCs w:val="16"/>
                <w:lang w:val="en-AU"/>
              </w:rPr>
              <w:t>using Australian Sentinel Events List Version 2.0</w:t>
            </w:r>
          </w:p>
        </w:tc>
        <w:tc>
          <w:tcPr>
            <w:tcW w:w="2608" w:type="dxa"/>
          </w:tcPr>
          <w:p w14:paraId="51CC96FB" w14:textId="6B6330D2" w:rsidR="00710113" w:rsidRPr="002D2560" w:rsidRDefault="00710113" w:rsidP="00D94116">
            <w:pPr>
              <w:spacing w:before="60" w:after="60" w:line="240" w:lineRule="auto"/>
              <w:rPr>
                <w:sz w:val="16"/>
                <w:szCs w:val="16"/>
                <w:lang w:val="en-AU"/>
              </w:rPr>
            </w:pPr>
            <w:r w:rsidRPr="002D2560">
              <w:rPr>
                <w:sz w:val="16"/>
                <w:szCs w:val="16"/>
                <w:lang w:val="en-AU"/>
              </w:rPr>
              <w:t xml:space="preserve">Data file which identifies episodes with sentinel events to be provided by </w:t>
            </w:r>
            <w:r w:rsidR="002D2560" w:rsidRPr="002D2560">
              <w:rPr>
                <w:sz w:val="16"/>
                <w:szCs w:val="16"/>
                <w:lang w:val="en-AU"/>
              </w:rPr>
              <w:t xml:space="preserve">the states and territories </w:t>
            </w:r>
            <w:r w:rsidRPr="002D2560">
              <w:rPr>
                <w:sz w:val="16"/>
                <w:szCs w:val="16"/>
                <w:lang w:val="en-AU"/>
              </w:rPr>
              <w:t>using Australian Sentinel Events List Version 2.0</w:t>
            </w:r>
          </w:p>
        </w:tc>
        <w:tc>
          <w:tcPr>
            <w:tcW w:w="2046" w:type="dxa"/>
          </w:tcPr>
          <w:p w14:paraId="08FF7CB6" w14:textId="229B5E6C" w:rsidR="00710113" w:rsidRPr="002D2560" w:rsidRDefault="002D2560" w:rsidP="00D94116">
            <w:pPr>
              <w:spacing w:before="60" w:after="60" w:line="240" w:lineRule="auto"/>
              <w:rPr>
                <w:sz w:val="16"/>
                <w:szCs w:val="16"/>
                <w:lang w:val="en-AU"/>
              </w:rPr>
            </w:pPr>
            <w:r w:rsidRPr="002D2560">
              <w:rPr>
                <w:sz w:val="16"/>
                <w:szCs w:val="16"/>
                <w:lang w:val="en-AU"/>
              </w:rPr>
              <w:t>Provided to IHACPA by the states and territories</w:t>
            </w:r>
          </w:p>
        </w:tc>
      </w:tr>
    </w:tbl>
    <w:p w14:paraId="24900967" w14:textId="77777777" w:rsidR="002D2560" w:rsidRPr="002D2560" w:rsidRDefault="002D2560" w:rsidP="00271FC1">
      <w:pPr>
        <w:rPr>
          <w:lang w:val="en-AU"/>
        </w:rPr>
      </w:pPr>
    </w:p>
    <w:p w14:paraId="42C7AD02" w14:textId="77777777" w:rsidR="00271FC1" w:rsidRPr="002D2560" w:rsidRDefault="00271FC1" w:rsidP="00271FC1">
      <w:pPr>
        <w:rPr>
          <w:lang w:val="en-AU"/>
        </w:rPr>
      </w:pPr>
    </w:p>
    <w:p w14:paraId="3F7C5805" w14:textId="58AACFDE" w:rsidR="00723269" w:rsidRPr="002D2560" w:rsidRDefault="00723269" w:rsidP="00723269">
      <w:pPr>
        <w:pStyle w:val="ListLevel2"/>
        <w:numPr>
          <w:ilvl w:val="0"/>
          <w:numId w:val="0"/>
        </w:numPr>
        <w:rPr>
          <w:lang w:val="en-AU"/>
        </w:rPr>
      </w:pPr>
    </w:p>
    <w:p w14:paraId="48B5FADC" w14:textId="0A55FB6F" w:rsidR="00723269" w:rsidRPr="002D2560" w:rsidRDefault="00723269" w:rsidP="00723269">
      <w:pPr>
        <w:pStyle w:val="ListLevel2"/>
        <w:numPr>
          <w:ilvl w:val="0"/>
          <w:numId w:val="0"/>
        </w:numPr>
        <w:rPr>
          <w:lang w:val="en-AU"/>
        </w:rPr>
        <w:sectPr w:rsidR="00723269" w:rsidRPr="002D2560" w:rsidSect="00271FC1">
          <w:pgSz w:w="16838" w:h="11906" w:orient="landscape" w:code="9"/>
          <w:pgMar w:top="1080" w:right="1440" w:bottom="1080" w:left="1440" w:header="708" w:footer="708" w:gutter="0"/>
          <w:cols w:space="720"/>
          <w:docGrid w:linePitch="360"/>
        </w:sectPr>
      </w:pPr>
    </w:p>
    <w:p w14:paraId="16A454E9" w14:textId="361F07FB" w:rsidR="00502A09" w:rsidRPr="002D2560" w:rsidRDefault="00502A09" w:rsidP="00502A09">
      <w:pPr>
        <w:spacing w:after="360"/>
        <w:rPr>
          <w:color w:val="FFFFFF" w:themeColor="background2"/>
          <w:lang w:val="en-AU"/>
        </w:rPr>
      </w:pPr>
      <w:r w:rsidRPr="002D2560">
        <w:rPr>
          <w:noProof/>
          <w:color w:val="FFFFFF" w:themeColor="background2"/>
          <w:lang w:val="en-AU"/>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2D2560" w:rsidRDefault="00502A09" w:rsidP="00502A09">
      <w:pPr>
        <w:spacing w:after="360"/>
        <w:rPr>
          <w:color w:val="FFFFFF" w:themeColor="background2"/>
          <w:lang w:val="en-AU"/>
        </w:rPr>
      </w:pPr>
      <w:r w:rsidRPr="002D2560">
        <w:rPr>
          <w:color w:val="FFFFFF" w:themeColor="background2"/>
          <w:lang w:val="en-AU"/>
        </w:rPr>
        <w:t>Independent Health and Aged Care Pricing Authority</w:t>
      </w:r>
    </w:p>
    <w:p w14:paraId="6E4B7912" w14:textId="793805FD" w:rsidR="00502A09" w:rsidRPr="002D2560" w:rsidRDefault="00183129" w:rsidP="00502A09">
      <w:pPr>
        <w:spacing w:after="360"/>
        <w:rPr>
          <w:color w:val="54C1AF" w:themeColor="background1"/>
          <w:lang w:val="en-AU"/>
        </w:rPr>
      </w:pPr>
      <w:r w:rsidRPr="002D2560">
        <w:rPr>
          <w:color w:val="54C1AF" w:themeColor="background1"/>
          <w:lang w:val="en-AU"/>
        </w:rPr>
        <w:t xml:space="preserve">Eora Nation, </w:t>
      </w:r>
      <w:r w:rsidR="00502A09" w:rsidRPr="002D2560">
        <w:rPr>
          <w:color w:val="54C1AF" w:themeColor="background1"/>
          <w:lang w:val="en-AU"/>
        </w:rPr>
        <w:t xml:space="preserve">Level </w:t>
      </w:r>
      <w:r w:rsidR="007403BC" w:rsidRPr="002D2560">
        <w:rPr>
          <w:color w:val="54C1AF" w:themeColor="background1"/>
          <w:lang w:val="en-AU"/>
        </w:rPr>
        <w:t>12</w:t>
      </w:r>
      <w:r w:rsidR="00502A09" w:rsidRPr="002D2560">
        <w:rPr>
          <w:color w:val="54C1AF" w:themeColor="background1"/>
          <w:lang w:val="en-AU"/>
        </w:rPr>
        <w:t>, 1 Oxford Street</w:t>
      </w:r>
      <w:r w:rsidR="00502A09" w:rsidRPr="002D2560">
        <w:rPr>
          <w:color w:val="54C1AF" w:themeColor="background1"/>
          <w:lang w:val="en-AU"/>
        </w:rPr>
        <w:br/>
        <w:t>Sydney NSW 2000</w:t>
      </w:r>
    </w:p>
    <w:p w14:paraId="422F9348" w14:textId="0299EBA7" w:rsidR="00502A09" w:rsidRPr="002D2560" w:rsidRDefault="00502A09" w:rsidP="00723269">
      <w:pPr>
        <w:tabs>
          <w:tab w:val="left" w:pos="851"/>
        </w:tabs>
        <w:spacing w:after="360"/>
        <w:rPr>
          <w:color w:val="FFFFFF" w:themeColor="background2"/>
          <w:lang w:val="en-AU"/>
        </w:rPr>
      </w:pPr>
      <w:r w:rsidRPr="002D2560">
        <w:rPr>
          <w:color w:val="FFFFFF" w:themeColor="background2"/>
          <w:lang w:val="en-AU"/>
        </w:rPr>
        <w:t>Phone</w:t>
      </w:r>
      <w:r w:rsidR="00723269" w:rsidRPr="002D2560">
        <w:rPr>
          <w:color w:val="FFFFFF" w:themeColor="background2"/>
          <w:lang w:val="en-AU"/>
        </w:rPr>
        <w:tab/>
      </w:r>
      <w:r w:rsidRPr="002D2560">
        <w:rPr>
          <w:color w:val="54C1AF" w:themeColor="background1"/>
          <w:lang w:val="en-AU"/>
        </w:rPr>
        <w:t>02 8215 1100</w:t>
      </w:r>
      <w:r w:rsidRPr="002D2560">
        <w:rPr>
          <w:color w:val="FFFFFF" w:themeColor="background2"/>
          <w:lang w:val="en-AU"/>
        </w:rPr>
        <w:br/>
        <w:t>Email</w:t>
      </w:r>
      <w:r w:rsidR="00723269" w:rsidRPr="002D2560">
        <w:rPr>
          <w:color w:val="FFFFFF" w:themeColor="background2"/>
          <w:lang w:val="en-AU"/>
        </w:rPr>
        <w:tab/>
      </w:r>
      <w:hyperlink r:id="rId36" w:history="1">
        <w:r w:rsidR="00723269" w:rsidRPr="002D2560">
          <w:rPr>
            <w:rStyle w:val="Hyperlink"/>
            <w:color w:val="54C1AF" w:themeColor="background1"/>
            <w:lang w:val="en-AU"/>
          </w:rPr>
          <w:t>enquiries.ihacpa@ihacpa.gov.au</w:t>
        </w:r>
      </w:hyperlink>
      <w:r w:rsidRPr="002D2560">
        <w:rPr>
          <w:color w:val="FFFFFF" w:themeColor="background2"/>
          <w:lang w:val="en-AU"/>
        </w:rPr>
        <w:br/>
        <w:t>Twitter</w:t>
      </w:r>
      <w:r w:rsidR="00723269" w:rsidRPr="002D2560">
        <w:rPr>
          <w:color w:val="FFFFFF" w:themeColor="background2"/>
          <w:lang w:val="en-AU"/>
        </w:rPr>
        <w:tab/>
      </w:r>
      <w:hyperlink r:id="rId37" w:history="1">
        <w:r w:rsidRPr="002D2560">
          <w:rPr>
            <w:rStyle w:val="Hyperlink"/>
            <w:color w:val="54C1AF" w:themeColor="background1"/>
            <w:lang w:val="en-AU"/>
          </w:rPr>
          <w:t>@IH</w:t>
        </w:r>
        <w:r w:rsidR="007403BC" w:rsidRPr="002D2560">
          <w:rPr>
            <w:rStyle w:val="Hyperlink"/>
            <w:color w:val="54C1AF" w:themeColor="background1"/>
            <w:lang w:val="en-AU"/>
          </w:rPr>
          <w:t>AC</w:t>
        </w:r>
        <w:r w:rsidRPr="002D2560">
          <w:rPr>
            <w:rStyle w:val="Hyperlink"/>
            <w:color w:val="54C1AF" w:themeColor="background1"/>
            <w:lang w:val="en-AU"/>
          </w:rPr>
          <w:t>PA</w:t>
        </w:r>
      </w:hyperlink>
    </w:p>
    <w:p w14:paraId="55FBC7ED" w14:textId="21C5AF52" w:rsidR="00502A09" w:rsidRPr="002D2560" w:rsidRDefault="00450820" w:rsidP="00723269">
      <w:pPr>
        <w:spacing w:after="360"/>
        <w:rPr>
          <w:color w:val="54C1AF" w:themeColor="background1"/>
          <w:lang w:val="en-AU"/>
        </w:rPr>
      </w:pPr>
      <w:hyperlink r:id="rId38" w:history="1">
        <w:r w:rsidR="00502A09" w:rsidRPr="002D2560">
          <w:rPr>
            <w:rStyle w:val="Hyperlink"/>
            <w:color w:val="54C1AF" w:themeColor="background1"/>
            <w:lang w:val="en-AU"/>
          </w:rPr>
          <w:t>www.ih</w:t>
        </w:r>
        <w:r w:rsidR="007403BC" w:rsidRPr="002D2560">
          <w:rPr>
            <w:rStyle w:val="Hyperlink"/>
            <w:color w:val="54C1AF" w:themeColor="background1"/>
            <w:lang w:val="en-AU"/>
          </w:rPr>
          <w:t>ac</w:t>
        </w:r>
        <w:r w:rsidR="00502A09" w:rsidRPr="002D2560">
          <w:rPr>
            <w:rStyle w:val="Hyperlink"/>
            <w:color w:val="54C1AF" w:themeColor="background1"/>
            <w:lang w:val="en-AU"/>
          </w:rPr>
          <w:t>pa.gov.au</w:t>
        </w:r>
      </w:hyperlink>
    </w:p>
    <w:sectPr w:rsidR="00502A09" w:rsidRPr="002D2560" w:rsidSect="00C5503B">
      <w:headerReference w:type="default" r:id="rId39"/>
      <w:footerReference w:type="default" r:id="rId4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BB91" w14:textId="77777777" w:rsidR="00450820" w:rsidRDefault="00450820" w:rsidP="00DC0458">
      <w:pPr>
        <w:spacing w:after="0" w:line="240" w:lineRule="auto"/>
      </w:pPr>
      <w:r>
        <w:separator/>
      </w:r>
    </w:p>
    <w:p w14:paraId="3F8D75F4" w14:textId="77777777" w:rsidR="00450820" w:rsidRDefault="00450820"/>
  </w:endnote>
  <w:endnote w:type="continuationSeparator" w:id="0">
    <w:p w14:paraId="71BC654D" w14:textId="77777777" w:rsidR="00450820" w:rsidRDefault="00450820" w:rsidP="00DC0458">
      <w:pPr>
        <w:spacing w:after="0" w:line="240" w:lineRule="auto"/>
      </w:pPr>
      <w:r>
        <w:continuationSeparator/>
      </w:r>
    </w:p>
    <w:p w14:paraId="6387387A" w14:textId="77777777" w:rsidR="00450820" w:rsidRDefault="00450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regular">
    <w:altName w:val="Cambria"/>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Josefin Sans Bold">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94E5" w14:textId="77777777" w:rsidR="00FC7C40" w:rsidRDefault="00FC7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2872" w14:textId="77777777" w:rsidR="00FC7C40" w:rsidRDefault="00FC7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B378" w14:textId="77777777" w:rsidR="00FC7C40" w:rsidRDefault="00FC7C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4E029FB1" w:rsidR="00493FE8" w:rsidRDefault="00493FE8" w:rsidP="00271FC1">
    <w:pPr>
      <w:pStyle w:val="Footer"/>
      <w:tabs>
        <w:tab w:val="clear" w:pos="4680"/>
        <w:tab w:val="clear" w:pos="9360"/>
        <w:tab w:val="center" w:pos="13750"/>
      </w:tabs>
    </w:pPr>
    <w:r w:rsidRPr="00D20B03">
      <w:rPr>
        <w:b/>
        <w:bCs/>
      </w:rPr>
      <w:t>IHACPA</w:t>
    </w:r>
    <w:r>
      <w:t xml:space="preserve"> </w:t>
    </w:r>
    <w:r w:rsidR="00723269" w:rsidRPr="00723269">
      <w:t>Three Year Data Plan 202</w:t>
    </w:r>
    <w:r w:rsidR="00723269">
      <w:t>3</w:t>
    </w:r>
    <w:r w:rsidR="00723269" w:rsidRPr="00723269">
      <w:t>–2</w:t>
    </w:r>
    <w:r w:rsidR="00723269">
      <w:t>4</w:t>
    </w:r>
    <w:r w:rsidR="00723269" w:rsidRPr="00723269">
      <w:t xml:space="preserve"> to 202</w:t>
    </w:r>
    <w:r w:rsidR="00723269">
      <w:t>5</w:t>
    </w:r>
    <w:r w:rsidR="00723269" w:rsidRPr="00723269">
      <w:t>–2</w:t>
    </w:r>
    <w:r w:rsidR="00723269">
      <w:t>6</w:t>
    </w:r>
    <w:r>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28F9" w14:textId="77777777" w:rsidR="00450820" w:rsidRDefault="00450820" w:rsidP="00DC0458">
      <w:pPr>
        <w:spacing w:after="0" w:line="240" w:lineRule="auto"/>
      </w:pPr>
      <w:r>
        <w:separator/>
      </w:r>
    </w:p>
  </w:footnote>
  <w:footnote w:type="continuationSeparator" w:id="0">
    <w:p w14:paraId="7DEC7BD8" w14:textId="77777777" w:rsidR="00450820" w:rsidRDefault="00450820" w:rsidP="00DC0458">
      <w:pPr>
        <w:spacing w:after="0" w:line="240" w:lineRule="auto"/>
      </w:pPr>
      <w:r>
        <w:continuationSeparator/>
      </w:r>
    </w:p>
  </w:footnote>
  <w:footnote w:type="continuationNotice" w:id="1">
    <w:p w14:paraId="6E81EEB7" w14:textId="77777777" w:rsidR="00450820" w:rsidRDefault="00450820">
      <w:pPr>
        <w:spacing w:after="0" w:line="240" w:lineRule="auto"/>
      </w:pPr>
    </w:p>
  </w:footnote>
  <w:footnote w:id="2">
    <w:p w14:paraId="24A1099E" w14:textId="0704CE9A" w:rsidR="006C6814" w:rsidRPr="006C6814" w:rsidRDefault="006C6814">
      <w:pPr>
        <w:pStyle w:val="FootnoteText"/>
        <w:rPr>
          <w:sz w:val="18"/>
          <w:szCs w:val="18"/>
          <w:lang w:val="en-AU"/>
        </w:rPr>
      </w:pPr>
      <w:r w:rsidRPr="006C6814">
        <w:rPr>
          <w:rStyle w:val="FootnoteReference"/>
          <w:sz w:val="18"/>
          <w:szCs w:val="18"/>
        </w:rPr>
        <w:footnoteRef/>
      </w:r>
      <w:r w:rsidRPr="006C6814">
        <w:rPr>
          <w:sz w:val="18"/>
          <w:szCs w:val="18"/>
        </w:rPr>
        <w:t xml:space="preserve"> As defined in the Metadata Online Registry, the metadata item for the public hospital service research activities cluster is conditional, meaning that the data elements in this cluster are only required to be reported for establishments able to collect data on research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3FD" w14:textId="77777777" w:rsidR="00FC7C40" w:rsidRDefault="00FC7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56704"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CE7C" w14:textId="77777777" w:rsidR="00FC7C40" w:rsidRDefault="00FC7C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50BD25DF" w:rsidR="00493FE8" w:rsidRDefault="00493F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57728"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6F066B"/>
    <w:multiLevelType w:val="hybridMultilevel"/>
    <w:tmpl w:val="EAF2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76A22"/>
    <w:multiLevelType w:val="hybridMultilevel"/>
    <w:tmpl w:val="E114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80CDA"/>
    <w:multiLevelType w:val="hybridMultilevel"/>
    <w:tmpl w:val="6218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C25BA"/>
    <w:multiLevelType w:val="multilevel"/>
    <w:tmpl w:val="CF52F4E4"/>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511B43"/>
    <w:multiLevelType w:val="hybridMultilevel"/>
    <w:tmpl w:val="43A2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339A5"/>
    <w:multiLevelType w:val="hybridMultilevel"/>
    <w:tmpl w:val="42D6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EF78CC"/>
    <w:multiLevelType w:val="hybridMultilevel"/>
    <w:tmpl w:val="0EE6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F1E89"/>
    <w:multiLevelType w:val="hybridMultilevel"/>
    <w:tmpl w:val="38184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38749A"/>
    <w:multiLevelType w:val="hybridMultilevel"/>
    <w:tmpl w:val="F46A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966F40"/>
    <w:multiLevelType w:val="hybridMultilevel"/>
    <w:tmpl w:val="378A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8FD4E38"/>
    <w:multiLevelType w:val="hybridMultilevel"/>
    <w:tmpl w:val="DB2E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2645DE"/>
    <w:multiLevelType w:val="hybridMultilevel"/>
    <w:tmpl w:val="19F0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7E03D2"/>
    <w:multiLevelType w:val="hybridMultilevel"/>
    <w:tmpl w:val="600E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6" w15:restartNumberingAfterBreak="0">
    <w:nsid w:val="55881006"/>
    <w:multiLevelType w:val="hybridMultilevel"/>
    <w:tmpl w:val="F73A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4E36DB"/>
    <w:multiLevelType w:val="hybridMultilevel"/>
    <w:tmpl w:val="456E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13362E"/>
    <w:multiLevelType w:val="hybridMultilevel"/>
    <w:tmpl w:val="86D6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91251"/>
    <w:multiLevelType w:val="hybridMultilevel"/>
    <w:tmpl w:val="093C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821D4A"/>
    <w:multiLevelType w:val="hybridMultilevel"/>
    <w:tmpl w:val="8A36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7F46D2"/>
    <w:multiLevelType w:val="hybridMultilevel"/>
    <w:tmpl w:val="6F66F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F662AD"/>
    <w:multiLevelType w:val="hybridMultilevel"/>
    <w:tmpl w:val="AEA4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F53BB7"/>
    <w:multiLevelType w:val="hybridMultilevel"/>
    <w:tmpl w:val="4032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15"/>
  </w:num>
  <w:num w:numId="5">
    <w:abstractNumId w:val="0"/>
  </w:num>
  <w:num w:numId="6">
    <w:abstractNumId w:val="4"/>
  </w:num>
  <w:num w:numId="7">
    <w:abstractNumId w:val="3"/>
  </w:num>
  <w:num w:numId="8">
    <w:abstractNumId w:val="21"/>
  </w:num>
  <w:num w:numId="9">
    <w:abstractNumId w:val="2"/>
  </w:num>
  <w:num w:numId="10">
    <w:abstractNumId w:val="23"/>
  </w:num>
  <w:num w:numId="11">
    <w:abstractNumId w:val="1"/>
  </w:num>
  <w:num w:numId="12">
    <w:abstractNumId w:val="6"/>
  </w:num>
  <w:num w:numId="13">
    <w:abstractNumId w:val="16"/>
  </w:num>
  <w:num w:numId="14">
    <w:abstractNumId w:val="14"/>
  </w:num>
  <w:num w:numId="15">
    <w:abstractNumId w:val="5"/>
  </w:num>
  <w:num w:numId="16">
    <w:abstractNumId w:val="19"/>
  </w:num>
  <w:num w:numId="17">
    <w:abstractNumId w:val="9"/>
  </w:num>
  <w:num w:numId="18">
    <w:abstractNumId w:val="22"/>
  </w:num>
  <w:num w:numId="19">
    <w:abstractNumId w:val="8"/>
  </w:num>
  <w:num w:numId="20">
    <w:abstractNumId w:val="20"/>
  </w:num>
  <w:num w:numId="21">
    <w:abstractNumId w:val="10"/>
  </w:num>
  <w:num w:numId="22">
    <w:abstractNumId w:val="17"/>
  </w:num>
  <w:num w:numId="23">
    <w:abstractNumId w:val="13"/>
  </w:num>
  <w:num w:numId="24">
    <w:abstractNumId w:val="18"/>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DBE"/>
    <w:rsid w:val="00020A8B"/>
    <w:rsid w:val="000328C3"/>
    <w:rsid w:val="00040667"/>
    <w:rsid w:val="00047CE3"/>
    <w:rsid w:val="00051A7E"/>
    <w:rsid w:val="00062AB7"/>
    <w:rsid w:val="00070BD8"/>
    <w:rsid w:val="00077CF5"/>
    <w:rsid w:val="00090D76"/>
    <w:rsid w:val="000A1964"/>
    <w:rsid w:val="000A635A"/>
    <w:rsid w:val="000B5951"/>
    <w:rsid w:val="000C39D8"/>
    <w:rsid w:val="000E25CC"/>
    <w:rsid w:val="000E6112"/>
    <w:rsid w:val="000F1C1F"/>
    <w:rsid w:val="000F444A"/>
    <w:rsid w:val="000F652E"/>
    <w:rsid w:val="00102321"/>
    <w:rsid w:val="00102FB7"/>
    <w:rsid w:val="001035A0"/>
    <w:rsid w:val="00107591"/>
    <w:rsid w:val="001152D4"/>
    <w:rsid w:val="00115614"/>
    <w:rsid w:val="00122E1E"/>
    <w:rsid w:val="00130A11"/>
    <w:rsid w:val="0013544E"/>
    <w:rsid w:val="00145272"/>
    <w:rsid w:val="00150EF4"/>
    <w:rsid w:val="00164278"/>
    <w:rsid w:val="001650A8"/>
    <w:rsid w:val="00165D3D"/>
    <w:rsid w:val="001829AA"/>
    <w:rsid w:val="00183129"/>
    <w:rsid w:val="0018546E"/>
    <w:rsid w:val="0019177C"/>
    <w:rsid w:val="00192F2F"/>
    <w:rsid w:val="001B29EE"/>
    <w:rsid w:val="001C5E62"/>
    <w:rsid w:val="001D3F15"/>
    <w:rsid w:val="001D58EE"/>
    <w:rsid w:val="001D5BBA"/>
    <w:rsid w:val="001D7EE8"/>
    <w:rsid w:val="001E2B0D"/>
    <w:rsid w:val="001E51CB"/>
    <w:rsid w:val="001F34B0"/>
    <w:rsid w:val="001F4298"/>
    <w:rsid w:val="001F7524"/>
    <w:rsid w:val="002244A2"/>
    <w:rsid w:val="00233D00"/>
    <w:rsid w:val="00257856"/>
    <w:rsid w:val="00257DF2"/>
    <w:rsid w:val="00264D19"/>
    <w:rsid w:val="002709C4"/>
    <w:rsid w:val="00271FC1"/>
    <w:rsid w:val="00274487"/>
    <w:rsid w:val="00276510"/>
    <w:rsid w:val="00287CD5"/>
    <w:rsid w:val="00292ED9"/>
    <w:rsid w:val="002A50EE"/>
    <w:rsid w:val="002C1305"/>
    <w:rsid w:val="002D2560"/>
    <w:rsid w:val="002F174B"/>
    <w:rsid w:val="0030315D"/>
    <w:rsid w:val="00312C78"/>
    <w:rsid w:val="003156D4"/>
    <w:rsid w:val="00315F1A"/>
    <w:rsid w:val="00317A1E"/>
    <w:rsid w:val="00320840"/>
    <w:rsid w:val="0032358C"/>
    <w:rsid w:val="00327582"/>
    <w:rsid w:val="003416D6"/>
    <w:rsid w:val="00342D62"/>
    <w:rsid w:val="00353390"/>
    <w:rsid w:val="0036017B"/>
    <w:rsid w:val="00371EAC"/>
    <w:rsid w:val="00375331"/>
    <w:rsid w:val="003773A8"/>
    <w:rsid w:val="003813A8"/>
    <w:rsid w:val="00384CF7"/>
    <w:rsid w:val="00396ED0"/>
    <w:rsid w:val="003A0467"/>
    <w:rsid w:val="003A41A0"/>
    <w:rsid w:val="003A6179"/>
    <w:rsid w:val="003B24B2"/>
    <w:rsid w:val="003B479C"/>
    <w:rsid w:val="003B646C"/>
    <w:rsid w:val="003B7A0C"/>
    <w:rsid w:val="003C360C"/>
    <w:rsid w:val="003C76F2"/>
    <w:rsid w:val="003D3EC5"/>
    <w:rsid w:val="003E2976"/>
    <w:rsid w:val="00413CD9"/>
    <w:rsid w:val="0042475E"/>
    <w:rsid w:val="00430EA5"/>
    <w:rsid w:val="00440461"/>
    <w:rsid w:val="0044518C"/>
    <w:rsid w:val="00450820"/>
    <w:rsid w:val="00450CA4"/>
    <w:rsid w:val="00451341"/>
    <w:rsid w:val="00456BB6"/>
    <w:rsid w:val="004621A6"/>
    <w:rsid w:val="0048371B"/>
    <w:rsid w:val="004930EE"/>
    <w:rsid w:val="00493FE8"/>
    <w:rsid w:val="00494721"/>
    <w:rsid w:val="0049520A"/>
    <w:rsid w:val="004A41FB"/>
    <w:rsid w:val="004C26D7"/>
    <w:rsid w:val="004D7DD4"/>
    <w:rsid w:val="00502A09"/>
    <w:rsid w:val="005120EE"/>
    <w:rsid w:val="005318DB"/>
    <w:rsid w:val="00533885"/>
    <w:rsid w:val="00543703"/>
    <w:rsid w:val="00567EAE"/>
    <w:rsid w:val="00582F4B"/>
    <w:rsid w:val="005972D0"/>
    <w:rsid w:val="005A4829"/>
    <w:rsid w:val="005D18A7"/>
    <w:rsid w:val="005D48DE"/>
    <w:rsid w:val="005E330F"/>
    <w:rsid w:val="005F15C4"/>
    <w:rsid w:val="005F7854"/>
    <w:rsid w:val="006026DD"/>
    <w:rsid w:val="006058CF"/>
    <w:rsid w:val="006117DF"/>
    <w:rsid w:val="006171CB"/>
    <w:rsid w:val="006213C4"/>
    <w:rsid w:val="00636846"/>
    <w:rsid w:val="006402BD"/>
    <w:rsid w:val="00640F4A"/>
    <w:rsid w:val="00641DBF"/>
    <w:rsid w:val="00670A7F"/>
    <w:rsid w:val="00677294"/>
    <w:rsid w:val="00683542"/>
    <w:rsid w:val="00685E62"/>
    <w:rsid w:val="0069389F"/>
    <w:rsid w:val="00696592"/>
    <w:rsid w:val="00697274"/>
    <w:rsid w:val="006B1031"/>
    <w:rsid w:val="006C13CE"/>
    <w:rsid w:val="006C33DD"/>
    <w:rsid w:val="006C6814"/>
    <w:rsid w:val="006D0BA2"/>
    <w:rsid w:val="006E351D"/>
    <w:rsid w:val="006F2EFC"/>
    <w:rsid w:val="007008EB"/>
    <w:rsid w:val="00701984"/>
    <w:rsid w:val="00701FD0"/>
    <w:rsid w:val="00707A91"/>
    <w:rsid w:val="00710113"/>
    <w:rsid w:val="00723269"/>
    <w:rsid w:val="00725C3A"/>
    <w:rsid w:val="007354FF"/>
    <w:rsid w:val="007403BC"/>
    <w:rsid w:val="007622B9"/>
    <w:rsid w:val="007639EC"/>
    <w:rsid w:val="007667FC"/>
    <w:rsid w:val="00771747"/>
    <w:rsid w:val="0077245A"/>
    <w:rsid w:val="00775E50"/>
    <w:rsid w:val="007764C1"/>
    <w:rsid w:val="007876D2"/>
    <w:rsid w:val="00790C87"/>
    <w:rsid w:val="007B307D"/>
    <w:rsid w:val="007B6A60"/>
    <w:rsid w:val="007C1BF1"/>
    <w:rsid w:val="007D6D8F"/>
    <w:rsid w:val="007F1B0A"/>
    <w:rsid w:val="007F3660"/>
    <w:rsid w:val="00801B78"/>
    <w:rsid w:val="00801C5C"/>
    <w:rsid w:val="0084544F"/>
    <w:rsid w:val="00872C1D"/>
    <w:rsid w:val="00884F57"/>
    <w:rsid w:val="008B1300"/>
    <w:rsid w:val="008B39F8"/>
    <w:rsid w:val="008C6256"/>
    <w:rsid w:val="008D3054"/>
    <w:rsid w:val="008F44BA"/>
    <w:rsid w:val="008F4E00"/>
    <w:rsid w:val="009053F4"/>
    <w:rsid w:val="0092379F"/>
    <w:rsid w:val="0093534E"/>
    <w:rsid w:val="009432E0"/>
    <w:rsid w:val="009511A5"/>
    <w:rsid w:val="00952D72"/>
    <w:rsid w:val="00966AF6"/>
    <w:rsid w:val="009702A9"/>
    <w:rsid w:val="009721F9"/>
    <w:rsid w:val="00977E6D"/>
    <w:rsid w:val="009A42FC"/>
    <w:rsid w:val="009B5C43"/>
    <w:rsid w:val="009B6CDE"/>
    <w:rsid w:val="009D3C75"/>
    <w:rsid w:val="009D3D28"/>
    <w:rsid w:val="009D5FD8"/>
    <w:rsid w:val="009E1F85"/>
    <w:rsid w:val="009E2EC2"/>
    <w:rsid w:val="009E386D"/>
    <w:rsid w:val="009E5FB4"/>
    <w:rsid w:val="009F0034"/>
    <w:rsid w:val="009F266F"/>
    <w:rsid w:val="00A229CD"/>
    <w:rsid w:val="00A36A90"/>
    <w:rsid w:val="00A47BBB"/>
    <w:rsid w:val="00A51E38"/>
    <w:rsid w:val="00A5626C"/>
    <w:rsid w:val="00A57B6A"/>
    <w:rsid w:val="00A6088E"/>
    <w:rsid w:val="00A77B94"/>
    <w:rsid w:val="00A9781B"/>
    <w:rsid w:val="00AA2F42"/>
    <w:rsid w:val="00AC3066"/>
    <w:rsid w:val="00AC3DF7"/>
    <w:rsid w:val="00AC4038"/>
    <w:rsid w:val="00AD22E1"/>
    <w:rsid w:val="00AD7862"/>
    <w:rsid w:val="00AE1DFB"/>
    <w:rsid w:val="00AE50E1"/>
    <w:rsid w:val="00AE6B2A"/>
    <w:rsid w:val="00AF1A53"/>
    <w:rsid w:val="00B11E69"/>
    <w:rsid w:val="00B31DDE"/>
    <w:rsid w:val="00B33F98"/>
    <w:rsid w:val="00B65C63"/>
    <w:rsid w:val="00B70D33"/>
    <w:rsid w:val="00B73B9F"/>
    <w:rsid w:val="00B954CB"/>
    <w:rsid w:val="00BA668E"/>
    <w:rsid w:val="00BA7591"/>
    <w:rsid w:val="00BC01D2"/>
    <w:rsid w:val="00BC3F16"/>
    <w:rsid w:val="00BD25FC"/>
    <w:rsid w:val="00BF3178"/>
    <w:rsid w:val="00BF6BA3"/>
    <w:rsid w:val="00C30A89"/>
    <w:rsid w:val="00C37BAD"/>
    <w:rsid w:val="00C4675D"/>
    <w:rsid w:val="00C471F6"/>
    <w:rsid w:val="00C53D3C"/>
    <w:rsid w:val="00C5503B"/>
    <w:rsid w:val="00C61A87"/>
    <w:rsid w:val="00C637F1"/>
    <w:rsid w:val="00C650F2"/>
    <w:rsid w:val="00C80268"/>
    <w:rsid w:val="00C86BFF"/>
    <w:rsid w:val="00C93CE9"/>
    <w:rsid w:val="00C9519B"/>
    <w:rsid w:val="00CA0437"/>
    <w:rsid w:val="00CA1505"/>
    <w:rsid w:val="00CA2692"/>
    <w:rsid w:val="00CA6E08"/>
    <w:rsid w:val="00CB4D04"/>
    <w:rsid w:val="00CB5F47"/>
    <w:rsid w:val="00CC4C1B"/>
    <w:rsid w:val="00CE753C"/>
    <w:rsid w:val="00CF26C0"/>
    <w:rsid w:val="00D06E04"/>
    <w:rsid w:val="00D20B03"/>
    <w:rsid w:val="00D2543C"/>
    <w:rsid w:val="00D34242"/>
    <w:rsid w:val="00D3571E"/>
    <w:rsid w:val="00D6249D"/>
    <w:rsid w:val="00D8514A"/>
    <w:rsid w:val="00D8680B"/>
    <w:rsid w:val="00D86D7C"/>
    <w:rsid w:val="00D9124B"/>
    <w:rsid w:val="00D94116"/>
    <w:rsid w:val="00DA1178"/>
    <w:rsid w:val="00DB4EA8"/>
    <w:rsid w:val="00DB5706"/>
    <w:rsid w:val="00DC0458"/>
    <w:rsid w:val="00DC0C1B"/>
    <w:rsid w:val="00DC11EE"/>
    <w:rsid w:val="00DD0C04"/>
    <w:rsid w:val="00DD17BE"/>
    <w:rsid w:val="00DE478B"/>
    <w:rsid w:val="00DE6715"/>
    <w:rsid w:val="00E04BDE"/>
    <w:rsid w:val="00E1127E"/>
    <w:rsid w:val="00E170FF"/>
    <w:rsid w:val="00E234C7"/>
    <w:rsid w:val="00E23664"/>
    <w:rsid w:val="00E24D0E"/>
    <w:rsid w:val="00E353BC"/>
    <w:rsid w:val="00E40CCE"/>
    <w:rsid w:val="00E426C6"/>
    <w:rsid w:val="00E456EF"/>
    <w:rsid w:val="00E55C8E"/>
    <w:rsid w:val="00E763E3"/>
    <w:rsid w:val="00EA070A"/>
    <w:rsid w:val="00EA48D2"/>
    <w:rsid w:val="00EA4BD2"/>
    <w:rsid w:val="00EB1883"/>
    <w:rsid w:val="00EB40B0"/>
    <w:rsid w:val="00EC370A"/>
    <w:rsid w:val="00EC4537"/>
    <w:rsid w:val="00ED6165"/>
    <w:rsid w:val="00ED7AC4"/>
    <w:rsid w:val="00EE0A91"/>
    <w:rsid w:val="00EE4FDD"/>
    <w:rsid w:val="00EE517D"/>
    <w:rsid w:val="00F016EC"/>
    <w:rsid w:val="00F031F7"/>
    <w:rsid w:val="00F13756"/>
    <w:rsid w:val="00F362B2"/>
    <w:rsid w:val="00F50D93"/>
    <w:rsid w:val="00F51659"/>
    <w:rsid w:val="00F63519"/>
    <w:rsid w:val="00F67821"/>
    <w:rsid w:val="00F72C9E"/>
    <w:rsid w:val="00F7485C"/>
    <w:rsid w:val="00F74CE6"/>
    <w:rsid w:val="00F863EB"/>
    <w:rsid w:val="00F87F2B"/>
    <w:rsid w:val="00F95700"/>
    <w:rsid w:val="00F9646F"/>
    <w:rsid w:val="00FA0B55"/>
    <w:rsid w:val="00FA1958"/>
    <w:rsid w:val="00FA1EA6"/>
    <w:rsid w:val="00FA3487"/>
    <w:rsid w:val="00FA70CF"/>
    <w:rsid w:val="00FB2F89"/>
    <w:rsid w:val="00FC1EA2"/>
    <w:rsid w:val="00FC3951"/>
    <w:rsid w:val="00FC4B2D"/>
    <w:rsid w:val="00FC56D7"/>
    <w:rsid w:val="00FC7C40"/>
    <w:rsid w:val="00FF0BEC"/>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271FC1"/>
    <w:pPr>
      <w:keepNext/>
      <w:keepLines/>
      <w:numPr>
        <w:numId w:val="6"/>
      </w:numPr>
      <w:spacing w:after="480"/>
      <w:ind w:left="993" w:hanging="993"/>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3156D4"/>
    <w:pPr>
      <w:keepNext/>
      <w:keepLines/>
      <w:numPr>
        <w:ilvl w:val="1"/>
        <w:numId w:val="6"/>
      </w:numPr>
      <w:spacing w:before="240" w:after="240"/>
      <w:ind w:left="851" w:hanging="851"/>
      <w:outlineLvl w:val="1"/>
    </w:pPr>
    <w:rPr>
      <w:rFonts w:eastAsiaTheme="majorEastAsia" w:cstheme="majorBidi"/>
      <w:b/>
      <w:color w:val="104F99" w:themeColor="accent2"/>
      <w:sz w:val="36"/>
      <w:szCs w:val="26"/>
      <w:lang w:val="en-AU"/>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FC1"/>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3156D4"/>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Level2"/>
    <w:link w:val="ListLevel1Char"/>
    <w:qFormat/>
    <w:rsid w:val="0049520A"/>
    <w:pPr>
      <w:numPr>
        <w:numId w:val="5"/>
      </w:numPr>
    </w:p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49520A"/>
    <w:rPr>
      <w:rFonts w:ascii="Arial" w:hAnsi="Arial"/>
      <w:color w:val="15272F" w:themeColor="text1"/>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basedOn w:val="Normal"/>
    <w:uiPriority w:val="34"/>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uiPriority w:val="39"/>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uiPriority w:val="99"/>
    <w:semiHidden/>
    <w:unhideWhenUsed/>
    <w:rsid w:val="00D357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71E"/>
    <w:rPr>
      <w:rFonts w:ascii="Arial" w:hAnsi="Arial"/>
      <w:color w:val="15272F" w:themeColor="text1"/>
      <w:sz w:val="20"/>
      <w:szCs w:val="20"/>
    </w:rPr>
  </w:style>
  <w:style w:type="character" w:styleId="FootnoteReference">
    <w:name w:val="footnote reference"/>
    <w:basedOn w:val="DefaultParagraphFont"/>
    <w:uiPriority w:val="99"/>
    <w:semiHidden/>
    <w:unhideWhenUsed/>
    <w:rsid w:val="00D3571E"/>
    <w:rPr>
      <w:vertAlign w:val="superscript"/>
    </w:rPr>
  </w:style>
  <w:style w:type="character" w:styleId="FollowedHyperlink">
    <w:name w:val="FollowedHyperlink"/>
    <w:basedOn w:val="DefaultParagraphFont"/>
    <w:uiPriority w:val="99"/>
    <w:semiHidden/>
    <w:unhideWhenUsed/>
    <w:rsid w:val="009A42FC"/>
    <w:rPr>
      <w:color w:val="104F99" w:themeColor="followedHyperlink"/>
      <w:u w:val="single"/>
    </w:rPr>
  </w:style>
  <w:style w:type="paragraph" w:styleId="TOC2">
    <w:name w:val="toc 2"/>
    <w:basedOn w:val="Normal"/>
    <w:next w:val="Normal"/>
    <w:autoRedefine/>
    <w:uiPriority w:val="39"/>
    <w:unhideWhenUsed/>
    <w:rsid w:val="00725C3A"/>
    <w:pPr>
      <w:spacing w:after="100"/>
      <w:ind w:left="220"/>
    </w:pPr>
  </w:style>
  <w:style w:type="paragraph" w:styleId="TOC3">
    <w:name w:val="toc 3"/>
    <w:basedOn w:val="Normal"/>
    <w:next w:val="Normal"/>
    <w:autoRedefine/>
    <w:uiPriority w:val="39"/>
    <w:unhideWhenUsed/>
    <w:rsid w:val="00725C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protectivesecurity.gov.au/about"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publichospitalfunding.gov.au/"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meteor.aihw.gov.au/content/182135" TargetMode="External"/><Relationship Id="rId33" Type="http://schemas.openxmlformats.org/officeDocument/2006/relationships/hyperlink" Target="https://www.ihacpa.gov.au/health-care/data/data-collection" TargetMode="External"/><Relationship Id="rId38" Type="http://schemas.openxmlformats.org/officeDocument/2006/relationships/hyperlink" Target="http://www.ihacpa.gov.au/"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www.legislation.gov.au/Details/C2016C01050" TargetMode="External"/><Relationship Id="rId29" Type="http://schemas.openxmlformats.org/officeDocument/2006/relationships/hyperlink" Target="https://www.ihacpa.gov.au/health-care/pricing/nwau-calculato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aihw.gov.au/our-services/committees/national-health-data-and-information-standards-com" TargetMode="External"/><Relationship Id="rId32" Type="http://schemas.openxmlformats.org/officeDocument/2006/relationships/hyperlink" Target="https://www.safetyandquality.gov.au/our-work/indicators-measurement-and-reporting/incident-management-and-sentinel-events" TargetMode="External"/><Relationship Id="rId37" Type="http://schemas.openxmlformats.org/officeDocument/2006/relationships/hyperlink" Target="https://twitter.com/IHACPA"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meteor.aihw.gov.au/content/index.phtml/itemId/181162" TargetMode="External"/><Relationship Id="rId28" Type="http://schemas.openxmlformats.org/officeDocument/2006/relationships/hyperlink" Target="https://www.cyber.gov.au/ism" TargetMode="External"/><Relationship Id="rId36" Type="http://schemas.openxmlformats.org/officeDocument/2006/relationships/hyperlink" Target="mailto:enquiries.ihacpa@ihacpa.gov.au" TargetMode="External"/><Relationship Id="rId10" Type="http://schemas.openxmlformats.org/officeDocument/2006/relationships/header" Target="header1.xml"/><Relationship Id="rId19" Type="http://schemas.openxmlformats.org/officeDocument/2006/relationships/hyperlink" Target="https://federalfinancialrelations.gov.au/sites/federalfinancialrelations.gov.au/files/2021-08/national-agreement.pdf" TargetMode="External"/><Relationship Id="rId31" Type="http://schemas.openxmlformats.org/officeDocument/2006/relationships/hyperlink" Target="https://meteor.aihw.gov.au/content/395090"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hyperlink" Target="https://www.legislation.gov.au/Details/C2022A00034" TargetMode="External"/><Relationship Id="rId27" Type="http://schemas.openxmlformats.org/officeDocument/2006/relationships/hyperlink" Target="https://www.ihacpa.gov.au/resources/data-access-and-release-policy-version-60" TargetMode="External"/><Relationship Id="rId30" Type="http://schemas.openxmlformats.org/officeDocument/2006/relationships/hyperlink" Target="https://www.ihacpa.gov.au/health-care/costing/australian-hospital-patient-costing-standards" TargetMode="External"/><Relationship Id="rId35"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8407</Words>
  <Characters>47924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2023-05-29T02:44:00Z</dcterms:created>
  <dcterms:modified xsi:type="dcterms:W3CDTF">2023-05-29T23:29:00Z</dcterms:modified>
</cp:coreProperties>
</file>