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1D48233C" w:rsidR="00257DF2" w:rsidRDefault="00257DF2" w:rsidP="00D60A37">
      <w:pPr>
        <w:spacing w:after="1680"/>
      </w:pPr>
    </w:p>
    <w:p w14:paraId="65F3B146" w14:textId="7189A105" w:rsidR="00257DF2" w:rsidRPr="00257DF2" w:rsidRDefault="004744DC" w:rsidP="00257DF2">
      <w:pPr>
        <w:pStyle w:val="CoverTitle"/>
        <w:rPr>
          <w:color w:val="15272F" w:themeColor="text1"/>
        </w:rPr>
      </w:pPr>
      <w:r>
        <w:rPr>
          <w:color w:val="15272F" w:themeColor="text1"/>
        </w:rPr>
        <w:t>Residential Aged Care Pricing Advice 2023-24</w:t>
      </w:r>
    </w:p>
    <w:p w14:paraId="2487B42A" w14:textId="14825E14" w:rsidR="001F2735" w:rsidRDefault="004744DC" w:rsidP="001F2735">
      <w:pPr>
        <w:pStyle w:val="Coversubtitle"/>
        <w:rPr>
          <w:color w:val="104F99" w:themeColor="accent2"/>
        </w:rPr>
      </w:pPr>
      <w:r>
        <w:rPr>
          <w:color w:val="104F99" w:themeColor="accent2"/>
        </w:rPr>
        <w:t>Technical Specifications</w:t>
      </w:r>
    </w:p>
    <w:p w14:paraId="383A1164" w14:textId="77777777" w:rsidR="00151C3D" w:rsidRPr="00151C3D" w:rsidRDefault="00151C3D" w:rsidP="00151C3D"/>
    <w:p w14:paraId="4A60CB44" w14:textId="65A9A55F" w:rsidR="00151C3D" w:rsidRPr="00151C3D" w:rsidRDefault="00151C3D" w:rsidP="00151C3D">
      <w:pPr>
        <w:sectPr w:rsidR="00151C3D" w:rsidRPr="00151C3D" w:rsidSect="00D60A37">
          <w:headerReference w:type="default" r:id="rId11"/>
          <w:footerReference w:type="default" r:id="rId12"/>
          <w:pgSz w:w="11906" w:h="16838" w:code="9"/>
          <w:pgMar w:top="1440" w:right="1080" w:bottom="1440" w:left="1080" w:header="708" w:footer="1134" w:gutter="0"/>
          <w:cols w:space="720"/>
          <w:docGrid w:linePitch="360"/>
        </w:sectPr>
      </w:pPr>
    </w:p>
    <w:p w14:paraId="6DFC26B5" w14:textId="295D8815" w:rsidR="003C3623" w:rsidRPr="007372C2" w:rsidRDefault="004744DC" w:rsidP="003C3623">
      <w:pPr>
        <w:pStyle w:val="Copyrightheading"/>
      </w:pPr>
      <w:r>
        <w:lastRenderedPageBreak/>
        <w:t>Residential Aged Care Pricing Adv</w:t>
      </w:r>
      <w:r w:rsidR="000033E9">
        <w:t>i</w:t>
      </w:r>
      <w:r>
        <w:t>ce 2023-24 Technical Specifications</w:t>
      </w:r>
      <w:r w:rsidR="003C3623" w:rsidRPr="007372C2">
        <w:t xml:space="preserve"> </w:t>
      </w:r>
      <w:r w:rsidR="003C3623" w:rsidRPr="007372C2">
        <w:rPr>
          <w:rFonts w:hint="cs"/>
        </w:rPr>
        <w:t>—</w:t>
      </w:r>
      <w:r w:rsidR="00B1072E">
        <w:t xml:space="preserve"> </w:t>
      </w:r>
      <w:r w:rsidR="00E0425A">
        <w:t xml:space="preserve">May </w:t>
      </w:r>
      <w:r w:rsidR="006C600F">
        <w:t>2023</w:t>
      </w:r>
    </w:p>
    <w:p w14:paraId="7D65D706" w14:textId="770738AB" w:rsidR="003C3623" w:rsidRPr="007372C2" w:rsidRDefault="003C3623" w:rsidP="003C3623">
      <w:pPr>
        <w:pStyle w:val="Copyrightcopy"/>
      </w:pPr>
      <w:r w:rsidRPr="007372C2">
        <w:rPr>
          <w:rFonts w:hint="cs"/>
        </w:rPr>
        <w:t>©</w:t>
      </w:r>
      <w:r w:rsidRPr="007372C2">
        <w:t xml:space="preserve"> Independent Health and Aged Care Pricing Authority 202</w:t>
      </w:r>
      <w:r w:rsidR="00F34786">
        <w:t>3</w:t>
      </w:r>
    </w:p>
    <w:p w14:paraId="46F70953" w14:textId="77777777" w:rsidR="003C3623" w:rsidRPr="007372C2" w:rsidRDefault="003C3623" w:rsidP="003C3623">
      <w:pPr>
        <w:pStyle w:val="Copyrightcopy"/>
      </w:pPr>
      <w:r w:rsidRPr="007372C2">
        <w:t>This publication is available for your use under a Creative Commons BY Attribution 3.0 Australia licence, with the exception of the Independent Health and Aged Care Pricing Authority logo, photographs, images, signatures and where otherwise stated. The full licence terms are available from the Creative Commons website.</w:t>
      </w:r>
    </w:p>
    <w:p w14:paraId="0E2D90A5" w14:textId="77777777" w:rsidR="003C3623" w:rsidRPr="006549FC" w:rsidRDefault="003C3623" w:rsidP="003C3623">
      <w:pPr>
        <w:pStyle w:val="Copyrightcopy"/>
        <w:rPr>
          <w:lang w:val="en-AU"/>
        </w:rPr>
      </w:pPr>
      <w:r w:rsidRPr="007372C2">
        <w:rPr>
          <w:noProof/>
          <w:lang w:val="en-US"/>
        </w:rPr>
        <w:drawing>
          <wp:inline distT="0" distB="0" distL="0" distR="0" wp14:anchorId="59F99E18" wp14:editId="5832E272">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3">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512B51B" w14:textId="77777777" w:rsidR="003C3623" w:rsidRPr="007372C2" w:rsidRDefault="003C3623" w:rsidP="003C3623">
      <w:pPr>
        <w:pStyle w:val="Copyrightcopy"/>
      </w:pPr>
      <w:r w:rsidRPr="007372C2">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w:t>
      </w:r>
      <w:r w:rsidRPr="007372C2">
        <w:rPr>
          <w:rFonts w:hint="cs"/>
        </w:rPr>
        <w:t> </w:t>
      </w:r>
      <w:r w:rsidRPr="007372C2">
        <w:t>work).</w:t>
      </w:r>
    </w:p>
    <w:p w14:paraId="39BA71E6" w14:textId="77777777" w:rsidR="003C3623" w:rsidRPr="007372C2" w:rsidRDefault="003C3623" w:rsidP="003C3623">
      <w:pPr>
        <w:pStyle w:val="Copyrightcopy"/>
      </w:pPr>
      <w:r w:rsidRPr="007372C2">
        <w:t>Independent Health and Aged Care Pricing Authority material used 'as supplied'.</w:t>
      </w:r>
    </w:p>
    <w:p w14:paraId="40B05B06" w14:textId="77777777" w:rsidR="003C3623" w:rsidRPr="007372C2" w:rsidRDefault="003C3623" w:rsidP="003C3623">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6BE374A4" w14:textId="736DB285" w:rsidR="003C3623" w:rsidRDefault="003C3623" w:rsidP="003C3623">
      <w:pPr>
        <w:pStyle w:val="Copyrightcopy"/>
        <w:sectPr w:rsidR="003C3623" w:rsidSect="003C3623">
          <w:headerReference w:type="default" r:id="rId14"/>
          <w:footerReference w:type="default" r:id="rId15"/>
          <w:pgSz w:w="11906" w:h="16838" w:code="9"/>
          <w:pgMar w:top="7371" w:right="1077" w:bottom="1440" w:left="1077" w:header="709" w:footer="709" w:gutter="0"/>
          <w:cols w:space="720"/>
          <w:docGrid w:linePitch="360"/>
        </w:sectPr>
      </w:pPr>
      <w:r w:rsidRPr="007372C2">
        <w:t>Source: The Independent Health and Aged Care Pricing</w:t>
      </w:r>
      <w:r w:rsidRPr="007372C2">
        <w:rPr>
          <w:rFonts w:hint="cs"/>
        </w:rPr>
        <w:t> </w:t>
      </w:r>
      <w:r w:rsidRPr="007372C2">
        <w:t>Authority</w:t>
      </w:r>
    </w:p>
    <w:p w14:paraId="10BD0C00" w14:textId="17CA9A1E" w:rsidR="004C3334" w:rsidRDefault="004C3334" w:rsidP="004C3334">
      <w:pPr>
        <w:pStyle w:val="TOCHeading"/>
        <w:outlineLvl w:val="9"/>
      </w:pPr>
      <w:r>
        <w:lastRenderedPageBreak/>
        <w:t>Contents</w:t>
      </w:r>
    </w:p>
    <w:p w14:paraId="3E3AC241" w14:textId="7D9A7F60" w:rsidR="00B1072E" w:rsidRDefault="004C3334">
      <w:pPr>
        <w:pStyle w:val="TOC1"/>
        <w:tabs>
          <w:tab w:val="left" w:pos="440"/>
          <w:tab w:val="right" w:leader="dot" w:pos="9736"/>
        </w:tabs>
        <w:rPr>
          <w:rFonts w:asciiTheme="minorHAnsi" w:eastAsiaTheme="minorEastAsia" w:hAnsiTheme="minorHAnsi" w:hint="eastAsia"/>
          <w:b w:val="0"/>
          <w:noProof/>
          <w:color w:val="auto"/>
          <w:sz w:val="22"/>
          <w:lang w:val="en-AU" w:eastAsia="en-AU"/>
        </w:rPr>
      </w:pPr>
      <w:r>
        <w:rPr>
          <w:b w:val="0"/>
        </w:rPr>
        <w:fldChar w:fldCharType="begin"/>
      </w:r>
      <w:r>
        <w:rPr>
          <w:b w:val="0"/>
        </w:rPr>
        <w:instrText xml:space="preserve"> TOC \o "1-2" \h \z \u </w:instrText>
      </w:r>
      <w:r>
        <w:rPr>
          <w:b w:val="0"/>
        </w:rPr>
        <w:fldChar w:fldCharType="separate"/>
      </w:r>
      <w:hyperlink w:anchor="_Toc134183591" w:history="1">
        <w:r w:rsidR="00B1072E" w:rsidRPr="005360FF">
          <w:rPr>
            <w:rStyle w:val="Hyperlink"/>
            <w:noProof/>
          </w:rPr>
          <w:t>1</w:t>
        </w:r>
        <w:r w:rsidR="00B1072E">
          <w:rPr>
            <w:rFonts w:asciiTheme="minorHAnsi" w:eastAsiaTheme="minorEastAsia" w:hAnsiTheme="minorHAnsi"/>
            <w:b w:val="0"/>
            <w:noProof/>
            <w:color w:val="auto"/>
            <w:sz w:val="22"/>
            <w:lang w:val="en-AU" w:eastAsia="en-AU"/>
          </w:rPr>
          <w:tab/>
        </w:r>
        <w:r w:rsidR="00B1072E" w:rsidRPr="005360FF">
          <w:rPr>
            <w:rStyle w:val="Hyperlink"/>
            <w:noProof/>
          </w:rPr>
          <w:t>Overview</w:t>
        </w:r>
        <w:r w:rsidR="00B1072E">
          <w:rPr>
            <w:noProof/>
            <w:webHidden/>
          </w:rPr>
          <w:tab/>
        </w:r>
        <w:r w:rsidR="00B1072E">
          <w:rPr>
            <w:noProof/>
            <w:webHidden/>
          </w:rPr>
          <w:fldChar w:fldCharType="begin"/>
        </w:r>
        <w:r w:rsidR="00B1072E">
          <w:rPr>
            <w:noProof/>
            <w:webHidden/>
          </w:rPr>
          <w:instrText xml:space="preserve"> PAGEREF _Toc134183591 \h </w:instrText>
        </w:r>
        <w:r w:rsidR="00B1072E">
          <w:rPr>
            <w:noProof/>
            <w:webHidden/>
          </w:rPr>
        </w:r>
        <w:r w:rsidR="00B1072E">
          <w:rPr>
            <w:noProof/>
            <w:webHidden/>
          </w:rPr>
          <w:fldChar w:fldCharType="separate"/>
        </w:r>
        <w:r w:rsidR="00B1072E">
          <w:rPr>
            <w:noProof/>
            <w:webHidden/>
          </w:rPr>
          <w:t>5</w:t>
        </w:r>
        <w:r w:rsidR="00B1072E">
          <w:rPr>
            <w:noProof/>
            <w:webHidden/>
          </w:rPr>
          <w:fldChar w:fldCharType="end"/>
        </w:r>
      </w:hyperlink>
    </w:p>
    <w:p w14:paraId="6F3B03AA" w14:textId="57025F58"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2" w:history="1">
        <w:r w:rsidR="00B1072E" w:rsidRPr="005360FF">
          <w:rPr>
            <w:rStyle w:val="Hyperlink"/>
            <w:noProof/>
          </w:rPr>
          <w:t>1.1</w:t>
        </w:r>
        <w:r w:rsidR="00B1072E">
          <w:rPr>
            <w:rFonts w:asciiTheme="minorHAnsi" w:eastAsiaTheme="minorEastAsia" w:hAnsiTheme="minorHAnsi"/>
            <w:noProof/>
            <w:color w:val="auto"/>
            <w:lang w:val="en-AU" w:eastAsia="en-AU"/>
          </w:rPr>
          <w:tab/>
        </w:r>
        <w:r w:rsidR="00B1072E" w:rsidRPr="005360FF">
          <w:rPr>
            <w:rStyle w:val="Hyperlink"/>
            <w:noProof/>
          </w:rPr>
          <w:t>Purpose</w:t>
        </w:r>
        <w:r w:rsidR="00B1072E">
          <w:rPr>
            <w:noProof/>
            <w:webHidden/>
          </w:rPr>
          <w:tab/>
        </w:r>
        <w:r w:rsidR="00B1072E">
          <w:rPr>
            <w:noProof/>
            <w:webHidden/>
          </w:rPr>
          <w:fldChar w:fldCharType="begin"/>
        </w:r>
        <w:r w:rsidR="00B1072E">
          <w:rPr>
            <w:noProof/>
            <w:webHidden/>
          </w:rPr>
          <w:instrText xml:space="preserve"> PAGEREF _Toc134183592 \h </w:instrText>
        </w:r>
        <w:r w:rsidR="00B1072E">
          <w:rPr>
            <w:noProof/>
            <w:webHidden/>
          </w:rPr>
        </w:r>
        <w:r w:rsidR="00B1072E">
          <w:rPr>
            <w:noProof/>
            <w:webHidden/>
          </w:rPr>
          <w:fldChar w:fldCharType="separate"/>
        </w:r>
        <w:r w:rsidR="00B1072E">
          <w:rPr>
            <w:noProof/>
            <w:webHidden/>
          </w:rPr>
          <w:t>5</w:t>
        </w:r>
        <w:r w:rsidR="00B1072E">
          <w:rPr>
            <w:noProof/>
            <w:webHidden/>
          </w:rPr>
          <w:fldChar w:fldCharType="end"/>
        </w:r>
      </w:hyperlink>
    </w:p>
    <w:p w14:paraId="4608789C" w14:textId="64EA23FD"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3" w:history="1">
        <w:r w:rsidR="00B1072E" w:rsidRPr="005360FF">
          <w:rPr>
            <w:rStyle w:val="Hyperlink"/>
            <w:noProof/>
          </w:rPr>
          <w:t>1.2</w:t>
        </w:r>
        <w:r w:rsidR="00B1072E">
          <w:rPr>
            <w:rFonts w:asciiTheme="minorHAnsi" w:eastAsiaTheme="minorEastAsia" w:hAnsiTheme="minorHAnsi"/>
            <w:noProof/>
            <w:color w:val="auto"/>
            <w:lang w:val="en-AU" w:eastAsia="en-AU"/>
          </w:rPr>
          <w:tab/>
        </w:r>
        <w:r w:rsidR="00B1072E" w:rsidRPr="005360FF">
          <w:rPr>
            <w:rStyle w:val="Hyperlink"/>
            <w:noProof/>
          </w:rPr>
          <w:t>Background</w:t>
        </w:r>
        <w:r w:rsidR="00B1072E">
          <w:rPr>
            <w:noProof/>
            <w:webHidden/>
          </w:rPr>
          <w:tab/>
        </w:r>
        <w:r w:rsidR="00B1072E">
          <w:rPr>
            <w:noProof/>
            <w:webHidden/>
          </w:rPr>
          <w:fldChar w:fldCharType="begin"/>
        </w:r>
        <w:r w:rsidR="00B1072E">
          <w:rPr>
            <w:noProof/>
            <w:webHidden/>
          </w:rPr>
          <w:instrText xml:space="preserve"> PAGEREF _Toc134183593 \h </w:instrText>
        </w:r>
        <w:r w:rsidR="00B1072E">
          <w:rPr>
            <w:noProof/>
            <w:webHidden/>
          </w:rPr>
        </w:r>
        <w:r w:rsidR="00B1072E">
          <w:rPr>
            <w:noProof/>
            <w:webHidden/>
          </w:rPr>
          <w:fldChar w:fldCharType="separate"/>
        </w:r>
        <w:r w:rsidR="00B1072E">
          <w:rPr>
            <w:noProof/>
            <w:webHidden/>
          </w:rPr>
          <w:t>5</w:t>
        </w:r>
        <w:r w:rsidR="00B1072E">
          <w:rPr>
            <w:noProof/>
            <w:webHidden/>
          </w:rPr>
          <w:fldChar w:fldCharType="end"/>
        </w:r>
      </w:hyperlink>
    </w:p>
    <w:p w14:paraId="4E07C938" w14:textId="025B202C"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4" w:history="1">
        <w:r w:rsidR="00B1072E" w:rsidRPr="005360FF">
          <w:rPr>
            <w:rStyle w:val="Hyperlink"/>
            <w:noProof/>
          </w:rPr>
          <w:t>1.3</w:t>
        </w:r>
        <w:r w:rsidR="00B1072E">
          <w:rPr>
            <w:rFonts w:asciiTheme="minorHAnsi" w:eastAsiaTheme="minorEastAsia" w:hAnsiTheme="minorHAnsi"/>
            <w:noProof/>
            <w:color w:val="auto"/>
            <w:lang w:val="en-AU" w:eastAsia="en-AU"/>
          </w:rPr>
          <w:tab/>
        </w:r>
        <w:r w:rsidR="00B1072E" w:rsidRPr="005360FF">
          <w:rPr>
            <w:rStyle w:val="Hyperlink"/>
            <w:noProof/>
          </w:rPr>
          <w:t>Residential aged care pricing advice process</w:t>
        </w:r>
        <w:r w:rsidR="00B1072E">
          <w:rPr>
            <w:noProof/>
            <w:webHidden/>
          </w:rPr>
          <w:tab/>
        </w:r>
        <w:r w:rsidR="00B1072E">
          <w:rPr>
            <w:noProof/>
            <w:webHidden/>
          </w:rPr>
          <w:fldChar w:fldCharType="begin"/>
        </w:r>
        <w:r w:rsidR="00B1072E">
          <w:rPr>
            <w:noProof/>
            <w:webHidden/>
          </w:rPr>
          <w:instrText xml:space="preserve"> PAGEREF _Toc134183594 \h </w:instrText>
        </w:r>
        <w:r w:rsidR="00B1072E">
          <w:rPr>
            <w:noProof/>
            <w:webHidden/>
          </w:rPr>
        </w:r>
        <w:r w:rsidR="00B1072E">
          <w:rPr>
            <w:noProof/>
            <w:webHidden/>
          </w:rPr>
          <w:fldChar w:fldCharType="separate"/>
        </w:r>
        <w:r w:rsidR="00B1072E">
          <w:rPr>
            <w:noProof/>
            <w:webHidden/>
          </w:rPr>
          <w:t>5</w:t>
        </w:r>
        <w:r w:rsidR="00B1072E">
          <w:rPr>
            <w:noProof/>
            <w:webHidden/>
          </w:rPr>
          <w:fldChar w:fldCharType="end"/>
        </w:r>
      </w:hyperlink>
    </w:p>
    <w:p w14:paraId="1BBF4D4D" w14:textId="1548398D" w:rsidR="00B1072E" w:rsidRDefault="00F03EC5">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4183595" w:history="1">
        <w:r w:rsidR="00B1072E" w:rsidRPr="005360FF">
          <w:rPr>
            <w:rStyle w:val="Hyperlink"/>
            <w:noProof/>
          </w:rPr>
          <w:t>2</w:t>
        </w:r>
        <w:r w:rsidR="00B1072E">
          <w:rPr>
            <w:rFonts w:asciiTheme="minorHAnsi" w:eastAsiaTheme="minorEastAsia" w:hAnsiTheme="minorHAnsi"/>
            <w:b w:val="0"/>
            <w:noProof/>
            <w:color w:val="auto"/>
            <w:sz w:val="22"/>
            <w:lang w:val="en-AU" w:eastAsia="en-AU"/>
          </w:rPr>
          <w:tab/>
        </w:r>
        <w:r w:rsidR="00B1072E" w:rsidRPr="005360FF">
          <w:rPr>
            <w:rStyle w:val="Hyperlink"/>
            <w:noProof/>
          </w:rPr>
          <w:t>Data preparation</w:t>
        </w:r>
        <w:r w:rsidR="00B1072E">
          <w:rPr>
            <w:noProof/>
            <w:webHidden/>
          </w:rPr>
          <w:tab/>
        </w:r>
        <w:r w:rsidR="00B1072E">
          <w:rPr>
            <w:noProof/>
            <w:webHidden/>
          </w:rPr>
          <w:fldChar w:fldCharType="begin"/>
        </w:r>
        <w:r w:rsidR="00B1072E">
          <w:rPr>
            <w:noProof/>
            <w:webHidden/>
          </w:rPr>
          <w:instrText xml:space="preserve"> PAGEREF _Toc134183595 \h </w:instrText>
        </w:r>
        <w:r w:rsidR="00B1072E">
          <w:rPr>
            <w:noProof/>
            <w:webHidden/>
          </w:rPr>
        </w:r>
        <w:r w:rsidR="00B1072E">
          <w:rPr>
            <w:noProof/>
            <w:webHidden/>
          </w:rPr>
          <w:fldChar w:fldCharType="separate"/>
        </w:r>
        <w:r w:rsidR="00B1072E">
          <w:rPr>
            <w:noProof/>
            <w:webHidden/>
          </w:rPr>
          <w:t>8</w:t>
        </w:r>
        <w:r w:rsidR="00B1072E">
          <w:rPr>
            <w:noProof/>
            <w:webHidden/>
          </w:rPr>
          <w:fldChar w:fldCharType="end"/>
        </w:r>
      </w:hyperlink>
    </w:p>
    <w:p w14:paraId="1505424A" w14:textId="4F88DFFB"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6" w:history="1">
        <w:r w:rsidR="00B1072E" w:rsidRPr="005360FF">
          <w:rPr>
            <w:rStyle w:val="Hyperlink"/>
            <w:noProof/>
          </w:rPr>
          <w:t>2.1</w:t>
        </w:r>
        <w:r w:rsidR="00B1072E">
          <w:rPr>
            <w:rFonts w:asciiTheme="minorHAnsi" w:eastAsiaTheme="minorEastAsia" w:hAnsiTheme="minorHAnsi"/>
            <w:noProof/>
            <w:color w:val="auto"/>
            <w:lang w:val="en-AU" w:eastAsia="en-AU"/>
          </w:rPr>
          <w:tab/>
        </w:r>
        <w:r w:rsidR="00B1072E" w:rsidRPr="005360FF">
          <w:rPr>
            <w:rStyle w:val="Hyperlink"/>
            <w:noProof/>
          </w:rPr>
          <w:t>Data cleansing</w:t>
        </w:r>
        <w:r w:rsidR="00B1072E">
          <w:rPr>
            <w:noProof/>
            <w:webHidden/>
          </w:rPr>
          <w:tab/>
        </w:r>
        <w:r w:rsidR="00B1072E">
          <w:rPr>
            <w:noProof/>
            <w:webHidden/>
          </w:rPr>
          <w:fldChar w:fldCharType="begin"/>
        </w:r>
        <w:r w:rsidR="00B1072E">
          <w:rPr>
            <w:noProof/>
            <w:webHidden/>
          </w:rPr>
          <w:instrText xml:space="preserve"> PAGEREF _Toc134183596 \h </w:instrText>
        </w:r>
        <w:r w:rsidR="00B1072E">
          <w:rPr>
            <w:noProof/>
            <w:webHidden/>
          </w:rPr>
        </w:r>
        <w:r w:rsidR="00B1072E">
          <w:rPr>
            <w:noProof/>
            <w:webHidden/>
          </w:rPr>
          <w:fldChar w:fldCharType="separate"/>
        </w:r>
        <w:r w:rsidR="00B1072E">
          <w:rPr>
            <w:noProof/>
            <w:webHidden/>
          </w:rPr>
          <w:t>8</w:t>
        </w:r>
        <w:r w:rsidR="00B1072E">
          <w:rPr>
            <w:noProof/>
            <w:webHidden/>
          </w:rPr>
          <w:fldChar w:fldCharType="end"/>
        </w:r>
      </w:hyperlink>
    </w:p>
    <w:p w14:paraId="05CCD705" w14:textId="7E8C0AB7"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7" w:history="1">
        <w:r w:rsidR="00B1072E" w:rsidRPr="005360FF">
          <w:rPr>
            <w:rStyle w:val="Hyperlink"/>
            <w:noProof/>
          </w:rPr>
          <w:t>2.2</w:t>
        </w:r>
        <w:r w:rsidR="00B1072E">
          <w:rPr>
            <w:rFonts w:asciiTheme="minorHAnsi" w:eastAsiaTheme="minorEastAsia" w:hAnsiTheme="minorHAnsi"/>
            <w:noProof/>
            <w:color w:val="auto"/>
            <w:lang w:val="en-AU" w:eastAsia="en-AU"/>
          </w:rPr>
          <w:tab/>
        </w:r>
        <w:r w:rsidR="00B1072E" w:rsidRPr="005360FF">
          <w:rPr>
            <w:rStyle w:val="Hyperlink"/>
            <w:noProof/>
          </w:rPr>
          <w:t>Data adjustments</w:t>
        </w:r>
        <w:r w:rsidR="00B1072E">
          <w:rPr>
            <w:noProof/>
            <w:webHidden/>
          </w:rPr>
          <w:tab/>
        </w:r>
        <w:r w:rsidR="00B1072E">
          <w:rPr>
            <w:noProof/>
            <w:webHidden/>
          </w:rPr>
          <w:fldChar w:fldCharType="begin"/>
        </w:r>
        <w:r w:rsidR="00B1072E">
          <w:rPr>
            <w:noProof/>
            <w:webHidden/>
          </w:rPr>
          <w:instrText xml:space="preserve"> PAGEREF _Toc134183597 \h </w:instrText>
        </w:r>
        <w:r w:rsidR="00B1072E">
          <w:rPr>
            <w:noProof/>
            <w:webHidden/>
          </w:rPr>
        </w:r>
        <w:r w:rsidR="00B1072E">
          <w:rPr>
            <w:noProof/>
            <w:webHidden/>
          </w:rPr>
          <w:fldChar w:fldCharType="separate"/>
        </w:r>
        <w:r w:rsidR="00B1072E">
          <w:rPr>
            <w:noProof/>
            <w:webHidden/>
          </w:rPr>
          <w:t>8</w:t>
        </w:r>
        <w:r w:rsidR="00B1072E">
          <w:rPr>
            <w:noProof/>
            <w:webHidden/>
          </w:rPr>
          <w:fldChar w:fldCharType="end"/>
        </w:r>
      </w:hyperlink>
    </w:p>
    <w:p w14:paraId="1E618EE5" w14:textId="1FE45DB2" w:rsidR="00B1072E" w:rsidRDefault="00F03EC5">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4183598" w:history="1">
        <w:r w:rsidR="00B1072E" w:rsidRPr="005360FF">
          <w:rPr>
            <w:rStyle w:val="Hyperlink"/>
            <w:noProof/>
          </w:rPr>
          <w:t>3</w:t>
        </w:r>
        <w:r w:rsidR="00B1072E">
          <w:rPr>
            <w:rFonts w:asciiTheme="minorHAnsi" w:eastAsiaTheme="minorEastAsia" w:hAnsiTheme="minorHAnsi"/>
            <w:b w:val="0"/>
            <w:noProof/>
            <w:color w:val="auto"/>
            <w:sz w:val="22"/>
            <w:lang w:val="en-AU" w:eastAsia="en-AU"/>
          </w:rPr>
          <w:tab/>
        </w:r>
        <w:r w:rsidR="00B1072E" w:rsidRPr="005360FF">
          <w:rPr>
            <w:rStyle w:val="Hyperlink"/>
            <w:noProof/>
          </w:rPr>
          <w:t>Sample selection</w:t>
        </w:r>
        <w:r w:rsidR="00B1072E">
          <w:rPr>
            <w:noProof/>
            <w:webHidden/>
          </w:rPr>
          <w:tab/>
        </w:r>
        <w:r w:rsidR="00B1072E">
          <w:rPr>
            <w:noProof/>
            <w:webHidden/>
          </w:rPr>
          <w:fldChar w:fldCharType="begin"/>
        </w:r>
        <w:r w:rsidR="00B1072E">
          <w:rPr>
            <w:noProof/>
            <w:webHidden/>
          </w:rPr>
          <w:instrText xml:space="preserve"> PAGEREF _Toc134183598 \h </w:instrText>
        </w:r>
        <w:r w:rsidR="00B1072E">
          <w:rPr>
            <w:noProof/>
            <w:webHidden/>
          </w:rPr>
        </w:r>
        <w:r w:rsidR="00B1072E">
          <w:rPr>
            <w:noProof/>
            <w:webHidden/>
          </w:rPr>
          <w:fldChar w:fldCharType="separate"/>
        </w:r>
        <w:r w:rsidR="00B1072E">
          <w:rPr>
            <w:noProof/>
            <w:webHidden/>
          </w:rPr>
          <w:t>12</w:t>
        </w:r>
        <w:r w:rsidR="00B1072E">
          <w:rPr>
            <w:noProof/>
            <w:webHidden/>
          </w:rPr>
          <w:fldChar w:fldCharType="end"/>
        </w:r>
      </w:hyperlink>
    </w:p>
    <w:p w14:paraId="1FB3A3E3" w14:textId="3375CF82"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599" w:history="1">
        <w:r w:rsidR="00B1072E" w:rsidRPr="005360FF">
          <w:rPr>
            <w:rStyle w:val="Hyperlink"/>
            <w:noProof/>
          </w:rPr>
          <w:t>3.1</w:t>
        </w:r>
        <w:r w:rsidR="00B1072E">
          <w:rPr>
            <w:rFonts w:asciiTheme="minorHAnsi" w:eastAsiaTheme="minorEastAsia" w:hAnsiTheme="minorHAnsi"/>
            <w:noProof/>
            <w:color w:val="auto"/>
            <w:lang w:val="en-AU" w:eastAsia="en-AU"/>
          </w:rPr>
          <w:tab/>
        </w:r>
        <w:r w:rsidR="00B1072E" w:rsidRPr="005360FF">
          <w:rPr>
            <w:rStyle w:val="Hyperlink"/>
            <w:noProof/>
          </w:rPr>
          <w:t>Trimming rules</w:t>
        </w:r>
        <w:r w:rsidR="00B1072E">
          <w:rPr>
            <w:noProof/>
            <w:webHidden/>
          </w:rPr>
          <w:tab/>
        </w:r>
        <w:r w:rsidR="00B1072E">
          <w:rPr>
            <w:noProof/>
            <w:webHidden/>
          </w:rPr>
          <w:fldChar w:fldCharType="begin"/>
        </w:r>
        <w:r w:rsidR="00B1072E">
          <w:rPr>
            <w:noProof/>
            <w:webHidden/>
          </w:rPr>
          <w:instrText xml:space="preserve"> PAGEREF _Toc134183599 \h </w:instrText>
        </w:r>
        <w:r w:rsidR="00B1072E">
          <w:rPr>
            <w:noProof/>
            <w:webHidden/>
          </w:rPr>
        </w:r>
        <w:r w:rsidR="00B1072E">
          <w:rPr>
            <w:noProof/>
            <w:webHidden/>
          </w:rPr>
          <w:fldChar w:fldCharType="separate"/>
        </w:r>
        <w:r w:rsidR="00B1072E">
          <w:rPr>
            <w:noProof/>
            <w:webHidden/>
          </w:rPr>
          <w:t>12</w:t>
        </w:r>
        <w:r w:rsidR="00B1072E">
          <w:rPr>
            <w:noProof/>
            <w:webHidden/>
          </w:rPr>
          <w:fldChar w:fldCharType="end"/>
        </w:r>
      </w:hyperlink>
    </w:p>
    <w:p w14:paraId="49A2F3E3" w14:textId="60176832" w:rsidR="00B1072E" w:rsidRDefault="00F03EC5">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4183600" w:history="1">
        <w:r w:rsidR="00B1072E" w:rsidRPr="005360FF">
          <w:rPr>
            <w:rStyle w:val="Hyperlink"/>
            <w:noProof/>
          </w:rPr>
          <w:t>4</w:t>
        </w:r>
        <w:r w:rsidR="00B1072E">
          <w:rPr>
            <w:rFonts w:asciiTheme="minorHAnsi" w:eastAsiaTheme="minorEastAsia" w:hAnsiTheme="minorHAnsi"/>
            <w:b w:val="0"/>
            <w:noProof/>
            <w:color w:val="auto"/>
            <w:sz w:val="22"/>
            <w:lang w:val="en-AU" w:eastAsia="en-AU"/>
          </w:rPr>
          <w:tab/>
        </w:r>
        <w:r w:rsidR="00B1072E" w:rsidRPr="005360FF">
          <w:rPr>
            <w:rStyle w:val="Hyperlink"/>
            <w:noProof/>
          </w:rPr>
          <w:t>Adjustments</w:t>
        </w:r>
        <w:r w:rsidR="00B1072E">
          <w:rPr>
            <w:noProof/>
            <w:webHidden/>
          </w:rPr>
          <w:tab/>
        </w:r>
        <w:r w:rsidR="00B1072E">
          <w:rPr>
            <w:noProof/>
            <w:webHidden/>
          </w:rPr>
          <w:fldChar w:fldCharType="begin"/>
        </w:r>
        <w:r w:rsidR="00B1072E">
          <w:rPr>
            <w:noProof/>
            <w:webHidden/>
          </w:rPr>
          <w:instrText xml:space="preserve"> PAGEREF _Toc134183600 \h </w:instrText>
        </w:r>
        <w:r w:rsidR="00B1072E">
          <w:rPr>
            <w:noProof/>
            <w:webHidden/>
          </w:rPr>
        </w:r>
        <w:r w:rsidR="00B1072E">
          <w:rPr>
            <w:noProof/>
            <w:webHidden/>
          </w:rPr>
          <w:fldChar w:fldCharType="separate"/>
        </w:r>
        <w:r w:rsidR="00B1072E">
          <w:rPr>
            <w:noProof/>
            <w:webHidden/>
          </w:rPr>
          <w:t>13</w:t>
        </w:r>
        <w:r w:rsidR="00B1072E">
          <w:rPr>
            <w:noProof/>
            <w:webHidden/>
          </w:rPr>
          <w:fldChar w:fldCharType="end"/>
        </w:r>
      </w:hyperlink>
    </w:p>
    <w:p w14:paraId="0B731CB1" w14:textId="54CE4D5C"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1" w:history="1">
        <w:r w:rsidR="00B1072E" w:rsidRPr="005360FF">
          <w:rPr>
            <w:rStyle w:val="Hyperlink"/>
            <w:noProof/>
          </w:rPr>
          <w:t>4.1</w:t>
        </w:r>
        <w:r w:rsidR="00B1072E">
          <w:rPr>
            <w:rFonts w:asciiTheme="minorHAnsi" w:eastAsiaTheme="minorEastAsia" w:hAnsiTheme="minorHAnsi"/>
            <w:noProof/>
            <w:color w:val="auto"/>
            <w:lang w:val="en-AU" w:eastAsia="en-AU"/>
          </w:rPr>
          <w:tab/>
        </w:r>
        <w:r w:rsidR="00B1072E" w:rsidRPr="005360FF">
          <w:rPr>
            <w:rStyle w:val="Hyperlink"/>
            <w:noProof/>
          </w:rPr>
          <w:t>Unbundling of BDF Supplement</w:t>
        </w:r>
        <w:r w:rsidR="00B1072E">
          <w:rPr>
            <w:noProof/>
            <w:webHidden/>
          </w:rPr>
          <w:tab/>
        </w:r>
        <w:r w:rsidR="00B1072E">
          <w:rPr>
            <w:noProof/>
            <w:webHidden/>
          </w:rPr>
          <w:fldChar w:fldCharType="begin"/>
        </w:r>
        <w:r w:rsidR="00B1072E">
          <w:rPr>
            <w:noProof/>
            <w:webHidden/>
          </w:rPr>
          <w:instrText xml:space="preserve"> PAGEREF _Toc134183601 \h </w:instrText>
        </w:r>
        <w:r w:rsidR="00B1072E">
          <w:rPr>
            <w:noProof/>
            <w:webHidden/>
          </w:rPr>
        </w:r>
        <w:r w:rsidR="00B1072E">
          <w:rPr>
            <w:noProof/>
            <w:webHidden/>
          </w:rPr>
          <w:fldChar w:fldCharType="separate"/>
        </w:r>
        <w:r w:rsidR="00B1072E">
          <w:rPr>
            <w:noProof/>
            <w:webHidden/>
          </w:rPr>
          <w:t>13</w:t>
        </w:r>
        <w:r w:rsidR="00B1072E">
          <w:rPr>
            <w:noProof/>
            <w:webHidden/>
          </w:rPr>
          <w:fldChar w:fldCharType="end"/>
        </w:r>
      </w:hyperlink>
    </w:p>
    <w:p w14:paraId="5A2061E1" w14:textId="79E6FACA"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2" w:history="1">
        <w:r w:rsidR="00B1072E" w:rsidRPr="005360FF">
          <w:rPr>
            <w:rStyle w:val="Hyperlink"/>
            <w:noProof/>
          </w:rPr>
          <w:t>4.2</w:t>
        </w:r>
        <w:r w:rsidR="00B1072E">
          <w:rPr>
            <w:rFonts w:asciiTheme="minorHAnsi" w:eastAsiaTheme="minorEastAsia" w:hAnsiTheme="minorHAnsi"/>
            <w:noProof/>
            <w:color w:val="auto"/>
            <w:lang w:val="en-AU" w:eastAsia="en-AU"/>
          </w:rPr>
          <w:tab/>
        </w:r>
        <w:r w:rsidR="00B1072E" w:rsidRPr="005360FF">
          <w:rPr>
            <w:rStyle w:val="Hyperlink"/>
            <w:noProof/>
          </w:rPr>
          <w:t>Adjusting for historical inflation and wage increases</w:t>
        </w:r>
        <w:r w:rsidR="00B1072E">
          <w:rPr>
            <w:noProof/>
            <w:webHidden/>
          </w:rPr>
          <w:tab/>
        </w:r>
        <w:r w:rsidR="00B1072E">
          <w:rPr>
            <w:noProof/>
            <w:webHidden/>
          </w:rPr>
          <w:fldChar w:fldCharType="begin"/>
        </w:r>
        <w:r w:rsidR="00B1072E">
          <w:rPr>
            <w:noProof/>
            <w:webHidden/>
          </w:rPr>
          <w:instrText xml:space="preserve"> PAGEREF _Toc134183602 \h </w:instrText>
        </w:r>
        <w:r w:rsidR="00B1072E">
          <w:rPr>
            <w:noProof/>
            <w:webHidden/>
          </w:rPr>
        </w:r>
        <w:r w:rsidR="00B1072E">
          <w:rPr>
            <w:noProof/>
            <w:webHidden/>
          </w:rPr>
          <w:fldChar w:fldCharType="separate"/>
        </w:r>
        <w:r w:rsidR="00B1072E">
          <w:rPr>
            <w:noProof/>
            <w:webHidden/>
          </w:rPr>
          <w:t>14</w:t>
        </w:r>
        <w:r w:rsidR="00B1072E">
          <w:rPr>
            <w:noProof/>
            <w:webHidden/>
          </w:rPr>
          <w:fldChar w:fldCharType="end"/>
        </w:r>
      </w:hyperlink>
    </w:p>
    <w:p w14:paraId="2757DBB1" w14:textId="258EC834"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3" w:history="1">
        <w:r w:rsidR="00B1072E" w:rsidRPr="005360FF">
          <w:rPr>
            <w:rStyle w:val="Hyperlink"/>
            <w:noProof/>
          </w:rPr>
          <w:t>4.3</w:t>
        </w:r>
        <w:r w:rsidR="00B1072E">
          <w:rPr>
            <w:rFonts w:asciiTheme="minorHAnsi" w:eastAsiaTheme="minorEastAsia" w:hAnsiTheme="minorHAnsi"/>
            <w:noProof/>
            <w:color w:val="auto"/>
            <w:lang w:val="en-AU" w:eastAsia="en-AU"/>
          </w:rPr>
          <w:tab/>
        </w:r>
        <w:r w:rsidR="00B1072E" w:rsidRPr="005360FF">
          <w:rPr>
            <w:rStyle w:val="Hyperlink"/>
            <w:noProof/>
          </w:rPr>
          <w:t>Identifying cost proportions</w:t>
        </w:r>
        <w:r w:rsidR="00B1072E">
          <w:rPr>
            <w:noProof/>
            <w:webHidden/>
          </w:rPr>
          <w:tab/>
        </w:r>
        <w:r w:rsidR="00B1072E">
          <w:rPr>
            <w:noProof/>
            <w:webHidden/>
          </w:rPr>
          <w:fldChar w:fldCharType="begin"/>
        </w:r>
        <w:r w:rsidR="00B1072E">
          <w:rPr>
            <w:noProof/>
            <w:webHidden/>
          </w:rPr>
          <w:instrText xml:space="preserve"> PAGEREF _Toc134183603 \h </w:instrText>
        </w:r>
        <w:r w:rsidR="00B1072E">
          <w:rPr>
            <w:noProof/>
            <w:webHidden/>
          </w:rPr>
        </w:r>
        <w:r w:rsidR="00B1072E">
          <w:rPr>
            <w:noProof/>
            <w:webHidden/>
          </w:rPr>
          <w:fldChar w:fldCharType="separate"/>
        </w:r>
        <w:r w:rsidR="00B1072E">
          <w:rPr>
            <w:noProof/>
            <w:webHidden/>
          </w:rPr>
          <w:t>14</w:t>
        </w:r>
        <w:r w:rsidR="00B1072E">
          <w:rPr>
            <w:noProof/>
            <w:webHidden/>
          </w:rPr>
          <w:fldChar w:fldCharType="end"/>
        </w:r>
      </w:hyperlink>
    </w:p>
    <w:p w14:paraId="7093DECE" w14:textId="2E940AA5"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4" w:history="1">
        <w:r w:rsidR="00B1072E" w:rsidRPr="005360FF">
          <w:rPr>
            <w:rStyle w:val="Hyperlink"/>
            <w:noProof/>
          </w:rPr>
          <w:t>4.4</w:t>
        </w:r>
        <w:r w:rsidR="00B1072E">
          <w:rPr>
            <w:rFonts w:asciiTheme="minorHAnsi" w:eastAsiaTheme="minorEastAsia" w:hAnsiTheme="minorHAnsi"/>
            <w:noProof/>
            <w:color w:val="auto"/>
            <w:lang w:val="en-AU" w:eastAsia="en-AU"/>
          </w:rPr>
          <w:tab/>
        </w:r>
        <w:r w:rsidR="00B1072E" w:rsidRPr="005360FF">
          <w:rPr>
            <w:rStyle w:val="Hyperlink"/>
            <w:noProof/>
          </w:rPr>
          <w:t>Fair Work Commission interim decision</w:t>
        </w:r>
        <w:r w:rsidR="00B1072E">
          <w:rPr>
            <w:noProof/>
            <w:webHidden/>
          </w:rPr>
          <w:tab/>
        </w:r>
        <w:r w:rsidR="00B1072E">
          <w:rPr>
            <w:noProof/>
            <w:webHidden/>
          </w:rPr>
          <w:fldChar w:fldCharType="begin"/>
        </w:r>
        <w:r w:rsidR="00B1072E">
          <w:rPr>
            <w:noProof/>
            <w:webHidden/>
          </w:rPr>
          <w:instrText xml:space="preserve"> PAGEREF _Toc134183604 \h </w:instrText>
        </w:r>
        <w:r w:rsidR="00B1072E">
          <w:rPr>
            <w:noProof/>
            <w:webHidden/>
          </w:rPr>
        </w:r>
        <w:r w:rsidR="00B1072E">
          <w:rPr>
            <w:noProof/>
            <w:webHidden/>
          </w:rPr>
          <w:fldChar w:fldCharType="separate"/>
        </w:r>
        <w:r w:rsidR="00B1072E">
          <w:rPr>
            <w:noProof/>
            <w:webHidden/>
          </w:rPr>
          <w:t>15</w:t>
        </w:r>
        <w:r w:rsidR="00B1072E">
          <w:rPr>
            <w:noProof/>
            <w:webHidden/>
          </w:rPr>
          <w:fldChar w:fldCharType="end"/>
        </w:r>
      </w:hyperlink>
    </w:p>
    <w:p w14:paraId="73D765F1" w14:textId="6ECDCF4D"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5" w:history="1">
        <w:r w:rsidR="00B1072E" w:rsidRPr="005360FF">
          <w:rPr>
            <w:rStyle w:val="Hyperlink"/>
            <w:noProof/>
          </w:rPr>
          <w:t>4.5</w:t>
        </w:r>
        <w:r w:rsidR="00B1072E">
          <w:rPr>
            <w:rFonts w:asciiTheme="minorHAnsi" w:eastAsiaTheme="minorEastAsia" w:hAnsiTheme="minorHAnsi"/>
            <w:noProof/>
            <w:color w:val="auto"/>
            <w:lang w:val="en-AU" w:eastAsia="en-AU"/>
          </w:rPr>
          <w:tab/>
        </w:r>
        <w:r w:rsidR="00B1072E" w:rsidRPr="005360FF">
          <w:rPr>
            <w:rStyle w:val="Hyperlink"/>
            <w:noProof/>
          </w:rPr>
          <w:t>Superannuation Guarantee increase</w:t>
        </w:r>
        <w:r w:rsidR="00B1072E">
          <w:rPr>
            <w:noProof/>
            <w:webHidden/>
          </w:rPr>
          <w:tab/>
        </w:r>
        <w:r w:rsidR="00B1072E">
          <w:rPr>
            <w:noProof/>
            <w:webHidden/>
          </w:rPr>
          <w:fldChar w:fldCharType="begin"/>
        </w:r>
        <w:r w:rsidR="00B1072E">
          <w:rPr>
            <w:noProof/>
            <w:webHidden/>
          </w:rPr>
          <w:instrText xml:space="preserve"> PAGEREF _Toc134183605 \h </w:instrText>
        </w:r>
        <w:r w:rsidR="00B1072E">
          <w:rPr>
            <w:noProof/>
            <w:webHidden/>
          </w:rPr>
        </w:r>
        <w:r w:rsidR="00B1072E">
          <w:rPr>
            <w:noProof/>
            <w:webHidden/>
          </w:rPr>
          <w:fldChar w:fldCharType="separate"/>
        </w:r>
        <w:r w:rsidR="00B1072E">
          <w:rPr>
            <w:noProof/>
            <w:webHidden/>
          </w:rPr>
          <w:t>16</w:t>
        </w:r>
        <w:r w:rsidR="00B1072E">
          <w:rPr>
            <w:noProof/>
            <w:webHidden/>
          </w:rPr>
          <w:fldChar w:fldCharType="end"/>
        </w:r>
      </w:hyperlink>
    </w:p>
    <w:p w14:paraId="296EB7FA" w14:textId="7C129AED" w:rsidR="00B1072E" w:rsidRDefault="00F03EC5">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4183606" w:history="1">
        <w:r w:rsidR="00B1072E" w:rsidRPr="005360FF">
          <w:rPr>
            <w:rStyle w:val="Hyperlink"/>
            <w:noProof/>
          </w:rPr>
          <w:t>5</w:t>
        </w:r>
        <w:r w:rsidR="00B1072E">
          <w:rPr>
            <w:rFonts w:asciiTheme="minorHAnsi" w:eastAsiaTheme="minorEastAsia" w:hAnsiTheme="minorHAnsi"/>
            <w:b w:val="0"/>
            <w:noProof/>
            <w:color w:val="auto"/>
            <w:sz w:val="22"/>
            <w:lang w:val="en-AU" w:eastAsia="en-AU"/>
          </w:rPr>
          <w:tab/>
        </w:r>
        <w:r w:rsidR="00B1072E" w:rsidRPr="005360FF">
          <w:rPr>
            <w:rStyle w:val="Hyperlink"/>
            <w:noProof/>
          </w:rPr>
          <w:t>Indexation</w:t>
        </w:r>
        <w:r w:rsidR="00B1072E">
          <w:rPr>
            <w:noProof/>
            <w:webHidden/>
          </w:rPr>
          <w:tab/>
        </w:r>
        <w:r w:rsidR="00B1072E">
          <w:rPr>
            <w:noProof/>
            <w:webHidden/>
          </w:rPr>
          <w:fldChar w:fldCharType="begin"/>
        </w:r>
        <w:r w:rsidR="00B1072E">
          <w:rPr>
            <w:noProof/>
            <w:webHidden/>
          </w:rPr>
          <w:instrText xml:space="preserve"> PAGEREF _Toc134183606 \h </w:instrText>
        </w:r>
        <w:r w:rsidR="00B1072E">
          <w:rPr>
            <w:noProof/>
            <w:webHidden/>
          </w:rPr>
        </w:r>
        <w:r w:rsidR="00B1072E">
          <w:rPr>
            <w:noProof/>
            <w:webHidden/>
          </w:rPr>
          <w:fldChar w:fldCharType="separate"/>
        </w:r>
        <w:r w:rsidR="00B1072E">
          <w:rPr>
            <w:noProof/>
            <w:webHidden/>
          </w:rPr>
          <w:t>18</w:t>
        </w:r>
        <w:r w:rsidR="00B1072E">
          <w:rPr>
            <w:noProof/>
            <w:webHidden/>
          </w:rPr>
          <w:fldChar w:fldCharType="end"/>
        </w:r>
      </w:hyperlink>
    </w:p>
    <w:p w14:paraId="1794BB2E" w14:textId="5C5F5419"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7" w:history="1">
        <w:r w:rsidR="00B1072E" w:rsidRPr="005360FF">
          <w:rPr>
            <w:rStyle w:val="Hyperlink"/>
            <w:noProof/>
          </w:rPr>
          <w:t>5.1</w:t>
        </w:r>
        <w:r w:rsidR="00B1072E">
          <w:rPr>
            <w:rFonts w:asciiTheme="minorHAnsi" w:eastAsiaTheme="minorEastAsia" w:hAnsiTheme="minorHAnsi"/>
            <w:noProof/>
            <w:color w:val="auto"/>
            <w:lang w:val="en-AU" w:eastAsia="en-AU"/>
          </w:rPr>
          <w:tab/>
        </w:r>
        <w:r w:rsidR="00B1072E" w:rsidRPr="005360FF">
          <w:rPr>
            <w:rStyle w:val="Hyperlink"/>
            <w:noProof/>
          </w:rPr>
          <w:t>Indexation model</w:t>
        </w:r>
        <w:r w:rsidR="00B1072E">
          <w:rPr>
            <w:noProof/>
            <w:webHidden/>
          </w:rPr>
          <w:tab/>
        </w:r>
        <w:r w:rsidR="00B1072E">
          <w:rPr>
            <w:noProof/>
            <w:webHidden/>
          </w:rPr>
          <w:fldChar w:fldCharType="begin"/>
        </w:r>
        <w:r w:rsidR="00B1072E">
          <w:rPr>
            <w:noProof/>
            <w:webHidden/>
          </w:rPr>
          <w:instrText xml:space="preserve"> PAGEREF _Toc134183607 \h </w:instrText>
        </w:r>
        <w:r w:rsidR="00B1072E">
          <w:rPr>
            <w:noProof/>
            <w:webHidden/>
          </w:rPr>
        </w:r>
        <w:r w:rsidR="00B1072E">
          <w:rPr>
            <w:noProof/>
            <w:webHidden/>
          </w:rPr>
          <w:fldChar w:fldCharType="separate"/>
        </w:r>
        <w:r w:rsidR="00B1072E">
          <w:rPr>
            <w:noProof/>
            <w:webHidden/>
          </w:rPr>
          <w:t>18</w:t>
        </w:r>
        <w:r w:rsidR="00B1072E">
          <w:rPr>
            <w:noProof/>
            <w:webHidden/>
          </w:rPr>
          <w:fldChar w:fldCharType="end"/>
        </w:r>
      </w:hyperlink>
    </w:p>
    <w:p w14:paraId="3FDD8085" w14:textId="75B46AB2"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8" w:history="1">
        <w:r w:rsidR="00B1072E" w:rsidRPr="005360FF">
          <w:rPr>
            <w:rStyle w:val="Hyperlink"/>
            <w:noProof/>
          </w:rPr>
          <w:t>5.2</w:t>
        </w:r>
        <w:r w:rsidR="00B1072E">
          <w:rPr>
            <w:rFonts w:asciiTheme="minorHAnsi" w:eastAsiaTheme="minorEastAsia" w:hAnsiTheme="minorHAnsi"/>
            <w:noProof/>
            <w:color w:val="auto"/>
            <w:lang w:val="en-AU" w:eastAsia="en-AU"/>
          </w:rPr>
          <w:tab/>
        </w:r>
        <w:r w:rsidR="00B1072E" w:rsidRPr="005360FF">
          <w:rPr>
            <w:rStyle w:val="Hyperlink"/>
            <w:noProof/>
          </w:rPr>
          <w:t>Labour cost indexation</w:t>
        </w:r>
        <w:r w:rsidR="00B1072E">
          <w:rPr>
            <w:noProof/>
            <w:webHidden/>
          </w:rPr>
          <w:tab/>
        </w:r>
        <w:r w:rsidR="00B1072E">
          <w:rPr>
            <w:noProof/>
            <w:webHidden/>
          </w:rPr>
          <w:fldChar w:fldCharType="begin"/>
        </w:r>
        <w:r w:rsidR="00B1072E">
          <w:rPr>
            <w:noProof/>
            <w:webHidden/>
          </w:rPr>
          <w:instrText xml:space="preserve"> PAGEREF _Toc134183608 \h </w:instrText>
        </w:r>
        <w:r w:rsidR="00B1072E">
          <w:rPr>
            <w:noProof/>
            <w:webHidden/>
          </w:rPr>
        </w:r>
        <w:r w:rsidR="00B1072E">
          <w:rPr>
            <w:noProof/>
            <w:webHidden/>
          </w:rPr>
          <w:fldChar w:fldCharType="separate"/>
        </w:r>
        <w:r w:rsidR="00B1072E">
          <w:rPr>
            <w:noProof/>
            <w:webHidden/>
          </w:rPr>
          <w:t>19</w:t>
        </w:r>
        <w:r w:rsidR="00B1072E">
          <w:rPr>
            <w:noProof/>
            <w:webHidden/>
          </w:rPr>
          <w:fldChar w:fldCharType="end"/>
        </w:r>
      </w:hyperlink>
    </w:p>
    <w:p w14:paraId="2F98399F" w14:textId="3402B643"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09" w:history="1">
        <w:r w:rsidR="00B1072E" w:rsidRPr="005360FF">
          <w:rPr>
            <w:rStyle w:val="Hyperlink"/>
            <w:noProof/>
          </w:rPr>
          <w:t>5.3</w:t>
        </w:r>
        <w:r w:rsidR="00B1072E">
          <w:rPr>
            <w:rFonts w:asciiTheme="minorHAnsi" w:eastAsiaTheme="minorEastAsia" w:hAnsiTheme="minorHAnsi"/>
            <w:noProof/>
            <w:color w:val="auto"/>
            <w:lang w:val="en-AU" w:eastAsia="en-AU"/>
          </w:rPr>
          <w:tab/>
        </w:r>
        <w:r w:rsidR="00B1072E" w:rsidRPr="005360FF">
          <w:rPr>
            <w:rStyle w:val="Hyperlink"/>
            <w:noProof/>
          </w:rPr>
          <w:t>Non-labour direct care cost indexation</w:t>
        </w:r>
        <w:r w:rsidR="00B1072E">
          <w:rPr>
            <w:noProof/>
            <w:webHidden/>
          </w:rPr>
          <w:tab/>
        </w:r>
        <w:r w:rsidR="00B1072E">
          <w:rPr>
            <w:noProof/>
            <w:webHidden/>
          </w:rPr>
          <w:fldChar w:fldCharType="begin"/>
        </w:r>
        <w:r w:rsidR="00B1072E">
          <w:rPr>
            <w:noProof/>
            <w:webHidden/>
          </w:rPr>
          <w:instrText xml:space="preserve"> PAGEREF _Toc134183609 \h </w:instrText>
        </w:r>
        <w:r w:rsidR="00B1072E">
          <w:rPr>
            <w:noProof/>
            <w:webHidden/>
          </w:rPr>
        </w:r>
        <w:r w:rsidR="00B1072E">
          <w:rPr>
            <w:noProof/>
            <w:webHidden/>
          </w:rPr>
          <w:fldChar w:fldCharType="separate"/>
        </w:r>
        <w:r w:rsidR="00B1072E">
          <w:rPr>
            <w:noProof/>
            <w:webHidden/>
          </w:rPr>
          <w:t>20</w:t>
        </w:r>
        <w:r w:rsidR="00B1072E">
          <w:rPr>
            <w:noProof/>
            <w:webHidden/>
          </w:rPr>
          <w:fldChar w:fldCharType="end"/>
        </w:r>
      </w:hyperlink>
    </w:p>
    <w:p w14:paraId="7DE7514A" w14:textId="260C5F34"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10" w:history="1">
        <w:r w:rsidR="00B1072E" w:rsidRPr="005360FF">
          <w:rPr>
            <w:rStyle w:val="Hyperlink"/>
            <w:noProof/>
          </w:rPr>
          <w:t>5.4</w:t>
        </w:r>
        <w:r w:rsidR="00B1072E">
          <w:rPr>
            <w:rFonts w:asciiTheme="minorHAnsi" w:eastAsiaTheme="minorEastAsia" w:hAnsiTheme="minorHAnsi"/>
            <w:noProof/>
            <w:color w:val="auto"/>
            <w:lang w:val="en-AU" w:eastAsia="en-AU"/>
          </w:rPr>
          <w:tab/>
        </w:r>
        <w:r w:rsidR="00B1072E" w:rsidRPr="005360FF">
          <w:rPr>
            <w:rStyle w:val="Hyperlink"/>
            <w:noProof/>
          </w:rPr>
          <w:t>Hotel cost indexation</w:t>
        </w:r>
        <w:r w:rsidR="00B1072E">
          <w:rPr>
            <w:noProof/>
            <w:webHidden/>
          </w:rPr>
          <w:tab/>
        </w:r>
        <w:r w:rsidR="00B1072E">
          <w:rPr>
            <w:noProof/>
            <w:webHidden/>
          </w:rPr>
          <w:fldChar w:fldCharType="begin"/>
        </w:r>
        <w:r w:rsidR="00B1072E">
          <w:rPr>
            <w:noProof/>
            <w:webHidden/>
          </w:rPr>
          <w:instrText xml:space="preserve"> PAGEREF _Toc134183610 \h </w:instrText>
        </w:r>
        <w:r w:rsidR="00B1072E">
          <w:rPr>
            <w:noProof/>
            <w:webHidden/>
          </w:rPr>
        </w:r>
        <w:r w:rsidR="00B1072E">
          <w:rPr>
            <w:noProof/>
            <w:webHidden/>
          </w:rPr>
          <w:fldChar w:fldCharType="separate"/>
        </w:r>
        <w:r w:rsidR="00B1072E">
          <w:rPr>
            <w:noProof/>
            <w:webHidden/>
          </w:rPr>
          <w:t>23</w:t>
        </w:r>
        <w:r w:rsidR="00B1072E">
          <w:rPr>
            <w:noProof/>
            <w:webHidden/>
          </w:rPr>
          <w:fldChar w:fldCharType="end"/>
        </w:r>
      </w:hyperlink>
    </w:p>
    <w:p w14:paraId="2E267D7E" w14:textId="45F462C4" w:rsidR="00B1072E" w:rsidRDefault="00F03EC5">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4183611" w:history="1">
        <w:r w:rsidR="00B1072E" w:rsidRPr="005360FF">
          <w:rPr>
            <w:rStyle w:val="Hyperlink"/>
            <w:noProof/>
          </w:rPr>
          <w:t>6</w:t>
        </w:r>
        <w:r w:rsidR="00B1072E">
          <w:rPr>
            <w:rFonts w:asciiTheme="minorHAnsi" w:eastAsiaTheme="minorEastAsia" w:hAnsiTheme="minorHAnsi"/>
            <w:b w:val="0"/>
            <w:noProof/>
            <w:color w:val="auto"/>
            <w:sz w:val="22"/>
            <w:lang w:val="en-AU" w:eastAsia="en-AU"/>
          </w:rPr>
          <w:tab/>
        </w:r>
        <w:r w:rsidR="00B1072E" w:rsidRPr="005360FF">
          <w:rPr>
            <w:rStyle w:val="Hyperlink"/>
            <w:noProof/>
          </w:rPr>
          <w:t>Hotel cost gap</w:t>
        </w:r>
        <w:r w:rsidR="00B1072E">
          <w:rPr>
            <w:noProof/>
            <w:webHidden/>
          </w:rPr>
          <w:tab/>
        </w:r>
        <w:r w:rsidR="00B1072E">
          <w:rPr>
            <w:noProof/>
            <w:webHidden/>
          </w:rPr>
          <w:fldChar w:fldCharType="begin"/>
        </w:r>
        <w:r w:rsidR="00B1072E">
          <w:rPr>
            <w:noProof/>
            <w:webHidden/>
          </w:rPr>
          <w:instrText xml:space="preserve"> PAGEREF _Toc134183611 \h </w:instrText>
        </w:r>
        <w:r w:rsidR="00B1072E">
          <w:rPr>
            <w:noProof/>
            <w:webHidden/>
          </w:rPr>
        </w:r>
        <w:r w:rsidR="00B1072E">
          <w:rPr>
            <w:noProof/>
            <w:webHidden/>
          </w:rPr>
          <w:fldChar w:fldCharType="separate"/>
        </w:r>
        <w:r w:rsidR="00B1072E">
          <w:rPr>
            <w:noProof/>
            <w:webHidden/>
          </w:rPr>
          <w:t>27</w:t>
        </w:r>
        <w:r w:rsidR="00B1072E">
          <w:rPr>
            <w:noProof/>
            <w:webHidden/>
          </w:rPr>
          <w:fldChar w:fldCharType="end"/>
        </w:r>
      </w:hyperlink>
    </w:p>
    <w:p w14:paraId="15A91D1F" w14:textId="152F755C"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12" w:history="1">
        <w:r w:rsidR="00B1072E" w:rsidRPr="005360FF">
          <w:rPr>
            <w:rStyle w:val="Hyperlink"/>
            <w:noProof/>
          </w:rPr>
          <w:t>6.1</w:t>
        </w:r>
        <w:r w:rsidR="00B1072E">
          <w:rPr>
            <w:rFonts w:asciiTheme="minorHAnsi" w:eastAsiaTheme="minorEastAsia" w:hAnsiTheme="minorHAnsi"/>
            <w:noProof/>
            <w:color w:val="auto"/>
            <w:lang w:val="en-AU" w:eastAsia="en-AU"/>
          </w:rPr>
          <w:tab/>
        </w:r>
        <w:r w:rsidR="00B1072E" w:rsidRPr="005360FF">
          <w:rPr>
            <w:rStyle w:val="Hyperlink"/>
            <w:noProof/>
          </w:rPr>
          <w:t>Hotel costs</w:t>
        </w:r>
        <w:r w:rsidR="00B1072E">
          <w:rPr>
            <w:noProof/>
            <w:webHidden/>
          </w:rPr>
          <w:tab/>
        </w:r>
        <w:r w:rsidR="00B1072E">
          <w:rPr>
            <w:noProof/>
            <w:webHidden/>
          </w:rPr>
          <w:fldChar w:fldCharType="begin"/>
        </w:r>
        <w:r w:rsidR="00B1072E">
          <w:rPr>
            <w:noProof/>
            <w:webHidden/>
          </w:rPr>
          <w:instrText xml:space="preserve"> PAGEREF _Toc134183612 \h </w:instrText>
        </w:r>
        <w:r w:rsidR="00B1072E">
          <w:rPr>
            <w:noProof/>
            <w:webHidden/>
          </w:rPr>
        </w:r>
        <w:r w:rsidR="00B1072E">
          <w:rPr>
            <w:noProof/>
            <w:webHidden/>
          </w:rPr>
          <w:fldChar w:fldCharType="separate"/>
        </w:r>
        <w:r w:rsidR="00B1072E">
          <w:rPr>
            <w:noProof/>
            <w:webHidden/>
          </w:rPr>
          <w:t>27</w:t>
        </w:r>
        <w:r w:rsidR="00B1072E">
          <w:rPr>
            <w:noProof/>
            <w:webHidden/>
          </w:rPr>
          <w:fldChar w:fldCharType="end"/>
        </w:r>
      </w:hyperlink>
    </w:p>
    <w:p w14:paraId="13CEF9A5" w14:textId="571D6781" w:rsidR="00B1072E" w:rsidRDefault="00F03EC5">
      <w:pPr>
        <w:pStyle w:val="TOC2"/>
        <w:tabs>
          <w:tab w:val="left" w:pos="880"/>
          <w:tab w:val="right" w:leader="dot" w:pos="9736"/>
        </w:tabs>
        <w:rPr>
          <w:rFonts w:asciiTheme="minorHAnsi" w:eastAsiaTheme="minorEastAsia" w:hAnsiTheme="minorHAnsi" w:hint="eastAsia"/>
          <w:noProof/>
          <w:color w:val="auto"/>
          <w:lang w:val="en-AU" w:eastAsia="en-AU"/>
        </w:rPr>
      </w:pPr>
      <w:hyperlink w:anchor="_Toc134183613" w:history="1">
        <w:r w:rsidR="00B1072E" w:rsidRPr="005360FF">
          <w:rPr>
            <w:rStyle w:val="Hyperlink"/>
            <w:noProof/>
          </w:rPr>
          <w:t>6.2</w:t>
        </w:r>
        <w:r w:rsidR="00B1072E">
          <w:rPr>
            <w:rFonts w:asciiTheme="minorHAnsi" w:eastAsiaTheme="minorEastAsia" w:hAnsiTheme="minorHAnsi"/>
            <w:noProof/>
            <w:color w:val="auto"/>
            <w:lang w:val="en-AU" w:eastAsia="en-AU"/>
          </w:rPr>
          <w:tab/>
        </w:r>
        <w:r w:rsidR="00B1072E" w:rsidRPr="005360FF">
          <w:rPr>
            <w:rStyle w:val="Hyperlink"/>
            <w:noProof/>
          </w:rPr>
          <w:t>Hotel revenue</w:t>
        </w:r>
        <w:r w:rsidR="00B1072E">
          <w:rPr>
            <w:noProof/>
            <w:webHidden/>
          </w:rPr>
          <w:tab/>
        </w:r>
        <w:r w:rsidR="00B1072E">
          <w:rPr>
            <w:noProof/>
            <w:webHidden/>
          </w:rPr>
          <w:fldChar w:fldCharType="begin"/>
        </w:r>
        <w:r w:rsidR="00B1072E">
          <w:rPr>
            <w:noProof/>
            <w:webHidden/>
          </w:rPr>
          <w:instrText xml:space="preserve"> PAGEREF _Toc134183613 \h </w:instrText>
        </w:r>
        <w:r w:rsidR="00B1072E">
          <w:rPr>
            <w:noProof/>
            <w:webHidden/>
          </w:rPr>
        </w:r>
        <w:r w:rsidR="00B1072E">
          <w:rPr>
            <w:noProof/>
            <w:webHidden/>
          </w:rPr>
          <w:fldChar w:fldCharType="separate"/>
        </w:r>
        <w:r w:rsidR="00B1072E">
          <w:rPr>
            <w:noProof/>
            <w:webHidden/>
          </w:rPr>
          <w:t>27</w:t>
        </w:r>
        <w:r w:rsidR="00B1072E">
          <w:rPr>
            <w:noProof/>
            <w:webHidden/>
          </w:rPr>
          <w:fldChar w:fldCharType="end"/>
        </w:r>
      </w:hyperlink>
    </w:p>
    <w:p w14:paraId="064BD815" w14:textId="4D3D9959" w:rsidR="00B1072E" w:rsidRDefault="00F03EC5">
      <w:pPr>
        <w:pStyle w:val="TOC1"/>
        <w:tabs>
          <w:tab w:val="left" w:pos="1776"/>
          <w:tab w:val="right" w:leader="dot" w:pos="9736"/>
        </w:tabs>
        <w:rPr>
          <w:rFonts w:asciiTheme="minorHAnsi" w:eastAsiaTheme="minorEastAsia" w:hAnsiTheme="minorHAnsi" w:hint="eastAsia"/>
          <w:b w:val="0"/>
          <w:noProof/>
          <w:color w:val="auto"/>
          <w:sz w:val="22"/>
          <w:lang w:val="en-AU" w:eastAsia="en-AU"/>
        </w:rPr>
      </w:pPr>
      <w:hyperlink w:anchor="_Toc134183614" w:history="1">
        <w:r w:rsidR="00B1072E" w:rsidRPr="005360FF">
          <w:rPr>
            <w:rStyle w:val="Hyperlink"/>
            <w:noProof/>
          </w:rPr>
          <w:t>Appendix A</w:t>
        </w:r>
        <w:r w:rsidR="00B1072E">
          <w:rPr>
            <w:rFonts w:asciiTheme="minorHAnsi" w:eastAsiaTheme="minorEastAsia" w:hAnsiTheme="minorHAnsi"/>
            <w:b w:val="0"/>
            <w:noProof/>
            <w:color w:val="auto"/>
            <w:sz w:val="22"/>
            <w:lang w:val="en-AU" w:eastAsia="en-AU"/>
          </w:rPr>
          <w:tab/>
        </w:r>
        <w:r w:rsidR="00B1072E" w:rsidRPr="005360FF">
          <w:rPr>
            <w:rStyle w:val="Hyperlink"/>
            <w:noProof/>
          </w:rPr>
          <w:t>Index Numbers</w:t>
        </w:r>
        <w:r w:rsidR="00B1072E">
          <w:rPr>
            <w:noProof/>
            <w:webHidden/>
          </w:rPr>
          <w:tab/>
        </w:r>
        <w:r w:rsidR="00B1072E">
          <w:rPr>
            <w:noProof/>
            <w:webHidden/>
          </w:rPr>
          <w:fldChar w:fldCharType="begin"/>
        </w:r>
        <w:r w:rsidR="00B1072E">
          <w:rPr>
            <w:noProof/>
            <w:webHidden/>
          </w:rPr>
          <w:instrText xml:space="preserve"> PAGEREF _Toc134183614 \h </w:instrText>
        </w:r>
        <w:r w:rsidR="00B1072E">
          <w:rPr>
            <w:noProof/>
            <w:webHidden/>
          </w:rPr>
        </w:r>
        <w:r w:rsidR="00B1072E">
          <w:rPr>
            <w:noProof/>
            <w:webHidden/>
          </w:rPr>
          <w:fldChar w:fldCharType="separate"/>
        </w:r>
        <w:r w:rsidR="00B1072E">
          <w:rPr>
            <w:noProof/>
            <w:webHidden/>
          </w:rPr>
          <w:t>29</w:t>
        </w:r>
        <w:r w:rsidR="00B1072E">
          <w:rPr>
            <w:noProof/>
            <w:webHidden/>
          </w:rPr>
          <w:fldChar w:fldCharType="end"/>
        </w:r>
      </w:hyperlink>
    </w:p>
    <w:p w14:paraId="64087737" w14:textId="5CFCA917" w:rsidR="00060CD3" w:rsidRPr="004C3334" w:rsidRDefault="004C3334" w:rsidP="004C3334">
      <w:pPr>
        <w:pStyle w:val="TOCHeading"/>
        <w:outlineLvl w:val="9"/>
      </w:pPr>
      <w:r>
        <w:rPr>
          <w:sz w:val="28"/>
        </w:rPr>
        <w:lastRenderedPageBreak/>
        <w:fldChar w:fldCharType="end"/>
      </w:r>
      <w:r w:rsidR="002D7ADF" w:rsidRPr="004C3334">
        <w:t>Glossary</w:t>
      </w:r>
    </w:p>
    <w:tbl>
      <w:tblPr>
        <w:tblStyle w:val="IHACPATable"/>
        <w:tblW w:w="9781" w:type="dxa"/>
        <w:tblLayout w:type="fixed"/>
        <w:tblLook w:val="0020" w:firstRow="1" w:lastRow="0" w:firstColumn="0" w:lastColumn="0" w:noHBand="0" w:noVBand="0"/>
        <w:tblCaption w:val="Table 8"/>
        <w:tblDescription w:val="Summary of Performance for Activity 6: Independent and transparent decision-making and engagement with stakeholders"/>
      </w:tblPr>
      <w:tblGrid>
        <w:gridCol w:w="2694"/>
        <w:gridCol w:w="7087"/>
      </w:tblGrid>
      <w:tr w:rsidR="00E2438E" w:rsidRPr="004E67F4" w14:paraId="51A0E962" w14:textId="77777777" w:rsidTr="00E2438E">
        <w:trPr>
          <w:cnfStyle w:val="100000000000" w:firstRow="1" w:lastRow="0" w:firstColumn="0" w:lastColumn="0" w:oddVBand="0" w:evenVBand="0" w:oddHBand="0" w:evenHBand="0" w:firstRowFirstColumn="0" w:firstRowLastColumn="0" w:lastRowFirstColumn="0" w:lastRowLastColumn="0"/>
          <w:cantSplit/>
          <w:trHeight w:val="20"/>
          <w:tblHeader/>
        </w:trPr>
        <w:tc>
          <w:tcPr>
            <w:tcW w:w="2694" w:type="dxa"/>
          </w:tcPr>
          <w:p w14:paraId="59043556" w14:textId="77777777" w:rsidR="00E2438E" w:rsidRPr="002D7ADF" w:rsidRDefault="00E2438E" w:rsidP="00420A16">
            <w:pPr>
              <w:spacing w:before="120" w:after="120"/>
              <w:rPr>
                <w:b/>
                <w:bCs/>
                <w:color w:val="FFFFFF" w:themeColor="background2"/>
                <w:szCs w:val="18"/>
                <w:lang w:val="en-US"/>
              </w:rPr>
            </w:pPr>
            <w:r>
              <w:rPr>
                <w:b/>
                <w:bCs/>
                <w:color w:val="FFFFFF" w:themeColor="background2"/>
                <w:szCs w:val="18"/>
                <w:lang w:val="en-US"/>
              </w:rPr>
              <w:t>Acronym/abbreviation</w:t>
            </w:r>
          </w:p>
        </w:tc>
        <w:tc>
          <w:tcPr>
            <w:tcW w:w="7087" w:type="dxa"/>
          </w:tcPr>
          <w:p w14:paraId="117F09A0" w14:textId="77777777" w:rsidR="00E2438E" w:rsidRPr="002D7ADF" w:rsidRDefault="00E2438E" w:rsidP="00420A16">
            <w:pPr>
              <w:spacing w:before="120" w:after="120"/>
              <w:rPr>
                <w:b/>
                <w:bCs/>
                <w:color w:val="FFFFFF" w:themeColor="background2"/>
                <w:szCs w:val="18"/>
                <w:lang w:val="en-US"/>
              </w:rPr>
            </w:pPr>
            <w:r w:rsidRPr="002D7ADF">
              <w:rPr>
                <w:b/>
                <w:bCs/>
                <w:color w:val="FFFFFF" w:themeColor="background2"/>
                <w:szCs w:val="18"/>
                <w:lang w:val="en-US"/>
              </w:rPr>
              <w:t>Description</w:t>
            </w:r>
          </w:p>
        </w:tc>
      </w:tr>
      <w:tr w:rsidR="00E2438E" w:rsidRPr="004E67F4" w14:paraId="08B1864A"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674EDA09" w14:textId="77777777" w:rsidR="00E2438E" w:rsidRDefault="00E2438E" w:rsidP="00420A16">
            <w:pPr>
              <w:spacing w:before="120" w:after="120"/>
              <w:rPr>
                <w:color w:val="1C1C1C"/>
                <w:sz w:val="16"/>
                <w:szCs w:val="16"/>
              </w:rPr>
            </w:pPr>
            <w:r>
              <w:rPr>
                <w:color w:val="1C1C1C"/>
                <w:sz w:val="16"/>
                <w:szCs w:val="16"/>
              </w:rPr>
              <w:t>ABS</w:t>
            </w:r>
          </w:p>
        </w:tc>
        <w:tc>
          <w:tcPr>
            <w:tcW w:w="7087" w:type="dxa"/>
            <w:tcBorders>
              <w:top w:val="single" w:sz="4" w:space="0" w:color="DFEBF1" w:themeColor="accent1" w:themeTint="1A"/>
              <w:bottom w:val="single" w:sz="4" w:space="0" w:color="DFEBF1" w:themeColor="accent1" w:themeTint="1A"/>
            </w:tcBorders>
            <w:shd w:val="clear" w:color="auto" w:fill="auto"/>
          </w:tcPr>
          <w:p w14:paraId="570F8015" w14:textId="77777777" w:rsidR="00E2438E" w:rsidRDefault="00E2438E" w:rsidP="002D7ADF">
            <w:pPr>
              <w:spacing w:before="120" w:after="120"/>
              <w:rPr>
                <w:color w:val="1C1C1C"/>
                <w:sz w:val="16"/>
                <w:szCs w:val="16"/>
              </w:rPr>
            </w:pPr>
            <w:r>
              <w:rPr>
                <w:color w:val="1C1C1C"/>
                <w:sz w:val="16"/>
                <w:szCs w:val="16"/>
              </w:rPr>
              <w:t>Australian Bureau of Statistics</w:t>
            </w:r>
          </w:p>
        </w:tc>
      </w:tr>
      <w:tr w:rsidR="00E2438E" w:rsidRPr="004E67F4" w14:paraId="0942FB66"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1D798480" w14:textId="77777777" w:rsidR="00E2438E" w:rsidRDefault="00E2438E" w:rsidP="00420A16">
            <w:pPr>
              <w:spacing w:before="120" w:after="120"/>
              <w:rPr>
                <w:color w:val="1C1C1C"/>
                <w:sz w:val="16"/>
                <w:szCs w:val="16"/>
              </w:rPr>
            </w:pPr>
            <w:r>
              <w:rPr>
                <w:color w:val="1C1C1C"/>
                <w:sz w:val="16"/>
                <w:szCs w:val="16"/>
              </w:rPr>
              <w:t>ACFI</w:t>
            </w:r>
          </w:p>
        </w:tc>
        <w:tc>
          <w:tcPr>
            <w:tcW w:w="7087" w:type="dxa"/>
            <w:tcBorders>
              <w:top w:val="single" w:sz="4" w:space="0" w:color="DFEBF1" w:themeColor="accent1" w:themeTint="1A"/>
              <w:bottom w:val="single" w:sz="4" w:space="0" w:color="DFEBF1" w:themeColor="accent1" w:themeTint="1A"/>
            </w:tcBorders>
            <w:shd w:val="clear" w:color="auto" w:fill="auto"/>
          </w:tcPr>
          <w:p w14:paraId="59DCDE24" w14:textId="77777777" w:rsidR="00E2438E" w:rsidRDefault="00E2438E" w:rsidP="002D7ADF">
            <w:pPr>
              <w:spacing w:before="120" w:after="120"/>
              <w:rPr>
                <w:color w:val="1C1C1C"/>
                <w:sz w:val="16"/>
                <w:szCs w:val="16"/>
              </w:rPr>
            </w:pPr>
            <w:r>
              <w:rPr>
                <w:color w:val="1C1C1C"/>
                <w:sz w:val="16"/>
                <w:szCs w:val="16"/>
              </w:rPr>
              <w:t>Aged Care Funding Instrument</w:t>
            </w:r>
          </w:p>
        </w:tc>
      </w:tr>
      <w:tr w:rsidR="00E2438E" w:rsidRPr="004E67F4" w14:paraId="56724905"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69B3363E" w14:textId="77777777" w:rsidR="00E2438E" w:rsidRDefault="00E2438E" w:rsidP="00420A16">
            <w:pPr>
              <w:spacing w:before="120" w:after="120"/>
              <w:rPr>
                <w:color w:val="1C1C1C"/>
                <w:sz w:val="16"/>
                <w:szCs w:val="16"/>
              </w:rPr>
            </w:pPr>
            <w:r>
              <w:rPr>
                <w:color w:val="1C1C1C"/>
                <w:sz w:val="16"/>
                <w:szCs w:val="16"/>
              </w:rPr>
              <w:t>ACFR</w:t>
            </w:r>
          </w:p>
        </w:tc>
        <w:tc>
          <w:tcPr>
            <w:tcW w:w="7087" w:type="dxa"/>
            <w:tcBorders>
              <w:top w:val="single" w:sz="4" w:space="0" w:color="DFEBF1" w:themeColor="accent1" w:themeTint="1A"/>
              <w:bottom w:val="single" w:sz="4" w:space="0" w:color="DFEBF1" w:themeColor="accent1" w:themeTint="1A"/>
            </w:tcBorders>
            <w:shd w:val="clear" w:color="auto" w:fill="auto"/>
          </w:tcPr>
          <w:p w14:paraId="1B34DF96" w14:textId="77777777" w:rsidR="00E2438E" w:rsidRDefault="00E2438E" w:rsidP="002D7ADF">
            <w:pPr>
              <w:spacing w:before="120" w:after="120"/>
              <w:rPr>
                <w:color w:val="1C1C1C"/>
                <w:sz w:val="16"/>
                <w:szCs w:val="16"/>
              </w:rPr>
            </w:pPr>
            <w:r>
              <w:rPr>
                <w:color w:val="1C1C1C"/>
                <w:sz w:val="16"/>
                <w:szCs w:val="16"/>
              </w:rPr>
              <w:t>Aged Care Financial Report</w:t>
            </w:r>
          </w:p>
        </w:tc>
      </w:tr>
      <w:tr w:rsidR="00E2438E" w:rsidRPr="004E67F4" w14:paraId="5138E273"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4FF5DE5B" w14:textId="77777777" w:rsidR="00E2438E" w:rsidRPr="004E67F4" w:rsidRDefault="00E2438E" w:rsidP="00420A16">
            <w:pPr>
              <w:spacing w:before="120" w:after="120"/>
              <w:rPr>
                <w:color w:val="1C1C1C"/>
                <w:sz w:val="16"/>
                <w:szCs w:val="16"/>
              </w:rPr>
            </w:pPr>
            <w:r>
              <w:rPr>
                <w:color w:val="1C1C1C"/>
                <w:sz w:val="16"/>
                <w:szCs w:val="16"/>
              </w:rPr>
              <w:t>AN-ACC</w:t>
            </w:r>
          </w:p>
        </w:tc>
        <w:tc>
          <w:tcPr>
            <w:tcW w:w="7087" w:type="dxa"/>
            <w:tcBorders>
              <w:top w:val="single" w:sz="4" w:space="0" w:color="DFEBF1" w:themeColor="accent1" w:themeTint="1A"/>
              <w:bottom w:val="single" w:sz="4" w:space="0" w:color="DFEBF1" w:themeColor="accent1" w:themeTint="1A"/>
            </w:tcBorders>
            <w:shd w:val="clear" w:color="auto" w:fill="auto"/>
          </w:tcPr>
          <w:p w14:paraId="26602359" w14:textId="77777777" w:rsidR="00E2438E" w:rsidRPr="004E67F4" w:rsidRDefault="00E2438E" w:rsidP="002D7ADF">
            <w:pPr>
              <w:spacing w:before="120" w:after="120"/>
              <w:rPr>
                <w:color w:val="1C1C1C"/>
                <w:sz w:val="16"/>
                <w:szCs w:val="16"/>
              </w:rPr>
            </w:pPr>
            <w:r>
              <w:rPr>
                <w:color w:val="1C1C1C"/>
                <w:sz w:val="16"/>
                <w:szCs w:val="16"/>
              </w:rPr>
              <w:t>Australian National Aged Care Classification</w:t>
            </w:r>
          </w:p>
        </w:tc>
      </w:tr>
      <w:tr w:rsidR="00E2438E" w:rsidRPr="004E67F4" w14:paraId="2A6062B0"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0E543CCF" w14:textId="77777777" w:rsidR="00E2438E" w:rsidRDefault="00E2438E" w:rsidP="00420A16">
            <w:pPr>
              <w:spacing w:before="120" w:after="120"/>
              <w:rPr>
                <w:color w:val="1C1C1C"/>
                <w:sz w:val="16"/>
                <w:szCs w:val="16"/>
              </w:rPr>
            </w:pPr>
            <w:r>
              <w:rPr>
                <w:color w:val="1C1C1C"/>
                <w:sz w:val="16"/>
                <w:szCs w:val="16"/>
              </w:rPr>
              <w:t>BDF</w:t>
            </w:r>
          </w:p>
        </w:tc>
        <w:tc>
          <w:tcPr>
            <w:tcW w:w="7087" w:type="dxa"/>
            <w:tcBorders>
              <w:top w:val="single" w:sz="4" w:space="0" w:color="DFEBF1" w:themeColor="accent1" w:themeTint="1A"/>
              <w:bottom w:val="single" w:sz="4" w:space="0" w:color="DFEBF1" w:themeColor="accent1" w:themeTint="1A"/>
            </w:tcBorders>
            <w:shd w:val="clear" w:color="auto" w:fill="auto"/>
          </w:tcPr>
          <w:p w14:paraId="50AD7B4F" w14:textId="77777777" w:rsidR="00E2438E" w:rsidRDefault="00E2438E" w:rsidP="002D7ADF">
            <w:pPr>
              <w:spacing w:before="120" w:after="120"/>
              <w:rPr>
                <w:color w:val="1C1C1C"/>
                <w:sz w:val="16"/>
                <w:szCs w:val="16"/>
              </w:rPr>
            </w:pPr>
            <w:r>
              <w:rPr>
                <w:color w:val="1C1C1C"/>
                <w:sz w:val="16"/>
                <w:szCs w:val="16"/>
              </w:rPr>
              <w:t>Basic Daily Fee</w:t>
            </w:r>
          </w:p>
        </w:tc>
      </w:tr>
      <w:tr w:rsidR="00E2438E" w:rsidRPr="004E67F4" w14:paraId="35F611D0"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4EB6BD5F" w14:textId="77777777" w:rsidR="00E2438E" w:rsidRDefault="00E2438E" w:rsidP="00420A16">
            <w:pPr>
              <w:spacing w:before="120" w:after="120"/>
              <w:rPr>
                <w:color w:val="1C1C1C"/>
                <w:sz w:val="16"/>
                <w:szCs w:val="16"/>
              </w:rPr>
            </w:pPr>
            <w:r>
              <w:rPr>
                <w:color w:val="1C1C1C"/>
                <w:sz w:val="16"/>
                <w:szCs w:val="16"/>
              </w:rPr>
              <w:t>Commission</w:t>
            </w:r>
          </w:p>
        </w:tc>
        <w:tc>
          <w:tcPr>
            <w:tcW w:w="7087" w:type="dxa"/>
            <w:tcBorders>
              <w:top w:val="single" w:sz="4" w:space="0" w:color="DFEBF1" w:themeColor="accent1" w:themeTint="1A"/>
              <w:bottom w:val="single" w:sz="4" w:space="0" w:color="DFEBF1" w:themeColor="accent1" w:themeTint="1A"/>
            </w:tcBorders>
            <w:shd w:val="clear" w:color="auto" w:fill="auto"/>
          </w:tcPr>
          <w:p w14:paraId="538BD1A2" w14:textId="77777777" w:rsidR="00E2438E" w:rsidRDefault="00E2438E" w:rsidP="002D7ADF">
            <w:pPr>
              <w:spacing w:before="120" w:after="120"/>
              <w:rPr>
                <w:color w:val="1C1C1C"/>
                <w:sz w:val="16"/>
                <w:szCs w:val="16"/>
              </w:rPr>
            </w:pPr>
            <w:r>
              <w:rPr>
                <w:color w:val="1C1C1C"/>
                <w:sz w:val="16"/>
                <w:szCs w:val="16"/>
              </w:rPr>
              <w:t>Aged Care Safety and Quality Commission</w:t>
            </w:r>
          </w:p>
        </w:tc>
      </w:tr>
      <w:tr w:rsidR="00E2438E" w:rsidRPr="004E67F4" w14:paraId="68F60335"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3C1629DC" w14:textId="77777777" w:rsidR="00E2438E" w:rsidRDefault="00E2438E" w:rsidP="00420A16">
            <w:pPr>
              <w:spacing w:before="120" w:after="120"/>
              <w:rPr>
                <w:color w:val="1C1C1C"/>
                <w:sz w:val="16"/>
                <w:szCs w:val="16"/>
              </w:rPr>
            </w:pPr>
            <w:r>
              <w:rPr>
                <w:color w:val="1C1C1C"/>
                <w:sz w:val="16"/>
                <w:szCs w:val="16"/>
              </w:rPr>
              <w:t>CPI</w:t>
            </w:r>
          </w:p>
        </w:tc>
        <w:tc>
          <w:tcPr>
            <w:tcW w:w="7087" w:type="dxa"/>
            <w:tcBorders>
              <w:top w:val="single" w:sz="4" w:space="0" w:color="DFEBF1" w:themeColor="accent1" w:themeTint="1A"/>
              <w:bottom w:val="single" w:sz="4" w:space="0" w:color="DFEBF1" w:themeColor="accent1" w:themeTint="1A"/>
            </w:tcBorders>
            <w:shd w:val="clear" w:color="auto" w:fill="auto"/>
          </w:tcPr>
          <w:p w14:paraId="3950B9D5" w14:textId="77777777" w:rsidR="00E2438E" w:rsidRDefault="00E2438E" w:rsidP="002D7ADF">
            <w:pPr>
              <w:spacing w:before="120" w:after="120"/>
              <w:rPr>
                <w:color w:val="1C1C1C"/>
                <w:sz w:val="16"/>
                <w:szCs w:val="16"/>
              </w:rPr>
            </w:pPr>
            <w:r>
              <w:rPr>
                <w:color w:val="1C1C1C"/>
                <w:sz w:val="16"/>
                <w:szCs w:val="16"/>
              </w:rPr>
              <w:t>Consumer Price Index</w:t>
            </w:r>
          </w:p>
        </w:tc>
      </w:tr>
      <w:tr w:rsidR="00E2438E" w:rsidRPr="004E67F4" w14:paraId="17FAEA1F"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073712B3" w14:textId="77777777" w:rsidR="00E2438E" w:rsidRDefault="00E2438E" w:rsidP="00420A16">
            <w:pPr>
              <w:spacing w:before="120" w:after="120"/>
              <w:rPr>
                <w:color w:val="1C1C1C"/>
                <w:sz w:val="16"/>
                <w:szCs w:val="16"/>
              </w:rPr>
            </w:pPr>
            <w:r>
              <w:rPr>
                <w:color w:val="1C1C1C"/>
                <w:sz w:val="16"/>
                <w:szCs w:val="16"/>
              </w:rPr>
              <w:t>Department</w:t>
            </w:r>
          </w:p>
        </w:tc>
        <w:tc>
          <w:tcPr>
            <w:tcW w:w="7087" w:type="dxa"/>
            <w:tcBorders>
              <w:top w:val="single" w:sz="4" w:space="0" w:color="DFEBF1" w:themeColor="accent1" w:themeTint="1A"/>
              <w:bottom w:val="single" w:sz="4" w:space="0" w:color="DFEBF1" w:themeColor="accent1" w:themeTint="1A"/>
            </w:tcBorders>
            <w:shd w:val="clear" w:color="auto" w:fill="auto"/>
          </w:tcPr>
          <w:p w14:paraId="66D517B2" w14:textId="77777777" w:rsidR="00E2438E" w:rsidRDefault="00E2438E" w:rsidP="002D7ADF">
            <w:pPr>
              <w:spacing w:before="120" w:after="120"/>
              <w:rPr>
                <w:color w:val="1C1C1C"/>
                <w:sz w:val="16"/>
                <w:szCs w:val="16"/>
              </w:rPr>
            </w:pPr>
            <w:r>
              <w:rPr>
                <w:color w:val="1C1C1C"/>
                <w:sz w:val="16"/>
                <w:szCs w:val="16"/>
              </w:rPr>
              <w:t>Department of Health and Aged Care</w:t>
            </w:r>
          </w:p>
        </w:tc>
      </w:tr>
      <w:tr w:rsidR="00E2438E" w:rsidRPr="004E67F4" w14:paraId="32DB7270"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0FF474AA" w14:textId="77777777" w:rsidR="00E2438E" w:rsidRDefault="00E2438E" w:rsidP="00420A16">
            <w:pPr>
              <w:spacing w:before="120" w:after="120"/>
              <w:rPr>
                <w:color w:val="1C1C1C"/>
                <w:sz w:val="16"/>
                <w:szCs w:val="16"/>
              </w:rPr>
            </w:pPr>
            <w:r>
              <w:rPr>
                <w:color w:val="1C1C1C"/>
                <w:sz w:val="16"/>
                <w:szCs w:val="16"/>
              </w:rPr>
              <w:t>EN</w:t>
            </w:r>
          </w:p>
        </w:tc>
        <w:tc>
          <w:tcPr>
            <w:tcW w:w="7087" w:type="dxa"/>
            <w:tcBorders>
              <w:top w:val="single" w:sz="4" w:space="0" w:color="DFEBF1" w:themeColor="accent1" w:themeTint="1A"/>
              <w:bottom w:val="single" w:sz="4" w:space="0" w:color="DFEBF1" w:themeColor="accent1" w:themeTint="1A"/>
            </w:tcBorders>
            <w:shd w:val="clear" w:color="auto" w:fill="auto"/>
          </w:tcPr>
          <w:p w14:paraId="302C6996" w14:textId="77777777" w:rsidR="00E2438E" w:rsidRDefault="00E2438E" w:rsidP="002D7ADF">
            <w:pPr>
              <w:spacing w:before="120" w:after="120"/>
              <w:rPr>
                <w:color w:val="1C1C1C"/>
                <w:sz w:val="16"/>
                <w:szCs w:val="16"/>
              </w:rPr>
            </w:pPr>
            <w:r>
              <w:rPr>
                <w:color w:val="1C1C1C"/>
                <w:sz w:val="16"/>
                <w:szCs w:val="16"/>
              </w:rPr>
              <w:t>Enrolled Nurse</w:t>
            </w:r>
          </w:p>
        </w:tc>
      </w:tr>
      <w:tr w:rsidR="00E2438E" w:rsidRPr="004E67F4" w14:paraId="18E32F9C"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27C20F73" w14:textId="77777777" w:rsidR="00E2438E" w:rsidRDefault="00E2438E" w:rsidP="00420A16">
            <w:pPr>
              <w:spacing w:before="120" w:after="120"/>
              <w:rPr>
                <w:color w:val="1C1C1C"/>
                <w:sz w:val="16"/>
                <w:szCs w:val="16"/>
              </w:rPr>
            </w:pPr>
            <w:r>
              <w:rPr>
                <w:color w:val="1C1C1C"/>
                <w:sz w:val="16"/>
                <w:szCs w:val="16"/>
              </w:rPr>
              <w:t>FWC</w:t>
            </w:r>
          </w:p>
        </w:tc>
        <w:tc>
          <w:tcPr>
            <w:tcW w:w="7087" w:type="dxa"/>
            <w:tcBorders>
              <w:top w:val="single" w:sz="4" w:space="0" w:color="DFEBF1" w:themeColor="accent1" w:themeTint="1A"/>
              <w:bottom w:val="single" w:sz="4" w:space="0" w:color="DFEBF1" w:themeColor="accent1" w:themeTint="1A"/>
            </w:tcBorders>
            <w:shd w:val="clear" w:color="auto" w:fill="auto"/>
          </w:tcPr>
          <w:p w14:paraId="5AD783AB" w14:textId="77777777" w:rsidR="00E2438E" w:rsidRDefault="00E2438E" w:rsidP="002D7ADF">
            <w:pPr>
              <w:spacing w:before="120" w:after="120"/>
              <w:rPr>
                <w:color w:val="1C1C1C"/>
                <w:sz w:val="16"/>
                <w:szCs w:val="16"/>
              </w:rPr>
            </w:pPr>
            <w:r>
              <w:rPr>
                <w:color w:val="1C1C1C"/>
                <w:sz w:val="16"/>
                <w:szCs w:val="16"/>
              </w:rPr>
              <w:t>Fair Work Commission</w:t>
            </w:r>
          </w:p>
        </w:tc>
      </w:tr>
      <w:tr w:rsidR="00E2438E" w:rsidRPr="004E67F4" w14:paraId="7F8AE355"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5EA62A25" w14:textId="77777777" w:rsidR="00E2438E" w:rsidRDefault="00E2438E" w:rsidP="00420A16">
            <w:pPr>
              <w:spacing w:before="120" w:after="120"/>
              <w:rPr>
                <w:color w:val="1C1C1C"/>
                <w:sz w:val="16"/>
                <w:szCs w:val="16"/>
              </w:rPr>
            </w:pPr>
            <w:r>
              <w:rPr>
                <w:color w:val="1C1C1C"/>
                <w:sz w:val="16"/>
                <w:szCs w:val="16"/>
              </w:rPr>
              <w:t>Government</w:t>
            </w:r>
          </w:p>
        </w:tc>
        <w:tc>
          <w:tcPr>
            <w:tcW w:w="7087" w:type="dxa"/>
            <w:tcBorders>
              <w:top w:val="single" w:sz="4" w:space="0" w:color="DFEBF1" w:themeColor="accent1" w:themeTint="1A"/>
              <w:bottom w:val="single" w:sz="4" w:space="0" w:color="DFEBF1" w:themeColor="accent1" w:themeTint="1A"/>
            </w:tcBorders>
            <w:shd w:val="clear" w:color="auto" w:fill="auto"/>
          </w:tcPr>
          <w:p w14:paraId="27ABA94E" w14:textId="77777777" w:rsidR="00E2438E" w:rsidRDefault="00E2438E" w:rsidP="002D7ADF">
            <w:pPr>
              <w:spacing w:before="120" w:after="120"/>
              <w:rPr>
                <w:color w:val="1C1C1C"/>
                <w:sz w:val="16"/>
                <w:szCs w:val="16"/>
              </w:rPr>
            </w:pPr>
            <w:r>
              <w:rPr>
                <w:color w:val="1C1C1C"/>
                <w:sz w:val="16"/>
                <w:szCs w:val="16"/>
              </w:rPr>
              <w:t>Commonwealth Government</w:t>
            </w:r>
          </w:p>
        </w:tc>
      </w:tr>
      <w:tr w:rsidR="00E2438E" w:rsidRPr="004E67F4" w14:paraId="2A4B5B3D"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43D7C123" w14:textId="77777777" w:rsidR="00E2438E" w:rsidRDefault="00E2438E" w:rsidP="00420A16">
            <w:pPr>
              <w:spacing w:before="120" w:after="120"/>
              <w:rPr>
                <w:color w:val="1C1C1C"/>
                <w:sz w:val="16"/>
                <w:szCs w:val="16"/>
              </w:rPr>
            </w:pPr>
            <w:r>
              <w:rPr>
                <w:color w:val="1C1C1C"/>
                <w:sz w:val="16"/>
                <w:szCs w:val="16"/>
              </w:rPr>
              <w:t>IHACPA</w:t>
            </w:r>
          </w:p>
        </w:tc>
        <w:tc>
          <w:tcPr>
            <w:tcW w:w="7087" w:type="dxa"/>
            <w:tcBorders>
              <w:top w:val="single" w:sz="4" w:space="0" w:color="DFEBF1" w:themeColor="accent1" w:themeTint="1A"/>
              <w:bottom w:val="single" w:sz="4" w:space="0" w:color="DFEBF1" w:themeColor="accent1" w:themeTint="1A"/>
            </w:tcBorders>
            <w:shd w:val="clear" w:color="auto" w:fill="auto"/>
          </w:tcPr>
          <w:p w14:paraId="47192272" w14:textId="77777777" w:rsidR="00E2438E" w:rsidRDefault="00E2438E" w:rsidP="002D7ADF">
            <w:pPr>
              <w:spacing w:before="120" w:after="120"/>
              <w:rPr>
                <w:color w:val="1C1C1C"/>
                <w:sz w:val="16"/>
                <w:szCs w:val="16"/>
              </w:rPr>
            </w:pPr>
            <w:r>
              <w:rPr>
                <w:color w:val="1C1C1C"/>
                <w:sz w:val="16"/>
                <w:szCs w:val="16"/>
              </w:rPr>
              <w:t>Independent Health and Aged Care Pricing Authority (formerly IHPA)</w:t>
            </w:r>
          </w:p>
        </w:tc>
      </w:tr>
      <w:tr w:rsidR="00E2438E" w:rsidRPr="004E67F4" w14:paraId="7EFEA288"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27F7F540" w14:textId="77777777" w:rsidR="00E2438E" w:rsidRDefault="00E2438E" w:rsidP="00420A16">
            <w:pPr>
              <w:spacing w:before="120" w:after="120"/>
              <w:rPr>
                <w:color w:val="1C1C1C"/>
                <w:sz w:val="16"/>
                <w:szCs w:val="16"/>
              </w:rPr>
            </w:pPr>
            <w:r>
              <w:rPr>
                <w:color w:val="1C1C1C"/>
                <w:sz w:val="16"/>
                <w:szCs w:val="16"/>
              </w:rPr>
              <w:t>IHPA</w:t>
            </w:r>
          </w:p>
        </w:tc>
        <w:tc>
          <w:tcPr>
            <w:tcW w:w="7087" w:type="dxa"/>
            <w:tcBorders>
              <w:top w:val="single" w:sz="4" w:space="0" w:color="DFEBF1" w:themeColor="accent1" w:themeTint="1A"/>
              <w:bottom w:val="single" w:sz="4" w:space="0" w:color="DFEBF1" w:themeColor="accent1" w:themeTint="1A"/>
            </w:tcBorders>
            <w:shd w:val="clear" w:color="auto" w:fill="auto"/>
          </w:tcPr>
          <w:p w14:paraId="6E8853AA" w14:textId="77777777" w:rsidR="00E2438E" w:rsidRDefault="00E2438E" w:rsidP="002D7ADF">
            <w:pPr>
              <w:spacing w:before="120" w:after="120"/>
              <w:rPr>
                <w:color w:val="1C1C1C"/>
                <w:sz w:val="16"/>
                <w:szCs w:val="16"/>
              </w:rPr>
            </w:pPr>
            <w:r>
              <w:rPr>
                <w:color w:val="1C1C1C"/>
                <w:sz w:val="16"/>
                <w:szCs w:val="16"/>
              </w:rPr>
              <w:t>Independent Hospital Pricing Authority (now IHACPA)</w:t>
            </w:r>
          </w:p>
        </w:tc>
      </w:tr>
      <w:tr w:rsidR="00E2438E" w:rsidRPr="004E67F4" w14:paraId="19280EAA"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6430C652" w14:textId="77777777" w:rsidR="00E2438E" w:rsidRDefault="00E2438E" w:rsidP="00420A16">
            <w:pPr>
              <w:spacing w:before="120" w:after="120"/>
              <w:rPr>
                <w:color w:val="1C1C1C"/>
                <w:sz w:val="16"/>
                <w:szCs w:val="16"/>
              </w:rPr>
            </w:pPr>
            <w:r>
              <w:rPr>
                <w:color w:val="1C1C1C"/>
                <w:sz w:val="16"/>
                <w:szCs w:val="16"/>
              </w:rPr>
              <w:t>NHR Act</w:t>
            </w:r>
          </w:p>
        </w:tc>
        <w:tc>
          <w:tcPr>
            <w:tcW w:w="7087" w:type="dxa"/>
            <w:tcBorders>
              <w:top w:val="single" w:sz="4" w:space="0" w:color="DFEBF1" w:themeColor="accent1" w:themeTint="1A"/>
              <w:bottom w:val="single" w:sz="4" w:space="0" w:color="DFEBF1" w:themeColor="accent1" w:themeTint="1A"/>
            </w:tcBorders>
            <w:shd w:val="clear" w:color="auto" w:fill="auto"/>
          </w:tcPr>
          <w:p w14:paraId="3E352DBA" w14:textId="77777777" w:rsidR="00E2438E" w:rsidRPr="006D3A55" w:rsidRDefault="00E2438E" w:rsidP="002D7ADF">
            <w:pPr>
              <w:spacing w:before="120" w:after="120"/>
              <w:rPr>
                <w:i/>
                <w:iCs/>
                <w:color w:val="1C1C1C"/>
                <w:sz w:val="16"/>
                <w:szCs w:val="16"/>
              </w:rPr>
            </w:pPr>
            <w:r w:rsidRPr="006D3A55">
              <w:rPr>
                <w:i/>
                <w:iCs/>
                <w:color w:val="1C1C1C"/>
                <w:sz w:val="16"/>
                <w:szCs w:val="16"/>
              </w:rPr>
              <w:t>National Health Reform Act 2011</w:t>
            </w:r>
          </w:p>
        </w:tc>
      </w:tr>
      <w:tr w:rsidR="005C6CC8" w:rsidRPr="004E67F4" w14:paraId="2BB8E186" w14:textId="77777777" w:rsidTr="3198561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523497EC" w14:textId="24573DF9" w:rsidR="005C6CC8" w:rsidRDefault="005C6CC8" w:rsidP="002B4E8F">
            <w:pPr>
              <w:spacing w:before="120" w:after="120"/>
              <w:rPr>
                <w:color w:val="1C1C1C"/>
                <w:sz w:val="16"/>
                <w:szCs w:val="16"/>
              </w:rPr>
            </w:pPr>
            <w:r>
              <w:rPr>
                <w:color w:val="1C1C1C"/>
                <w:sz w:val="16"/>
                <w:szCs w:val="16"/>
              </w:rPr>
              <w:t>NWAU</w:t>
            </w:r>
          </w:p>
        </w:tc>
        <w:tc>
          <w:tcPr>
            <w:tcW w:w="7087" w:type="dxa"/>
            <w:tcBorders>
              <w:top w:val="single" w:sz="4" w:space="0" w:color="DFEBF1" w:themeColor="accent1" w:themeTint="1A"/>
              <w:bottom w:val="single" w:sz="4" w:space="0" w:color="DFEBF1" w:themeColor="accent1" w:themeTint="1A"/>
            </w:tcBorders>
            <w:shd w:val="clear" w:color="auto" w:fill="auto"/>
          </w:tcPr>
          <w:p w14:paraId="46B51379" w14:textId="12052AC8" w:rsidR="005C6CC8" w:rsidRDefault="008502F8" w:rsidP="002D7ADF">
            <w:pPr>
              <w:spacing w:before="120" w:after="120"/>
              <w:rPr>
                <w:color w:val="1C1C1C"/>
                <w:sz w:val="16"/>
                <w:szCs w:val="16"/>
              </w:rPr>
            </w:pPr>
            <w:r>
              <w:rPr>
                <w:color w:val="1C1C1C"/>
                <w:sz w:val="16"/>
                <w:szCs w:val="16"/>
              </w:rPr>
              <w:t>N</w:t>
            </w:r>
            <w:r w:rsidR="005C6CC8">
              <w:rPr>
                <w:color w:val="1C1C1C"/>
                <w:sz w:val="16"/>
                <w:szCs w:val="16"/>
              </w:rPr>
              <w:t xml:space="preserve">ational </w:t>
            </w:r>
            <w:r>
              <w:rPr>
                <w:color w:val="1C1C1C"/>
                <w:sz w:val="16"/>
                <w:szCs w:val="16"/>
              </w:rPr>
              <w:t>w</w:t>
            </w:r>
            <w:r w:rsidR="005C6CC8">
              <w:rPr>
                <w:color w:val="1C1C1C"/>
                <w:sz w:val="16"/>
                <w:szCs w:val="16"/>
              </w:rPr>
              <w:t>eigh</w:t>
            </w:r>
            <w:r>
              <w:rPr>
                <w:color w:val="1C1C1C"/>
                <w:sz w:val="16"/>
                <w:szCs w:val="16"/>
              </w:rPr>
              <w:t>ted activity unit</w:t>
            </w:r>
          </w:p>
        </w:tc>
      </w:tr>
      <w:tr w:rsidR="00E809C4" w:rsidRPr="004E67F4" w14:paraId="3DEC6C86" w14:textId="77777777" w:rsidTr="3198561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631426EF" w14:textId="01180DBC" w:rsidR="00E809C4" w:rsidRDefault="00E809C4" w:rsidP="002B4E8F">
            <w:pPr>
              <w:spacing w:before="120" w:after="120"/>
              <w:rPr>
                <w:color w:val="1C1C1C"/>
                <w:sz w:val="16"/>
                <w:szCs w:val="16"/>
              </w:rPr>
            </w:pPr>
            <w:r>
              <w:rPr>
                <w:color w:val="1C1C1C"/>
                <w:sz w:val="16"/>
                <w:szCs w:val="16"/>
              </w:rPr>
              <w:t>OBD</w:t>
            </w:r>
          </w:p>
        </w:tc>
        <w:tc>
          <w:tcPr>
            <w:tcW w:w="7087" w:type="dxa"/>
            <w:tcBorders>
              <w:top w:val="single" w:sz="4" w:space="0" w:color="DFEBF1" w:themeColor="accent1" w:themeTint="1A"/>
              <w:bottom w:val="single" w:sz="4" w:space="0" w:color="DFEBF1" w:themeColor="accent1" w:themeTint="1A"/>
            </w:tcBorders>
            <w:shd w:val="clear" w:color="auto" w:fill="auto"/>
          </w:tcPr>
          <w:p w14:paraId="17269345" w14:textId="31E8DC76" w:rsidR="00E809C4" w:rsidRDefault="00E809C4" w:rsidP="002D7ADF">
            <w:pPr>
              <w:spacing w:before="120" w:after="120"/>
              <w:rPr>
                <w:color w:val="1C1C1C"/>
                <w:sz w:val="16"/>
                <w:szCs w:val="16"/>
              </w:rPr>
            </w:pPr>
            <w:r>
              <w:rPr>
                <w:color w:val="1C1C1C"/>
                <w:sz w:val="16"/>
                <w:szCs w:val="16"/>
              </w:rPr>
              <w:t>Occupied bed day</w:t>
            </w:r>
          </w:p>
        </w:tc>
      </w:tr>
      <w:tr w:rsidR="00E2438E" w:rsidRPr="004E67F4" w14:paraId="15FAF584"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30C75E49" w14:textId="77777777" w:rsidR="00E2438E" w:rsidRDefault="00E2438E" w:rsidP="00420A16">
            <w:pPr>
              <w:spacing w:before="120" w:after="120"/>
              <w:rPr>
                <w:color w:val="1C1C1C"/>
                <w:sz w:val="16"/>
                <w:szCs w:val="16"/>
              </w:rPr>
            </w:pPr>
            <w:r>
              <w:rPr>
                <w:color w:val="1C1C1C"/>
                <w:sz w:val="16"/>
                <w:szCs w:val="16"/>
              </w:rPr>
              <w:t>RACPA23</w:t>
            </w:r>
          </w:p>
        </w:tc>
        <w:tc>
          <w:tcPr>
            <w:tcW w:w="7087" w:type="dxa"/>
            <w:tcBorders>
              <w:top w:val="single" w:sz="4" w:space="0" w:color="DFEBF1" w:themeColor="accent1" w:themeTint="1A"/>
              <w:bottom w:val="single" w:sz="4" w:space="0" w:color="DFEBF1" w:themeColor="accent1" w:themeTint="1A"/>
            </w:tcBorders>
            <w:shd w:val="clear" w:color="auto" w:fill="auto"/>
          </w:tcPr>
          <w:p w14:paraId="6B78D7C8" w14:textId="77777777" w:rsidR="00E2438E" w:rsidRDefault="00E2438E" w:rsidP="002D7ADF">
            <w:pPr>
              <w:spacing w:before="120" w:after="120"/>
              <w:rPr>
                <w:color w:val="1C1C1C"/>
                <w:sz w:val="16"/>
                <w:szCs w:val="16"/>
              </w:rPr>
            </w:pPr>
            <w:r>
              <w:rPr>
                <w:color w:val="1C1C1C"/>
                <w:sz w:val="16"/>
                <w:szCs w:val="16"/>
              </w:rPr>
              <w:t>Residential Aged Care Pricing Advice 2023-24</w:t>
            </w:r>
          </w:p>
        </w:tc>
      </w:tr>
      <w:tr w:rsidR="00E2438E" w:rsidRPr="004E67F4" w14:paraId="3EBE708F"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57A9851F" w14:textId="77777777" w:rsidR="00E2438E" w:rsidRDefault="00E2438E" w:rsidP="00420A16">
            <w:pPr>
              <w:spacing w:before="120" w:after="120"/>
              <w:rPr>
                <w:color w:val="1C1C1C"/>
                <w:sz w:val="16"/>
                <w:szCs w:val="16"/>
              </w:rPr>
            </w:pPr>
            <w:r>
              <w:rPr>
                <w:color w:val="1C1C1C"/>
                <w:sz w:val="16"/>
                <w:szCs w:val="16"/>
              </w:rPr>
              <w:t>RN</w:t>
            </w:r>
          </w:p>
        </w:tc>
        <w:tc>
          <w:tcPr>
            <w:tcW w:w="7087" w:type="dxa"/>
            <w:tcBorders>
              <w:top w:val="single" w:sz="4" w:space="0" w:color="DFEBF1" w:themeColor="accent1" w:themeTint="1A"/>
              <w:bottom w:val="single" w:sz="4" w:space="0" w:color="DFEBF1" w:themeColor="accent1" w:themeTint="1A"/>
            </w:tcBorders>
            <w:shd w:val="clear" w:color="auto" w:fill="auto"/>
          </w:tcPr>
          <w:p w14:paraId="1D64CAA2" w14:textId="77777777" w:rsidR="00E2438E" w:rsidRDefault="00E2438E" w:rsidP="002D7ADF">
            <w:pPr>
              <w:spacing w:before="120" w:after="120"/>
              <w:rPr>
                <w:color w:val="1C1C1C"/>
                <w:sz w:val="16"/>
                <w:szCs w:val="16"/>
              </w:rPr>
            </w:pPr>
            <w:r>
              <w:rPr>
                <w:color w:val="1C1C1C"/>
                <w:sz w:val="16"/>
                <w:szCs w:val="16"/>
              </w:rPr>
              <w:t>Registered Nurse</w:t>
            </w:r>
          </w:p>
        </w:tc>
      </w:tr>
      <w:tr w:rsidR="00E2438E" w:rsidRPr="004E67F4" w14:paraId="0B81C9F0" w14:textId="77777777" w:rsidTr="002C4767">
        <w:trPr>
          <w:cnfStyle w:val="000000100000" w:firstRow="0" w:lastRow="0" w:firstColumn="0" w:lastColumn="0" w:oddVBand="0" w:evenVBand="0" w:oddHBand="1" w:evenHBand="0"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0306A10F" w14:textId="77777777" w:rsidR="00E2438E" w:rsidRDefault="00E2438E" w:rsidP="00420A16">
            <w:pPr>
              <w:spacing w:before="120" w:after="120"/>
              <w:rPr>
                <w:color w:val="1C1C1C"/>
                <w:sz w:val="16"/>
                <w:szCs w:val="16"/>
              </w:rPr>
            </w:pPr>
            <w:r>
              <w:rPr>
                <w:color w:val="1C1C1C"/>
                <w:sz w:val="16"/>
                <w:szCs w:val="16"/>
              </w:rPr>
              <w:t>Schedule</w:t>
            </w:r>
          </w:p>
        </w:tc>
        <w:tc>
          <w:tcPr>
            <w:tcW w:w="7087" w:type="dxa"/>
            <w:tcBorders>
              <w:top w:val="single" w:sz="4" w:space="0" w:color="DFEBF1" w:themeColor="accent1" w:themeTint="1A"/>
              <w:bottom w:val="single" w:sz="4" w:space="0" w:color="DFEBF1" w:themeColor="accent1" w:themeTint="1A"/>
            </w:tcBorders>
            <w:shd w:val="clear" w:color="auto" w:fill="auto"/>
          </w:tcPr>
          <w:p w14:paraId="305D6F40" w14:textId="3D3F65F7" w:rsidR="00E2438E" w:rsidRDefault="00E2438E" w:rsidP="002D7ADF">
            <w:pPr>
              <w:spacing w:before="120" w:after="120"/>
              <w:rPr>
                <w:color w:val="1C1C1C"/>
                <w:sz w:val="16"/>
                <w:szCs w:val="16"/>
              </w:rPr>
            </w:pPr>
            <w:r w:rsidRPr="006D3A55">
              <w:rPr>
                <w:color w:val="1C1C1C"/>
                <w:sz w:val="16"/>
                <w:szCs w:val="16"/>
              </w:rPr>
              <w:t xml:space="preserve">Schedule 1—Care and services for residential care services of the </w:t>
            </w:r>
            <w:r w:rsidRPr="006D3A55">
              <w:rPr>
                <w:i/>
                <w:iCs/>
                <w:color w:val="1C1C1C"/>
                <w:sz w:val="16"/>
                <w:szCs w:val="16"/>
              </w:rPr>
              <w:t>Quality of Care Principles 2014</w:t>
            </w:r>
            <w:r w:rsidRPr="006D3A55">
              <w:rPr>
                <w:color w:val="1C1C1C"/>
                <w:sz w:val="16"/>
                <w:szCs w:val="16"/>
              </w:rPr>
              <w:t xml:space="preserve"> under section 96-1 of the Aged </w:t>
            </w:r>
            <w:r w:rsidRPr="006D3A55">
              <w:rPr>
                <w:i/>
                <w:iCs/>
                <w:color w:val="1C1C1C"/>
                <w:sz w:val="16"/>
                <w:szCs w:val="16"/>
              </w:rPr>
              <w:t>Care Act 1997</w:t>
            </w:r>
          </w:p>
        </w:tc>
      </w:tr>
      <w:tr w:rsidR="00E2438E" w:rsidRPr="004E67F4" w14:paraId="638E744C" w14:textId="77777777" w:rsidTr="002C4767">
        <w:trPr>
          <w:cnfStyle w:val="000000010000" w:firstRow="0" w:lastRow="0" w:firstColumn="0" w:lastColumn="0" w:oddVBand="0" w:evenVBand="0" w:oddHBand="0" w:evenHBand="1" w:firstRowFirstColumn="0" w:firstRowLastColumn="0" w:lastRowFirstColumn="0" w:lastRowLastColumn="0"/>
          <w:trHeight w:val="20"/>
        </w:trPr>
        <w:tc>
          <w:tcPr>
            <w:tcW w:w="2694" w:type="dxa"/>
            <w:tcBorders>
              <w:top w:val="single" w:sz="4" w:space="0" w:color="DFEBF1" w:themeColor="accent1" w:themeTint="1A"/>
              <w:bottom w:val="single" w:sz="4" w:space="0" w:color="DFEBF1" w:themeColor="accent1" w:themeTint="1A"/>
            </w:tcBorders>
            <w:shd w:val="clear" w:color="auto" w:fill="auto"/>
          </w:tcPr>
          <w:p w14:paraId="0D2CC4F2" w14:textId="77777777" w:rsidR="00E2438E" w:rsidRDefault="00E2438E" w:rsidP="00420A16">
            <w:pPr>
              <w:spacing w:before="120" w:after="120"/>
              <w:rPr>
                <w:color w:val="1C1C1C"/>
                <w:sz w:val="16"/>
                <w:szCs w:val="16"/>
              </w:rPr>
            </w:pPr>
            <w:r>
              <w:rPr>
                <w:color w:val="1C1C1C"/>
                <w:sz w:val="16"/>
                <w:szCs w:val="16"/>
              </w:rPr>
              <w:t>UOW</w:t>
            </w:r>
          </w:p>
        </w:tc>
        <w:tc>
          <w:tcPr>
            <w:tcW w:w="7087" w:type="dxa"/>
            <w:tcBorders>
              <w:top w:val="single" w:sz="4" w:space="0" w:color="DFEBF1" w:themeColor="accent1" w:themeTint="1A"/>
              <w:bottom w:val="single" w:sz="4" w:space="0" w:color="DFEBF1" w:themeColor="accent1" w:themeTint="1A"/>
            </w:tcBorders>
            <w:shd w:val="clear" w:color="auto" w:fill="auto"/>
          </w:tcPr>
          <w:p w14:paraId="098C39B4" w14:textId="77777777" w:rsidR="00E2438E" w:rsidRDefault="00E2438E" w:rsidP="002D7ADF">
            <w:pPr>
              <w:spacing w:before="120" w:after="120"/>
              <w:rPr>
                <w:color w:val="1C1C1C"/>
                <w:sz w:val="16"/>
                <w:szCs w:val="16"/>
              </w:rPr>
            </w:pPr>
            <w:r>
              <w:rPr>
                <w:color w:val="1C1C1C"/>
                <w:sz w:val="16"/>
                <w:szCs w:val="16"/>
              </w:rPr>
              <w:t>University of Wollongong</w:t>
            </w:r>
          </w:p>
        </w:tc>
      </w:tr>
    </w:tbl>
    <w:p w14:paraId="2D6F43AB" w14:textId="75309672" w:rsidR="00060CD3" w:rsidRDefault="00060CD3">
      <w:pPr>
        <w:spacing w:line="259" w:lineRule="auto"/>
        <w:rPr>
          <w:rFonts w:eastAsiaTheme="majorEastAsia" w:cstheme="majorBidi"/>
          <w:b/>
          <w:sz w:val="72"/>
          <w:szCs w:val="32"/>
        </w:rPr>
      </w:pPr>
      <w:r>
        <w:br w:type="page"/>
      </w:r>
    </w:p>
    <w:p w14:paraId="1573E20B" w14:textId="77777777" w:rsidR="006043F8" w:rsidRPr="00B61ED7" w:rsidRDefault="006043F8" w:rsidP="00C073F7">
      <w:pPr>
        <w:pStyle w:val="Heading1"/>
      </w:pPr>
      <w:bookmarkStart w:id="0" w:name="_Toc120797009"/>
      <w:bookmarkStart w:id="1" w:name="_Toc134183591"/>
      <w:r>
        <w:lastRenderedPageBreak/>
        <w:t>O</w:t>
      </w:r>
      <w:r w:rsidRPr="00B61ED7">
        <w:t>verview</w:t>
      </w:r>
      <w:bookmarkEnd w:id="0"/>
      <w:bookmarkEnd w:id="1"/>
    </w:p>
    <w:p w14:paraId="1800C5FA" w14:textId="1F5C21AD" w:rsidR="006043F8" w:rsidRDefault="006043F8" w:rsidP="005B4443">
      <w:pPr>
        <w:pStyle w:val="Heading2"/>
      </w:pPr>
      <w:bookmarkStart w:id="2" w:name="_Toc134183592"/>
      <w:r w:rsidRPr="00B61ED7">
        <w:t>Purpose</w:t>
      </w:r>
      <w:bookmarkEnd w:id="2"/>
    </w:p>
    <w:p w14:paraId="153AD102" w14:textId="2374990E" w:rsidR="001F218B" w:rsidRPr="001F218B" w:rsidRDefault="001F218B" w:rsidP="001F218B">
      <w:r>
        <w:t xml:space="preserve">This document has been </w:t>
      </w:r>
      <w:r w:rsidR="005709F4">
        <w:t>produced as an accompaniment to the Residential Aged Care Pricing Advice 2023-24 (RACPA23)</w:t>
      </w:r>
      <w:r w:rsidR="00352000">
        <w:t xml:space="preserve">. It provides the technical specifications for how the Independent Health and Aged Care Pricing Authority (IHACPA) </w:t>
      </w:r>
      <w:r w:rsidR="00E27E47">
        <w:t xml:space="preserve">developed the pricing advice provided to the </w:t>
      </w:r>
      <w:r w:rsidR="00B60075">
        <w:t xml:space="preserve">Australian </w:t>
      </w:r>
      <w:r w:rsidR="00E27E47">
        <w:t>Government</w:t>
      </w:r>
      <w:r w:rsidR="0035515C">
        <w:t xml:space="preserve"> (the Government)</w:t>
      </w:r>
      <w:r w:rsidR="001D03CA">
        <w:t>.</w:t>
      </w:r>
    </w:p>
    <w:p w14:paraId="26405A1D" w14:textId="01B744DF" w:rsidR="006043F8" w:rsidRDefault="006043F8" w:rsidP="005B4443">
      <w:pPr>
        <w:pStyle w:val="Heading2"/>
      </w:pPr>
      <w:bookmarkStart w:id="3" w:name="_Toc134183593"/>
      <w:r w:rsidRPr="00B61ED7">
        <w:t>Background</w:t>
      </w:r>
      <w:bookmarkEnd w:id="3"/>
    </w:p>
    <w:p w14:paraId="09E2C960" w14:textId="4F30D894" w:rsidR="00CA50AF" w:rsidRDefault="00CA50AF" w:rsidP="00CA50AF">
      <w:r>
        <w:t xml:space="preserve">The Independent Hospital Pricing Authority (IHPA) was established under the </w:t>
      </w:r>
      <w:hyperlink r:id="rId16" w:history="1">
        <w:r w:rsidRPr="00BB1A5E">
          <w:rPr>
            <w:rStyle w:val="Hyperlink"/>
            <w:i/>
            <w:iCs/>
          </w:rPr>
          <w:t>National Health Reform Act 2011</w:t>
        </w:r>
      </w:hyperlink>
      <w:r>
        <w:t xml:space="preserve"> (NHR Act) to improve health outcomes for all Australians.</w:t>
      </w:r>
    </w:p>
    <w:p w14:paraId="1F4E8408" w14:textId="0F73183C" w:rsidR="00CA50AF" w:rsidRDefault="00CA50AF" w:rsidP="00CA50AF">
      <w:r>
        <w:t xml:space="preserve">Its primary responsibility has been to enable the implementation of national </w:t>
      </w:r>
      <w:r w:rsidR="002D3116">
        <w:t>activity-based</w:t>
      </w:r>
      <w:r>
        <w:t xml:space="preserve"> funding of public hospital services through the annual determination of the national efficient price and national efficient cost. These determinations play a crucial role in calculating the Commonwealth funding contribution to Australian public hospital services and offer a benchmark for the efficient cost of providing those services as outlined in the National Health Reform Agreement.</w:t>
      </w:r>
    </w:p>
    <w:p w14:paraId="32F10320" w14:textId="40A007CC" w:rsidR="00CA50AF" w:rsidRPr="00CA50AF" w:rsidRDefault="00CA50AF" w:rsidP="00CA50AF">
      <w:r>
        <w:t>On 12 August 2022 amendments to the NHR Act came into effect changing IHPA’s name to the Independent Health and Aged Care Pricing Authority (IHACPA) and expanding its role to include the provision of costing and pricing advice on aged care to the Government.</w:t>
      </w:r>
    </w:p>
    <w:p w14:paraId="2C87F45C" w14:textId="38EC3CAA" w:rsidR="006043F8" w:rsidRPr="00B61ED7" w:rsidRDefault="006043F8" w:rsidP="005B4443">
      <w:pPr>
        <w:pStyle w:val="Heading2"/>
      </w:pPr>
      <w:bookmarkStart w:id="4" w:name="_Toc134183594"/>
      <w:r w:rsidRPr="00B61ED7">
        <w:t xml:space="preserve">Residential aged care pricing advice </w:t>
      </w:r>
      <w:r w:rsidR="009A444B">
        <w:t>process</w:t>
      </w:r>
      <w:bookmarkEnd w:id="4"/>
    </w:p>
    <w:p w14:paraId="33780321" w14:textId="52DD83EE" w:rsidR="005457EB" w:rsidRDefault="00AA2E04" w:rsidP="00662FBE">
      <w:pPr>
        <w:pStyle w:val="Heading3"/>
      </w:pPr>
      <w:r w:rsidRPr="005457EB">
        <w:t>Classification systems</w:t>
      </w:r>
    </w:p>
    <w:p w14:paraId="0195AB13" w14:textId="09AE6977" w:rsidR="004D59EC" w:rsidRDefault="004D59EC" w:rsidP="004D59EC">
      <w:r>
        <w:t>A key element of the IHACPA’s residential aged care and residential respite care pricing advice relates to the Australian National Aged Care Classification (AN-ACC) funding model.</w:t>
      </w:r>
    </w:p>
    <w:p w14:paraId="65D0B69E" w14:textId="5657E93C" w:rsidR="004D59EC" w:rsidRDefault="004D59EC" w:rsidP="004D59EC">
      <w:r>
        <w:t>The University of Wollongong (UOW) was commissioned by the Department of Health and Aged Care (the Department) to develop a new classification system for residential aged care in Australia. Following a series of studies known as the Resource Utilisation and Classification Study, UOW developed the AN-ACC. The Government introduced the AN-ACC funding model to calculate residential aged care and residential respite care subsidies from 1 October 2022, replacing the Aged Care Funding Instrument.</w:t>
      </w:r>
    </w:p>
    <w:p w14:paraId="12FAA684" w14:textId="10AF2F1D" w:rsidR="004D59EC" w:rsidRDefault="00E1215F" w:rsidP="004D59EC">
      <w:r>
        <w:t xml:space="preserve">The </w:t>
      </w:r>
      <w:r w:rsidR="00BC20EF">
        <w:t>e</w:t>
      </w:r>
      <w:r w:rsidR="004D59EC">
        <w:t xml:space="preserve">lements of care </w:t>
      </w:r>
      <w:r w:rsidR="00BC20EF">
        <w:t>that are</w:t>
      </w:r>
      <w:r w:rsidR="004D59EC">
        <w:t xml:space="preserve"> in scope for the AN-ACC funding model are specified in Part 2 and Part 3 of Schedule 1—Care and services for residential care services (the Schedule) of the </w:t>
      </w:r>
      <w:hyperlink r:id="rId17" w:history="1">
        <w:r w:rsidR="004D59EC" w:rsidRPr="00B206DE">
          <w:rPr>
            <w:rStyle w:val="Hyperlink"/>
            <w:i/>
            <w:iCs/>
          </w:rPr>
          <w:t>Quality of Care Principles 2014</w:t>
        </w:r>
      </w:hyperlink>
      <w:r w:rsidR="004D59EC">
        <w:t xml:space="preserve"> under section 96-1 of the </w:t>
      </w:r>
      <w:hyperlink r:id="rId18" w:history="1">
        <w:r w:rsidR="004D59EC" w:rsidRPr="00A52F84">
          <w:rPr>
            <w:rStyle w:val="Hyperlink"/>
            <w:i/>
            <w:iCs/>
          </w:rPr>
          <w:t>Aged Care Act 1997</w:t>
        </w:r>
      </w:hyperlink>
      <w:r w:rsidR="004D59EC">
        <w:t>.</w:t>
      </w:r>
    </w:p>
    <w:p w14:paraId="34D2D019" w14:textId="77777777" w:rsidR="004D59EC" w:rsidRDefault="004D59EC" w:rsidP="00DE2CBC">
      <w:pPr>
        <w:keepNext/>
      </w:pPr>
      <w:r>
        <w:lastRenderedPageBreak/>
        <w:t>The two components of IHACPA’s AN-ACC pricing advice include the recommended:</w:t>
      </w:r>
    </w:p>
    <w:p w14:paraId="16862720" w14:textId="1BE8A07C" w:rsidR="004D59EC" w:rsidRDefault="004D59EC" w:rsidP="00B80E9B">
      <w:pPr>
        <w:pStyle w:val="ListLevel1"/>
        <w:keepNext/>
        <w:ind w:left="1077" w:hanging="357"/>
      </w:pPr>
      <w:r>
        <w:t>AN-ACC price, which is a single price per national weighted activity unit (NWAU)</w:t>
      </w:r>
    </w:p>
    <w:p w14:paraId="79D64650" w14:textId="77671394" w:rsidR="00C9702B" w:rsidRDefault="004D59EC" w:rsidP="00C9702B">
      <w:pPr>
        <w:pStyle w:val="ListLevel1"/>
      </w:pPr>
      <w:r>
        <w:t>AN-ACC price weights, measured in NWAU.</w:t>
      </w:r>
    </w:p>
    <w:p w14:paraId="52739080" w14:textId="1353015A" w:rsidR="005457EB" w:rsidRDefault="005457EB" w:rsidP="00662FBE">
      <w:pPr>
        <w:pStyle w:val="Heading3"/>
      </w:pPr>
      <w:bookmarkStart w:id="5" w:name="_Ref120604323"/>
      <w:r>
        <w:t>Data sources</w:t>
      </w:r>
      <w:bookmarkEnd w:id="5"/>
    </w:p>
    <w:p w14:paraId="3453C99C" w14:textId="059B919F" w:rsidR="006D5498" w:rsidRDefault="00492D9A" w:rsidP="00492D9A">
      <w:r>
        <w:t xml:space="preserve">RACPA23 was informed by </w:t>
      </w:r>
      <w:r w:rsidR="00751F63">
        <w:t>several</w:t>
      </w:r>
      <w:r w:rsidR="006D5498">
        <w:t xml:space="preserve"> different data sources provided by the Department</w:t>
      </w:r>
      <w:r>
        <w:t>, including:</w:t>
      </w:r>
    </w:p>
    <w:p w14:paraId="260FB06A" w14:textId="246050AE" w:rsidR="005B107C" w:rsidRDefault="005B107C" w:rsidP="00B80E9B">
      <w:pPr>
        <w:pStyle w:val="ListLevel1"/>
      </w:pPr>
      <w:r>
        <w:t xml:space="preserve">Aged Care Financial Report </w:t>
      </w:r>
      <w:r w:rsidR="009901AF">
        <w:t xml:space="preserve">(ACFR) </w:t>
      </w:r>
      <w:r>
        <w:t>2020-21</w:t>
      </w:r>
      <w:r w:rsidR="006C4F61">
        <w:t xml:space="preserve">, </w:t>
      </w:r>
      <w:r w:rsidR="00463AC0">
        <w:t xml:space="preserve">with data quality checks and data preparation functions performed </w:t>
      </w:r>
      <w:r w:rsidR="006C4F61">
        <w:t>by St</w:t>
      </w:r>
      <w:r w:rsidR="000E146E">
        <w:t>ew</w:t>
      </w:r>
      <w:r w:rsidR="006C4F61">
        <w:t>artBrown</w:t>
      </w:r>
    </w:p>
    <w:p w14:paraId="4BDB6D54" w14:textId="1E03E620" w:rsidR="005B107C" w:rsidRDefault="005B107C" w:rsidP="00B80E9B">
      <w:pPr>
        <w:pStyle w:val="ListLevel1"/>
      </w:pPr>
      <w:r>
        <w:t xml:space="preserve">Aged </w:t>
      </w:r>
      <w:r w:rsidR="001761EF">
        <w:t>c</w:t>
      </w:r>
      <w:r>
        <w:t>are sector wage estimation tool</w:t>
      </w:r>
    </w:p>
    <w:p w14:paraId="42C72324" w14:textId="04C7AFB1" w:rsidR="005B107C" w:rsidRDefault="005B107C" w:rsidP="00B80E9B">
      <w:pPr>
        <w:pStyle w:val="ListLevel1"/>
      </w:pPr>
      <w:r>
        <w:t>Resource Utilisation and Classification Study by University of Wollongong</w:t>
      </w:r>
    </w:p>
    <w:p w14:paraId="0B3A44AE" w14:textId="27C2835B" w:rsidR="005B107C" w:rsidRDefault="0073142F" w:rsidP="00B80E9B">
      <w:pPr>
        <w:pStyle w:val="ListLevel1"/>
      </w:pPr>
      <w:r>
        <w:t>AN-ACC assessment and shadow assessment data</w:t>
      </w:r>
    </w:p>
    <w:p w14:paraId="0742C436" w14:textId="3044B266" w:rsidR="0073142F" w:rsidRDefault="00955815" w:rsidP="00B80E9B">
      <w:pPr>
        <w:pStyle w:val="ListLevel1"/>
      </w:pPr>
      <w:r>
        <w:t>Aged Care Financial Instrument Claims</w:t>
      </w:r>
      <w:r w:rsidR="0073142F">
        <w:t xml:space="preserve"> 2020-21</w:t>
      </w:r>
    </w:p>
    <w:p w14:paraId="6232AC0B" w14:textId="7F421C64" w:rsidR="0073142F" w:rsidRDefault="0073142F" w:rsidP="00B80E9B">
      <w:pPr>
        <w:pStyle w:val="ListLevel1"/>
      </w:pPr>
      <w:r>
        <w:t>Aged Care Funding Instrument 2020-21 assessments and claims</w:t>
      </w:r>
    </w:p>
    <w:p w14:paraId="2FE76C4F" w14:textId="3298E587" w:rsidR="0073142F" w:rsidRDefault="0073142F" w:rsidP="00B80E9B">
      <w:pPr>
        <w:pStyle w:val="ListLevel1"/>
      </w:pPr>
      <w:r>
        <w:t>National Approved Provider System facility characteristics</w:t>
      </w:r>
    </w:p>
    <w:p w14:paraId="562DB66D" w14:textId="5E93972B" w:rsidR="0073142F" w:rsidRDefault="0073142F" w:rsidP="009A444B">
      <w:pPr>
        <w:keepNext/>
      </w:pPr>
      <w:r>
        <w:t xml:space="preserve">In addition, several other publicly available data </w:t>
      </w:r>
      <w:r w:rsidR="00355A64">
        <w:t>sources</w:t>
      </w:r>
      <w:r w:rsidR="00DE7DCF">
        <w:t xml:space="preserve"> were used:</w:t>
      </w:r>
    </w:p>
    <w:p w14:paraId="79053368" w14:textId="65A499F9" w:rsidR="00DE7DCF" w:rsidRDefault="00F03EC5" w:rsidP="00B80E9B">
      <w:pPr>
        <w:pStyle w:val="ListLevel1"/>
      </w:pPr>
      <w:hyperlink r:id="rId19" w:history="1">
        <w:r w:rsidR="00DE7DCF" w:rsidRPr="000C0460">
          <w:rPr>
            <w:rStyle w:val="Hyperlink"/>
          </w:rPr>
          <w:t>Australian Bureau of Statistics (ABS) Consumer Price Index series</w:t>
        </w:r>
      </w:hyperlink>
    </w:p>
    <w:p w14:paraId="0A152310" w14:textId="76B3E030" w:rsidR="00DE7DCF" w:rsidRDefault="00F03EC5" w:rsidP="00B80E9B">
      <w:pPr>
        <w:pStyle w:val="ListLevel1"/>
      </w:pPr>
      <w:hyperlink r:id="rId20" w:history="1">
        <w:r w:rsidR="00DE7DCF" w:rsidRPr="000C0460">
          <w:rPr>
            <w:rStyle w:val="Hyperlink"/>
          </w:rPr>
          <w:t>ABS Wage Price Index series</w:t>
        </w:r>
      </w:hyperlink>
    </w:p>
    <w:p w14:paraId="4EA21E68" w14:textId="6DAC7F81" w:rsidR="00DE7DCF" w:rsidRDefault="00F03EC5" w:rsidP="00B80E9B">
      <w:pPr>
        <w:pStyle w:val="ListLevel1"/>
      </w:pPr>
      <w:hyperlink r:id="rId21" w:history="1">
        <w:r w:rsidR="00DE7DCF" w:rsidRPr="000C0460">
          <w:rPr>
            <w:rStyle w:val="Hyperlink"/>
          </w:rPr>
          <w:t>Aged Care Quality and Safety Commission non-compliance register and sanction notices</w:t>
        </w:r>
      </w:hyperlink>
    </w:p>
    <w:p w14:paraId="67AFE2DF" w14:textId="78A7C10B" w:rsidR="00DE7DCF" w:rsidRDefault="00F03EC5" w:rsidP="00B80E9B">
      <w:pPr>
        <w:pStyle w:val="ListLevel1"/>
      </w:pPr>
      <w:hyperlink r:id="rId22" w:history="1">
        <w:hyperlink r:id="rId23" w:history="1">
          <w:r w:rsidR="00DE7DCF" w:rsidRPr="00B60075">
            <w:rPr>
              <w:rStyle w:val="Hyperlink"/>
            </w:rPr>
            <w:t>The Fair Work Commission</w:t>
          </w:r>
          <w:r w:rsidR="002E5DA4" w:rsidRPr="00B60075">
            <w:rPr>
              <w:rStyle w:val="Hyperlink"/>
            </w:rPr>
            <w:t xml:space="preserve"> (FWC)</w:t>
          </w:r>
          <w:r w:rsidR="00DE7DCF" w:rsidRPr="00B60075">
            <w:rPr>
              <w:rStyle w:val="Hyperlink"/>
            </w:rPr>
            <w:t xml:space="preserve"> </w:t>
          </w:r>
          <w:r w:rsidR="001B4C2D">
            <w:rPr>
              <w:rStyle w:val="Hyperlink"/>
            </w:rPr>
            <w:t>d</w:t>
          </w:r>
          <w:r w:rsidR="00DE7DCF" w:rsidRPr="00B60075">
            <w:rPr>
              <w:rStyle w:val="Hyperlink"/>
            </w:rPr>
            <w:t>ecision on the interim wage rise for direct care workers</w:t>
          </w:r>
        </w:hyperlink>
      </w:hyperlink>
    </w:p>
    <w:p w14:paraId="32558732" w14:textId="679FF628" w:rsidR="00B1294F" w:rsidRDefault="005D364B" w:rsidP="0004102D">
      <w:r>
        <w:t xml:space="preserve">The </w:t>
      </w:r>
      <w:r w:rsidR="00492D9A">
        <w:t xml:space="preserve">primary data source used was the </w:t>
      </w:r>
      <w:r w:rsidR="009901AF">
        <w:t>ACFR</w:t>
      </w:r>
      <w:r w:rsidR="00F31463">
        <w:t xml:space="preserve"> Resident</w:t>
      </w:r>
      <w:r w:rsidR="00FB016B">
        <w:t xml:space="preserve">ial Income and Expenses items, as listed in the </w:t>
      </w:r>
      <w:hyperlink r:id="rId24" w:history="1">
        <w:r w:rsidR="00FB016B" w:rsidRPr="00FB016B">
          <w:rPr>
            <w:rStyle w:val="Hyperlink"/>
          </w:rPr>
          <w:t>ACFR Definitions for 2020-21</w:t>
        </w:r>
      </w:hyperlink>
      <w:r w:rsidR="00FB016B">
        <w:t>.</w:t>
      </w:r>
      <w:r w:rsidR="000F2164">
        <w:t xml:space="preserve"> </w:t>
      </w:r>
      <w:r w:rsidR="00FB016B">
        <w:t>A</w:t>
      </w:r>
      <w:r w:rsidR="009F2B06">
        <w:t>ll</w:t>
      </w:r>
      <w:r w:rsidR="003F6948">
        <w:t xml:space="preserve"> care expense items in the ACFR are considered </w:t>
      </w:r>
      <w:r w:rsidR="00420B92">
        <w:t>in scope for AN-ACC funding, aligning with Parts 2 and 3 of the Schedule.</w:t>
      </w:r>
      <w:r w:rsidR="009F2B06">
        <w:t xml:space="preserve"> All elements </w:t>
      </w:r>
      <w:r w:rsidR="00F85922">
        <w:t xml:space="preserve">of the ACFR </w:t>
      </w:r>
      <w:r w:rsidR="009F2B06">
        <w:t xml:space="preserve">listed as hotel </w:t>
      </w:r>
      <w:r w:rsidR="00F85922">
        <w:t xml:space="preserve">service </w:t>
      </w:r>
      <w:r w:rsidR="009F2B06">
        <w:t>expense</w:t>
      </w:r>
      <w:r w:rsidR="00F85922">
        <w:t>s</w:t>
      </w:r>
      <w:r w:rsidR="00F85922" w:rsidDel="00B60075">
        <w:t xml:space="preserve"> </w:t>
      </w:r>
      <w:r w:rsidR="00F85922">
        <w:t xml:space="preserve">are considered in scope for the hotel gap analysis, </w:t>
      </w:r>
      <w:r w:rsidR="00A773D7">
        <w:t xml:space="preserve">described in </w:t>
      </w:r>
      <w:r w:rsidR="000E146E" w:rsidDel="00955815">
        <w:t>s</w:t>
      </w:r>
      <w:r w:rsidR="00A773D7">
        <w:t xml:space="preserve">ection </w:t>
      </w:r>
      <w:r w:rsidR="000E146E">
        <w:fldChar w:fldCharType="begin"/>
      </w:r>
      <w:r w:rsidR="000E146E">
        <w:instrText xml:space="preserve"> REF _Ref120797310 \r \h </w:instrText>
      </w:r>
      <w:r w:rsidR="000E146E">
        <w:fldChar w:fldCharType="separate"/>
      </w:r>
      <w:r w:rsidR="00B1072E">
        <w:t>6</w:t>
      </w:r>
      <w:r w:rsidR="000E146E">
        <w:fldChar w:fldCharType="end"/>
      </w:r>
      <w:r w:rsidR="00A773D7">
        <w:t xml:space="preserve"> of this paper,</w:t>
      </w:r>
      <w:r w:rsidR="00F85922">
        <w:t xml:space="preserve"> </w:t>
      </w:r>
      <w:r w:rsidR="001A24A4">
        <w:t>aligning with Part 1 of the Schedule.</w:t>
      </w:r>
      <w:r w:rsidR="00B60075">
        <w:t xml:space="preserve"> Administration expenses reported in the ACFR have been apportioned between care, hotel, and accommodation using </w:t>
      </w:r>
      <w:r w:rsidR="0086731E">
        <w:t xml:space="preserve">the </w:t>
      </w:r>
      <w:r w:rsidR="00B60075">
        <w:t>proportions published in the StewartBrown</w:t>
      </w:r>
      <w:r w:rsidR="006C600F">
        <w:t xml:space="preserve"> </w:t>
      </w:r>
      <w:hyperlink r:id="rId25" w:history="1">
        <w:r w:rsidR="00B60075" w:rsidRPr="00B60075">
          <w:rPr>
            <w:rStyle w:val="Hyperlink"/>
          </w:rPr>
          <w:t>Aged Care financial Performance Survey Report (September 2022)</w:t>
        </w:r>
      </w:hyperlink>
      <w:r w:rsidR="00B60075">
        <w:t>.</w:t>
      </w:r>
    </w:p>
    <w:p w14:paraId="5F4A7DBE" w14:textId="77777777" w:rsidR="00022DAB" w:rsidRDefault="00022DAB" w:rsidP="00662FBE">
      <w:pPr>
        <w:pStyle w:val="Heading3"/>
      </w:pPr>
      <w:r>
        <w:t>Methodology overview</w:t>
      </w:r>
    </w:p>
    <w:p w14:paraId="5C575C0C" w14:textId="4D2AF06A" w:rsidR="00AA16B2" w:rsidRDefault="0065118D" w:rsidP="00AA16B2">
      <w:r>
        <w:t xml:space="preserve">IHACPA has developed an interim methodology for </w:t>
      </w:r>
      <w:r w:rsidR="00AA16B2">
        <w:t>RACPA23</w:t>
      </w:r>
      <w:r w:rsidR="51B3B994">
        <w:t>. The methodology is interim</w:t>
      </w:r>
      <w:r w:rsidR="00AA16B2">
        <w:t xml:space="preserve"> </w:t>
      </w:r>
      <w:r w:rsidR="7DEDF868">
        <w:t>because of</w:t>
      </w:r>
      <w:r w:rsidR="008B078A">
        <w:t xml:space="preserve"> the lack of</w:t>
      </w:r>
      <w:r w:rsidR="00AA16B2">
        <w:t xml:space="preserve"> </w:t>
      </w:r>
      <w:r w:rsidR="00D47541">
        <w:t>recent</w:t>
      </w:r>
      <w:r w:rsidR="00AA16B2">
        <w:t xml:space="preserve"> cost data and limited activity data following </w:t>
      </w:r>
      <w:r w:rsidR="00A64C41">
        <w:t>the</w:t>
      </w:r>
      <w:r w:rsidR="00AA16B2">
        <w:t xml:space="preserve"> implementation of the AN-ACC funding model on 1 October 2022. This interim methodology will be reassessed </w:t>
      </w:r>
      <w:r w:rsidR="00B23A61">
        <w:t>once new data becomes available for future editions of IHACPA’s</w:t>
      </w:r>
      <w:r w:rsidR="00AA16B2">
        <w:t xml:space="preserve"> Residential Aged Care Pricing Advice.</w:t>
      </w:r>
    </w:p>
    <w:p w14:paraId="1E732708" w14:textId="24D3E829" w:rsidR="00AA16B2" w:rsidRDefault="00AA16B2" w:rsidP="00AA16B2">
      <w:r>
        <w:t xml:space="preserve">The </w:t>
      </w:r>
      <w:r w:rsidR="00B23A61">
        <w:t>interim methodology commences with</w:t>
      </w:r>
      <w:r>
        <w:t xml:space="preserve"> </w:t>
      </w:r>
      <w:r w:rsidR="008B27DF">
        <w:t xml:space="preserve">the </w:t>
      </w:r>
      <w:r>
        <w:t xml:space="preserve">Department’s initial price of $216.80 </w:t>
      </w:r>
      <w:r w:rsidR="00BF17CC">
        <w:t>(</w:t>
      </w:r>
      <w:r w:rsidR="00A47BB7">
        <w:t>ACP22</w:t>
      </w:r>
      <w:r w:rsidR="00BF17CC">
        <w:t xml:space="preserve">) </w:t>
      </w:r>
      <w:r>
        <w:t xml:space="preserve">as a starting point </w:t>
      </w:r>
      <w:r w:rsidR="00B23A61">
        <w:t>which is then</w:t>
      </w:r>
      <w:r>
        <w:t xml:space="preserve"> updated </w:t>
      </w:r>
      <w:r w:rsidR="007E26E3">
        <w:t>based on</w:t>
      </w:r>
      <w:r>
        <w:t xml:space="preserve"> forecast cost impacts in the delivery of residential aged care and residential respite care services</w:t>
      </w:r>
      <w:r w:rsidR="006D7F10">
        <w:t xml:space="preserve">, interim </w:t>
      </w:r>
      <w:r w:rsidR="00BD467C">
        <w:t xml:space="preserve">FWC decisions as well as feedback </w:t>
      </w:r>
      <w:r w:rsidR="006D7F10">
        <w:t xml:space="preserve">from </w:t>
      </w:r>
      <w:r w:rsidR="00D32F6B">
        <w:t>Department</w:t>
      </w:r>
      <w:r w:rsidR="006D7F10">
        <w:t xml:space="preserve"> </w:t>
      </w:r>
      <w:r w:rsidR="00BD467C">
        <w:t>on the draft RA</w:t>
      </w:r>
      <w:r w:rsidR="001E3467">
        <w:t>CPA23</w:t>
      </w:r>
      <w:r>
        <w:t>.</w:t>
      </w:r>
    </w:p>
    <w:p w14:paraId="42AD1C3F" w14:textId="08BC7FDE" w:rsidR="00AA16B2" w:rsidRDefault="00AA16B2" w:rsidP="007E26E3">
      <w:pPr>
        <w:keepNext/>
      </w:pPr>
      <w:r>
        <w:lastRenderedPageBreak/>
        <w:t>The key aspects considered in this interim methodology include:</w:t>
      </w:r>
    </w:p>
    <w:p w14:paraId="524D5DFC" w14:textId="09503CAF" w:rsidR="00EB7061" w:rsidRDefault="00C72A5D" w:rsidP="007E26E3">
      <w:pPr>
        <w:pStyle w:val="ListLevel1"/>
        <w:keepNext/>
        <w:ind w:left="1077" w:hanging="357"/>
      </w:pPr>
      <w:r>
        <w:t>Bundling</w:t>
      </w:r>
      <w:r w:rsidR="00F01042">
        <w:t xml:space="preserve"> of</w:t>
      </w:r>
      <w:r>
        <w:t xml:space="preserve">, and subsequent </w:t>
      </w:r>
      <w:r w:rsidR="00843FE5">
        <w:t>Department feedback</w:t>
      </w:r>
      <w:r w:rsidR="004158D5">
        <w:t xml:space="preserve"> </w:t>
      </w:r>
      <w:r w:rsidR="00843FE5">
        <w:t>on the Government</w:t>
      </w:r>
      <w:r w:rsidR="00BA0856">
        <w:t>’s proposed</w:t>
      </w:r>
      <w:r w:rsidR="00843FE5">
        <w:t xml:space="preserve"> </w:t>
      </w:r>
      <w:r w:rsidR="004158D5">
        <w:t>decision to unbundle</w:t>
      </w:r>
      <w:r>
        <w:t>,</w:t>
      </w:r>
      <w:r w:rsidR="004158D5">
        <w:t xml:space="preserve"> the </w:t>
      </w:r>
      <w:r w:rsidR="0066116C">
        <w:t xml:space="preserve">Basic Daily Fee </w:t>
      </w:r>
      <w:r w:rsidR="001D416E">
        <w:t xml:space="preserve">(BDF) </w:t>
      </w:r>
      <w:r w:rsidR="0066116C">
        <w:t>supplement</w:t>
      </w:r>
      <w:r w:rsidR="006526D3">
        <w:t xml:space="preserve"> </w:t>
      </w:r>
      <w:r w:rsidR="001D416E">
        <w:t xml:space="preserve">of $10 per </w:t>
      </w:r>
      <w:r w:rsidR="00E809C4">
        <w:t>occupied bed</w:t>
      </w:r>
      <w:r w:rsidR="001D416E">
        <w:t xml:space="preserve"> day </w:t>
      </w:r>
      <w:r w:rsidR="004158D5">
        <w:t xml:space="preserve">from the </w:t>
      </w:r>
      <w:r w:rsidR="006526D3">
        <w:t>AN-ACC price</w:t>
      </w:r>
      <w:r w:rsidR="004158D5">
        <w:t xml:space="preserve"> from 1 July 2023</w:t>
      </w:r>
    </w:p>
    <w:p w14:paraId="35D718DF" w14:textId="2D971B64" w:rsidR="00B92136" w:rsidRDefault="005E30E9" w:rsidP="007E26E3">
      <w:pPr>
        <w:pStyle w:val="ListLevel1"/>
        <w:keepNext/>
        <w:ind w:left="1077" w:hanging="357"/>
      </w:pPr>
      <w:r>
        <w:t xml:space="preserve">Inflation and wage </w:t>
      </w:r>
      <w:r w:rsidR="00B8388F">
        <w:t>increases</w:t>
      </w:r>
      <w:r>
        <w:t xml:space="preserve"> in </w:t>
      </w:r>
      <w:r w:rsidR="00A47BB7">
        <w:t xml:space="preserve">2021 and </w:t>
      </w:r>
      <w:r>
        <w:t xml:space="preserve">2022 that were not fully captured in </w:t>
      </w:r>
      <w:r w:rsidR="00A47BB7">
        <w:t>ACP22</w:t>
      </w:r>
    </w:p>
    <w:p w14:paraId="28AD727B" w14:textId="3280A5C3" w:rsidR="005E30E9" w:rsidRDefault="005E30E9" w:rsidP="007E26E3">
      <w:pPr>
        <w:pStyle w:val="ListLevel1"/>
        <w:keepNext/>
        <w:ind w:left="1077" w:hanging="357"/>
      </w:pPr>
      <w:r>
        <w:t xml:space="preserve">Updated minimum care minute requirements </w:t>
      </w:r>
      <w:r w:rsidR="00843FE5">
        <w:t xml:space="preserve">intended to be </w:t>
      </w:r>
      <w:r w:rsidR="0040418A">
        <w:t xml:space="preserve">implemented as </w:t>
      </w:r>
      <w:r>
        <w:t xml:space="preserve">advised by </w:t>
      </w:r>
      <w:r w:rsidR="0040418A">
        <w:t>the Department</w:t>
      </w:r>
    </w:p>
    <w:p w14:paraId="06217B86" w14:textId="6634B8D3" w:rsidR="00AA16B2" w:rsidRDefault="0086731E" w:rsidP="007E26E3">
      <w:pPr>
        <w:pStyle w:val="ListLevel1"/>
        <w:keepNext/>
        <w:ind w:left="1077" w:hanging="357"/>
      </w:pPr>
      <w:r>
        <w:t xml:space="preserve">21 February 2023 Stage 2 </w:t>
      </w:r>
      <w:r w:rsidR="00AA16B2">
        <w:t xml:space="preserve">FWC interim decision to increase wages for </w:t>
      </w:r>
      <w:r w:rsidR="004F2DC0">
        <w:t xml:space="preserve">direct care </w:t>
      </w:r>
      <w:r>
        <w:t xml:space="preserve">aged </w:t>
      </w:r>
      <w:r w:rsidR="00AA16B2">
        <w:t>care workers</w:t>
      </w:r>
      <w:r w:rsidR="004F2DC0">
        <w:t xml:space="preserve"> and recreation</w:t>
      </w:r>
      <w:r w:rsidR="00A44CCF">
        <w:t>/lifestyle</w:t>
      </w:r>
      <w:r w:rsidR="004F2DC0">
        <w:t xml:space="preserve"> officers</w:t>
      </w:r>
    </w:p>
    <w:p w14:paraId="1170D367" w14:textId="77777777" w:rsidR="007E26E3" w:rsidRDefault="00AA16B2" w:rsidP="007E26E3">
      <w:pPr>
        <w:pStyle w:val="ListLevel1"/>
        <w:keepNext/>
        <w:ind w:left="1077" w:hanging="357"/>
      </w:pPr>
      <w:r>
        <w:t>Superannuation Guarantee increase</w:t>
      </w:r>
    </w:p>
    <w:p w14:paraId="23228FEB" w14:textId="306AD1B0" w:rsidR="00AA16B2" w:rsidRDefault="00AA16B2" w:rsidP="007E26E3">
      <w:pPr>
        <w:pStyle w:val="ListLevel1"/>
        <w:keepNext/>
        <w:ind w:left="1077" w:hanging="357"/>
      </w:pPr>
      <w:r>
        <w:t>Indexation of historical cost data to account for underlying price inflation</w:t>
      </w:r>
    </w:p>
    <w:p w14:paraId="5D7088BF" w14:textId="1831274E" w:rsidR="00022DAB" w:rsidRDefault="00AA16B2" w:rsidP="007E26E3">
      <w:pPr>
        <w:pStyle w:val="ListLevel1"/>
      </w:pPr>
      <w:r>
        <w:t>Analysis of any potential shortfall in funding for hotel costs.</w:t>
      </w:r>
    </w:p>
    <w:p w14:paraId="1B57CA46" w14:textId="7EB34786" w:rsidR="000370DE" w:rsidRDefault="000370DE" w:rsidP="000370DE">
      <w:r>
        <w:t>T</w:t>
      </w:r>
      <w:r w:rsidRPr="009879C5">
        <w:t>he Department have confirmed that the</w:t>
      </w:r>
      <w:r>
        <w:t>ir initial</w:t>
      </w:r>
      <w:r w:rsidRPr="009879C5">
        <w:t xml:space="preserve"> price includes additional funding to account for the cost of building up the workforce and meeting </w:t>
      </w:r>
      <w:hyperlink r:id="rId26" w:history="1">
        <w:r w:rsidRPr="000C0460">
          <w:rPr>
            <w:rStyle w:val="Hyperlink"/>
          </w:rPr>
          <w:t>mandated minimum care minutes requirements</w:t>
        </w:r>
      </w:hyperlink>
      <w:r>
        <w:t xml:space="preserve"> </w:t>
      </w:r>
      <w:r w:rsidR="00382EA3">
        <w:t>which come into effect</w:t>
      </w:r>
      <w:r w:rsidRPr="009879C5">
        <w:t xml:space="preserve"> </w:t>
      </w:r>
      <w:r w:rsidR="00382EA3">
        <w:t xml:space="preserve">from </w:t>
      </w:r>
      <w:r w:rsidRPr="009879C5">
        <w:t>1 October 2023.</w:t>
      </w:r>
    </w:p>
    <w:p w14:paraId="2893BC15" w14:textId="4D0CC83B" w:rsidR="004C0577" w:rsidRDefault="008F5829">
      <w:pPr>
        <w:spacing w:line="259" w:lineRule="auto"/>
      </w:pPr>
      <w:r>
        <w:t xml:space="preserve">IHACPA has included </w:t>
      </w:r>
      <w:r w:rsidR="001C407D">
        <w:t>prospective adjustments costs reported in the ACFR to account for expected impacts of the FWC interim decision, Superannuation Guarantee increase, and underlying price inflation</w:t>
      </w:r>
      <w:r w:rsidR="009D6E07">
        <w:t>, and the funding requirements to meet the minimum care minute requirements.</w:t>
      </w:r>
    </w:p>
    <w:p w14:paraId="0B957C83" w14:textId="0BD66A0E" w:rsidR="00291587" w:rsidRDefault="00291587">
      <w:pPr>
        <w:spacing w:line="259" w:lineRule="auto"/>
      </w:pPr>
      <w:r>
        <w:t xml:space="preserve">These adjustments </w:t>
      </w:r>
      <w:r w:rsidR="009B112B">
        <w:t>are implemented by first</w:t>
      </w:r>
      <w:r w:rsidR="001D416E">
        <w:t xml:space="preserve"> removing the BDF supplement from </w:t>
      </w:r>
      <w:r w:rsidR="00A47BB7">
        <w:t>ACP22</w:t>
      </w:r>
      <w:r w:rsidR="001D416E">
        <w:t xml:space="preserve">, </w:t>
      </w:r>
      <w:r w:rsidR="00690B06">
        <w:t xml:space="preserve">adjusting </w:t>
      </w:r>
      <w:r w:rsidR="001D416E">
        <w:t>the result</w:t>
      </w:r>
      <w:r w:rsidR="008E5646">
        <w:t xml:space="preserve"> </w:t>
      </w:r>
      <w:r w:rsidR="00690B06">
        <w:t>to account for</w:t>
      </w:r>
      <w:r w:rsidR="00C22201">
        <w:t xml:space="preserve"> historical</w:t>
      </w:r>
      <w:r w:rsidR="00690B06">
        <w:t xml:space="preserve"> inflation and wage increases which were not captured in ACP22, </w:t>
      </w:r>
      <w:r w:rsidR="00A211B0">
        <w:t xml:space="preserve">and </w:t>
      </w:r>
      <w:r w:rsidR="00690B06">
        <w:t xml:space="preserve">then apportion the resulting adjusted ACP22 into </w:t>
      </w:r>
      <w:r w:rsidR="009B112B">
        <w:t>labour (nursing), labour (</w:t>
      </w:r>
      <w:r w:rsidR="008E5646">
        <w:t>personal care worker and recreation/lifestyle officer), labour (other</w:t>
      </w:r>
      <w:r w:rsidR="009B112B">
        <w:t>), and non-labour direct costs. Each of these cost components is the</w:t>
      </w:r>
      <w:r w:rsidR="00260DDD">
        <w:t>n</w:t>
      </w:r>
      <w:r w:rsidR="009B112B">
        <w:t xml:space="preserve"> </w:t>
      </w:r>
      <w:r w:rsidR="00690B06">
        <w:t xml:space="preserve">further </w:t>
      </w:r>
      <w:r w:rsidR="009B112B">
        <w:t>adjust</w:t>
      </w:r>
      <w:r w:rsidR="00404A06">
        <w:t xml:space="preserve">ed to reflect the expected impact of the </w:t>
      </w:r>
      <w:r w:rsidR="00D1429E">
        <w:t>factors outlined above.</w:t>
      </w:r>
    </w:p>
    <w:p w14:paraId="59D3BF03" w14:textId="2DEE20C3" w:rsidR="00373371" w:rsidRDefault="00373371">
      <w:pPr>
        <w:spacing w:line="259" w:lineRule="auto"/>
      </w:pPr>
      <w:r>
        <w:t xml:space="preserve">IHACPA has also provided analysis of the potential shortfall in funding for hotel costs, which </w:t>
      </w:r>
      <w:r w:rsidR="009D6E07">
        <w:t xml:space="preserve">has been </w:t>
      </w:r>
      <w:r>
        <w:t xml:space="preserve">provided as </w:t>
      </w:r>
      <w:r w:rsidR="008A1138">
        <w:t xml:space="preserve">a </w:t>
      </w:r>
      <w:r>
        <w:t xml:space="preserve">separate </w:t>
      </w:r>
      <w:r w:rsidR="00164DC7">
        <w:t xml:space="preserve">output </w:t>
      </w:r>
      <w:r w:rsidR="009D6E07">
        <w:t>in RACPA23</w:t>
      </w:r>
      <w:r>
        <w:t>.</w:t>
      </w:r>
    </w:p>
    <w:p w14:paraId="6CA9FB90" w14:textId="7AEE81E0" w:rsidR="00B61ED7" w:rsidRDefault="00B61ED7">
      <w:pPr>
        <w:spacing w:line="259" w:lineRule="auto"/>
      </w:pPr>
      <w:r>
        <w:br w:type="page"/>
      </w:r>
    </w:p>
    <w:p w14:paraId="520433F8" w14:textId="4AEBC7EB" w:rsidR="006043F8" w:rsidRPr="00B61ED7" w:rsidRDefault="006043F8" w:rsidP="00C073F7">
      <w:pPr>
        <w:pStyle w:val="Heading1"/>
      </w:pPr>
      <w:bookmarkStart w:id="6" w:name="_Toc120797010"/>
      <w:bookmarkStart w:id="7" w:name="_Toc134183595"/>
      <w:r w:rsidRPr="00B61ED7">
        <w:lastRenderedPageBreak/>
        <w:t>Data preparation</w:t>
      </w:r>
      <w:bookmarkEnd w:id="6"/>
      <w:bookmarkEnd w:id="7"/>
    </w:p>
    <w:p w14:paraId="50535F85" w14:textId="07F958BF" w:rsidR="008C67E1" w:rsidRDefault="00E84766" w:rsidP="005B4443">
      <w:pPr>
        <w:pStyle w:val="Heading2"/>
      </w:pPr>
      <w:bookmarkStart w:id="8" w:name="_Toc134183596"/>
      <w:r>
        <w:t xml:space="preserve">Data </w:t>
      </w:r>
      <w:r w:rsidR="00E97C2A">
        <w:t>cleansing</w:t>
      </w:r>
      <w:bookmarkEnd w:id="8"/>
    </w:p>
    <w:p w14:paraId="4CBB93C6" w14:textId="12DA7F97" w:rsidR="00BD3A5A" w:rsidRDefault="00BD3A5A" w:rsidP="00BD3A5A">
      <w:r>
        <w:t>The primary data source used for the Residential Aged Care Pricing Advice 2023-24 is the Aged Care Financial Report 2020-21</w:t>
      </w:r>
      <w:r w:rsidR="009308F4">
        <w:t xml:space="preserve"> (ACFR)</w:t>
      </w:r>
      <w:r>
        <w:t>.</w:t>
      </w:r>
      <w:r w:rsidR="006C4F61">
        <w:t xml:space="preserve"> The ACFR provided to the Independent Health and Aged Care Pricing Authority</w:t>
      </w:r>
      <w:r w:rsidR="00917A43">
        <w:t xml:space="preserve"> </w:t>
      </w:r>
      <w:r w:rsidR="00797784">
        <w:t xml:space="preserve">(IHACPA) </w:t>
      </w:r>
      <w:r w:rsidR="00917A43">
        <w:t>had undergone clean</w:t>
      </w:r>
      <w:r w:rsidR="003E1F61">
        <w:t>s</w:t>
      </w:r>
      <w:r w:rsidR="00917A43">
        <w:t xml:space="preserve">ing and preparation by </w:t>
      </w:r>
      <w:r w:rsidR="00330BA6" w:rsidRPr="00330BA6">
        <w:t>StewartBrown</w:t>
      </w:r>
      <w:r w:rsidR="00330BA6">
        <w:t xml:space="preserve"> </w:t>
      </w:r>
      <w:r w:rsidR="00797784">
        <w:t>in consultation with the Department of Health and Aged Care (the Department).</w:t>
      </w:r>
    </w:p>
    <w:p w14:paraId="73B634C8" w14:textId="42706115" w:rsidR="00797784" w:rsidRDefault="00797784" w:rsidP="00BD3A5A">
      <w:r>
        <w:t xml:space="preserve">IHACPA </w:t>
      </w:r>
      <w:r w:rsidR="00FF506E">
        <w:t>ide</w:t>
      </w:r>
      <w:r w:rsidR="00072A4F">
        <w:t xml:space="preserve">ntified several anomalies in the cleansed ACFR data provided by the </w:t>
      </w:r>
      <w:r w:rsidR="002D3116">
        <w:t>Department and</w:t>
      </w:r>
      <w:r w:rsidR="00072A4F">
        <w:t xml:space="preserve"> undertook </w:t>
      </w:r>
      <w:r w:rsidR="003E1F61">
        <w:t xml:space="preserve">some additional </w:t>
      </w:r>
      <w:r w:rsidR="00072A4F">
        <w:t>clean</w:t>
      </w:r>
      <w:r w:rsidR="003E1F61">
        <w:t>s</w:t>
      </w:r>
      <w:r w:rsidR="00072A4F">
        <w:t>ing s</w:t>
      </w:r>
      <w:r w:rsidR="003E1F61">
        <w:t xml:space="preserve">teps </w:t>
      </w:r>
      <w:r w:rsidR="00A24CA5">
        <w:t xml:space="preserve">before </w:t>
      </w:r>
      <w:r w:rsidR="00E97C2A">
        <w:t xml:space="preserve">using it for </w:t>
      </w:r>
      <w:r w:rsidR="00A24CA5">
        <w:t>modelling.</w:t>
      </w:r>
    </w:p>
    <w:p w14:paraId="28100FB2" w14:textId="378C81E0" w:rsidR="000E135F" w:rsidRDefault="00E86ECF" w:rsidP="000E135F">
      <w:r>
        <w:t xml:space="preserve">For 2020-21, this was limited to the removal of duplicate records. </w:t>
      </w:r>
      <w:r w:rsidR="003C3B6E">
        <w:t>Namely, w</w:t>
      </w:r>
      <w:r w:rsidR="00715224">
        <w:t xml:space="preserve">here </w:t>
      </w:r>
      <w:r w:rsidR="009308F4">
        <w:t xml:space="preserve">duplicate </w:t>
      </w:r>
      <w:r w:rsidR="00715224">
        <w:t xml:space="preserve">National Approved Provider System Identifier ID </w:t>
      </w:r>
      <w:r w:rsidR="009308F4">
        <w:t xml:space="preserve">codes appear in the ACFR, </w:t>
      </w:r>
      <w:r w:rsidR="00626642">
        <w:t>duplicates were removed based on the following criteria:</w:t>
      </w:r>
    </w:p>
    <w:p w14:paraId="3DE51E0E" w14:textId="7DCCA2DE" w:rsidR="00626642" w:rsidRDefault="00626642" w:rsidP="001F5C7D">
      <w:pPr>
        <w:pStyle w:val="ListLevel1"/>
      </w:pPr>
      <w:r>
        <w:t>Where the</w:t>
      </w:r>
      <w:r w:rsidR="003771B0">
        <w:t xml:space="preserve"> </w:t>
      </w:r>
      <w:r w:rsidR="00D935DE">
        <w:t>‘</w:t>
      </w:r>
      <w:r w:rsidR="003771B0" w:rsidRPr="00D935DE">
        <w:t>Financial Year</w:t>
      </w:r>
      <w:r w:rsidR="00D935DE">
        <w:t>’</w:t>
      </w:r>
      <w:r>
        <w:t xml:space="preserve"> </w:t>
      </w:r>
      <w:r w:rsidR="00D935DE">
        <w:t>field provided with the data is equal to ‘2020-2021’</w:t>
      </w:r>
    </w:p>
    <w:p w14:paraId="168BF842" w14:textId="7E6ECA3E" w:rsidR="007E1EF9" w:rsidRDefault="007E1EF9" w:rsidP="001F5C7D">
      <w:pPr>
        <w:pStyle w:val="ListLevel1"/>
      </w:pPr>
      <w:r>
        <w:t>Where the rows were otherwise identified in the provided data as duplicates</w:t>
      </w:r>
    </w:p>
    <w:p w14:paraId="06E372C1" w14:textId="0DDE3BE9" w:rsidR="001160A6" w:rsidRPr="000E135F" w:rsidRDefault="00FE648E" w:rsidP="001160A6">
      <w:r>
        <w:t xml:space="preserve">This process removed a total of </w:t>
      </w:r>
      <w:r w:rsidR="000741D6">
        <w:t>6</w:t>
      </w:r>
      <w:r>
        <w:t xml:space="preserve"> records</w:t>
      </w:r>
      <w:r w:rsidR="002B214A">
        <w:t xml:space="preserve"> from 2,47</w:t>
      </w:r>
      <w:r w:rsidR="00572E7B">
        <w:t>2</w:t>
      </w:r>
      <w:r w:rsidR="002B214A">
        <w:t xml:space="preserve"> </w:t>
      </w:r>
      <w:r w:rsidR="008525FF">
        <w:t>facilities</w:t>
      </w:r>
      <w:r w:rsidR="00D41CCC">
        <w:t xml:space="preserve"> </w:t>
      </w:r>
      <w:r w:rsidR="002B214A">
        <w:t>provided in the data set.</w:t>
      </w:r>
      <w:r w:rsidR="008D07B9">
        <w:t xml:space="preserve"> Hereafter, the ACFR </w:t>
      </w:r>
      <w:r w:rsidR="00AD2542">
        <w:t>dataset used excludes these 6 records, leaving a total of 2,466 facilities.</w:t>
      </w:r>
    </w:p>
    <w:p w14:paraId="1A404182" w14:textId="78DE2F08" w:rsidR="00EA0C0C" w:rsidRDefault="00EA0C0C" w:rsidP="005B4443">
      <w:pPr>
        <w:pStyle w:val="Heading2"/>
      </w:pPr>
      <w:bookmarkStart w:id="9" w:name="_Ref120603704"/>
      <w:bookmarkStart w:id="10" w:name="_Toc134183597"/>
      <w:r>
        <w:t xml:space="preserve">Data </w:t>
      </w:r>
      <w:r w:rsidR="007C5C25">
        <w:t>adjustments</w:t>
      </w:r>
      <w:bookmarkEnd w:id="9"/>
      <w:bookmarkEnd w:id="10"/>
    </w:p>
    <w:p w14:paraId="7DF5358C" w14:textId="4F1333D4" w:rsidR="00517BBE" w:rsidRDefault="00517BBE" w:rsidP="00662FBE">
      <w:pPr>
        <w:pStyle w:val="Heading3"/>
      </w:pPr>
      <w:r>
        <w:t>Care minute target calculations</w:t>
      </w:r>
    </w:p>
    <w:p w14:paraId="5DED999B" w14:textId="50CA2BF2" w:rsidR="005D66B5" w:rsidRDefault="005D66B5" w:rsidP="005D66B5">
      <w:r>
        <w:t xml:space="preserve">IHACPA have calculated care minute targets for each service based on </w:t>
      </w:r>
      <w:r w:rsidR="001B0FC5">
        <w:t xml:space="preserve">new care minute requirements advised by the Department, not yet announced at the time of writing. </w:t>
      </w:r>
      <w:r w:rsidR="00D61872">
        <w:t xml:space="preserve">IHACPA used </w:t>
      </w:r>
      <w:r w:rsidR="00DF7D89">
        <w:t>Australian National Aged Care Classification (</w:t>
      </w:r>
      <w:r>
        <w:t>AN-ACC</w:t>
      </w:r>
      <w:r w:rsidR="00DF7D89">
        <w:t>)</w:t>
      </w:r>
      <w:r>
        <w:t xml:space="preserve"> assessment and shadow assessment data</w:t>
      </w:r>
      <w:r w:rsidR="0007375C">
        <w:t>,</w:t>
      </w:r>
      <w:r>
        <w:t xml:space="preserve"> current as of </w:t>
      </w:r>
      <w:r w:rsidR="2059973B">
        <w:t>2</w:t>
      </w:r>
      <w:r w:rsidR="446EF391">
        <w:t>0</w:t>
      </w:r>
      <w:r w:rsidR="2059973B">
        <w:t xml:space="preserve"> </w:t>
      </w:r>
      <w:r w:rsidR="2D03B7FA">
        <w:t>January</w:t>
      </w:r>
      <w:r w:rsidR="2059973B">
        <w:t xml:space="preserve"> 202</w:t>
      </w:r>
      <w:r w:rsidR="34112E1F">
        <w:t>3</w:t>
      </w:r>
      <w:r w:rsidR="0007375C">
        <w:t>,</w:t>
      </w:r>
      <w:r w:rsidR="00D61872">
        <w:t xml:space="preserve"> to estimate the case-mix profile of each service, </w:t>
      </w:r>
      <w:r w:rsidR="00023AAE">
        <w:t>and from there the care minute targets at a service level.</w:t>
      </w:r>
    </w:p>
    <w:p w14:paraId="28379EE6" w14:textId="2C923A42" w:rsidR="00A4067F" w:rsidRPr="004C5CF4" w:rsidRDefault="00A4067F" w:rsidP="00263B20">
      <w:r>
        <w:t>As the AN-ACC assessment data provided by the Department contains multiple assessments for some residents, and assessments of potential residents that are not necessarily in care</w:t>
      </w:r>
      <w:r w:rsidR="00096EA2">
        <w:t xml:space="preserve">. These data were filtered to include only </w:t>
      </w:r>
      <w:r w:rsidR="00DF7D89">
        <w:t xml:space="preserve">the latest AN-ACC assessment for persons </w:t>
      </w:r>
      <w:r w:rsidR="0008516C">
        <w:t>identified as being currently in care.</w:t>
      </w:r>
    </w:p>
    <w:p w14:paraId="69B3A9AE" w14:textId="36F9E2BF" w:rsidR="00517BBE" w:rsidRPr="004C5CF4" w:rsidRDefault="00517BBE" w:rsidP="00263B20">
      <w:pPr>
        <w:pStyle w:val="Heading3"/>
      </w:pPr>
      <w:r>
        <w:t>Cost adjustment in ACFR</w:t>
      </w:r>
    </w:p>
    <w:p w14:paraId="5612FFB0" w14:textId="7704D660" w:rsidR="00092F7A" w:rsidRDefault="007B51AA" w:rsidP="002B214A">
      <w:r>
        <w:t xml:space="preserve">IHACPA has </w:t>
      </w:r>
      <w:r w:rsidR="00891230">
        <w:t>adjusted</w:t>
      </w:r>
      <w:r>
        <w:t xml:space="preserve"> the </w:t>
      </w:r>
      <w:r w:rsidR="0008516C">
        <w:t xml:space="preserve">labour costs in the </w:t>
      </w:r>
      <w:r w:rsidR="00EB0933">
        <w:t>ACFR 2020-21</w:t>
      </w:r>
      <w:r>
        <w:t xml:space="preserve"> dataset in recognition that </w:t>
      </w:r>
      <w:r w:rsidR="00291587">
        <w:t>care minute requirements were not mandated in 2020-21</w:t>
      </w:r>
      <w:r w:rsidR="0008516C">
        <w:t xml:space="preserve">, and therefore the labour costs reported in ACFR 2020-21 will not accurately represent the costs that would be incurred </w:t>
      </w:r>
      <w:r w:rsidR="00C436EE">
        <w:t>had the minimum care minutes been met</w:t>
      </w:r>
      <w:r w:rsidR="00291587">
        <w:t>.</w:t>
      </w:r>
      <w:r w:rsidR="00D1429E">
        <w:t xml:space="preserve"> This </w:t>
      </w:r>
      <w:r w:rsidR="00A8513E">
        <w:t xml:space="preserve">allows IHACPA to estimate </w:t>
      </w:r>
      <w:r w:rsidR="00D1429E">
        <w:t xml:space="preserve">cost proportions </w:t>
      </w:r>
      <w:r w:rsidR="00A8513E">
        <w:t xml:space="preserve">for labour and non-labour direct care costs using the </w:t>
      </w:r>
      <w:r w:rsidR="00E2681A">
        <w:t xml:space="preserve">Residential Expenses section of the </w:t>
      </w:r>
      <w:r w:rsidR="00EB0933">
        <w:t>ACFR 2020-21</w:t>
      </w:r>
      <w:r w:rsidR="00A8513E">
        <w:t xml:space="preserve">, accounting for the expected increase </w:t>
      </w:r>
      <w:r w:rsidR="00590CDB">
        <w:t xml:space="preserve">in </w:t>
      </w:r>
      <w:r w:rsidR="00A8513E">
        <w:t xml:space="preserve">labour costs </w:t>
      </w:r>
      <w:r w:rsidR="00CF2054">
        <w:t>after</w:t>
      </w:r>
      <w:r w:rsidR="006C58AB">
        <w:t xml:space="preserve"> meeting the </w:t>
      </w:r>
      <w:r w:rsidR="00B274E7">
        <w:t>minimum care minute requirements.</w:t>
      </w:r>
    </w:p>
    <w:p w14:paraId="49EB8E2E" w14:textId="2775AF4A" w:rsidR="002F46E7" w:rsidRDefault="002F46E7" w:rsidP="002B214A">
      <w:r>
        <w:lastRenderedPageBreak/>
        <w:t xml:space="preserve">The adjustment uses </w:t>
      </w:r>
      <w:r w:rsidR="002269C8">
        <w:t xml:space="preserve">the </w:t>
      </w:r>
      <w:r w:rsidR="00945918">
        <w:t>‘</w:t>
      </w:r>
      <w:r w:rsidR="00945918" w:rsidRPr="00945918">
        <w:t>Occupied bed days</w:t>
      </w:r>
      <w:r w:rsidR="00945918">
        <w:t>’</w:t>
      </w:r>
      <w:r w:rsidR="008A4054">
        <w:t xml:space="preserve"> (OBD)</w:t>
      </w:r>
      <w:r w:rsidR="00945918">
        <w:t xml:space="preserve"> </w:t>
      </w:r>
      <w:r w:rsidR="002269C8">
        <w:t>data item</w:t>
      </w:r>
      <w:r w:rsidR="00977306">
        <w:t>,</w:t>
      </w:r>
      <w:r w:rsidR="00112CBD">
        <w:t xml:space="preserve"> denoted</w:t>
      </w:r>
      <w:r w:rsidR="00F82BDA">
        <w:t xml:space="preserve"> </w:t>
      </w: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00112CBD">
        <w:t>,</w:t>
      </w:r>
      <w:r w:rsidR="00945918">
        <w:t xml:space="preserve"> </w:t>
      </w:r>
      <w:r w:rsidR="00C443BB">
        <w:t xml:space="preserve">and </w:t>
      </w:r>
      <w:r w:rsidR="00945918">
        <w:t>the following items from the</w:t>
      </w:r>
      <w:r w:rsidR="002269C8">
        <w:t xml:space="preserve"> ‘Care</w:t>
      </w:r>
      <w:r w:rsidR="00C443BB">
        <w:t> </w:t>
      </w:r>
      <w:r w:rsidR="002269C8">
        <w:t>Expenses’ section of the ACFR:</w:t>
      </w:r>
    </w:p>
    <w:p w14:paraId="6B6702F4" w14:textId="1FC31CF8" w:rsidR="002269C8" w:rsidRDefault="002269C8">
      <w:pPr>
        <w:pStyle w:val="ListLevel1"/>
      </w:pPr>
      <w:r>
        <w:t>Registered nurse</w:t>
      </w:r>
      <w:r w:rsidR="007522AA">
        <w:t xml:space="preserve"> (RN) </w:t>
      </w:r>
      <w:r>
        <w:t>labour costs</w:t>
      </w:r>
      <w:r w:rsidR="00B26FF4">
        <w:t xml:space="preserve"> (</w:t>
      </w:r>
      <m:oMath>
        <m:sSub>
          <m:sSubPr>
            <m:ctrlPr>
              <w:rPr>
                <w:rFonts w:ascii="Cambria Math" w:hAnsi="Cambria Math"/>
                <w:i/>
              </w:rPr>
            </m:ctrlPr>
          </m:sSubPr>
          <m:e>
            <m:r>
              <w:rPr>
                <w:rFonts w:ascii="Cambria Math" w:hAnsi="Cambria Math"/>
              </w:rPr>
              <m:t>C</m:t>
            </m:r>
          </m:e>
          <m:sub>
            <m:r>
              <w:rPr>
                <w:rFonts w:ascii="Cambria Math" w:hAnsi="Cambria Math"/>
              </w:rPr>
              <m:t>R</m:t>
            </m:r>
          </m:sub>
        </m:sSub>
      </m:oMath>
      <w:r w:rsidR="00E852E1">
        <w:rPr>
          <w:rFonts w:eastAsiaTheme="minorEastAsia"/>
        </w:rPr>
        <w:t>)</w:t>
      </w:r>
    </w:p>
    <w:p w14:paraId="4211D1D2" w14:textId="4704F088" w:rsidR="002269C8" w:rsidRDefault="00530C06">
      <w:pPr>
        <w:pStyle w:val="ListLevel1"/>
      </w:pPr>
      <w:r>
        <w:t xml:space="preserve">Other direct care, defined as the </w:t>
      </w:r>
      <w:r w:rsidR="0046462B">
        <w:t xml:space="preserve">enrolled </w:t>
      </w:r>
      <w:r w:rsidR="00691BCF">
        <w:t>n</w:t>
      </w:r>
      <w:r w:rsidR="0046462B">
        <w:t>urse</w:t>
      </w:r>
      <w:r w:rsidR="00691BCF">
        <w:t>s</w:t>
      </w:r>
      <w:r w:rsidR="0046462B">
        <w:t xml:space="preserve"> (EN) and personal care worker</w:t>
      </w:r>
      <w:r w:rsidR="00691BCF">
        <w:t>s</w:t>
      </w:r>
      <w:r w:rsidR="0046462B">
        <w:t xml:space="preserve"> (PCW)</w:t>
      </w:r>
      <w:r>
        <w:t>,</w:t>
      </w:r>
      <w:r w:rsidR="0046462B">
        <w:t xml:space="preserve"> </w:t>
      </w:r>
      <w:r w:rsidR="002269C8">
        <w:t>labour costs</w:t>
      </w:r>
      <w:r w:rsidR="00E852E1">
        <w:t xml:space="preserve"> (</w:t>
      </w:r>
      <m:oMath>
        <m:sSub>
          <m:sSubPr>
            <m:ctrlPr>
              <w:rPr>
                <w:rFonts w:ascii="Cambria Math" w:hAnsi="Cambria Math"/>
                <w:i/>
              </w:rPr>
            </m:ctrlPr>
          </m:sSubPr>
          <m:e>
            <m:r>
              <w:rPr>
                <w:rFonts w:ascii="Cambria Math" w:hAnsi="Cambria Math"/>
              </w:rPr>
              <m:t>C</m:t>
            </m:r>
          </m:e>
          <m:sub>
            <m:r>
              <w:rPr>
                <w:rFonts w:ascii="Cambria Math" w:hAnsi="Cambria Math"/>
              </w:rPr>
              <m:t>L</m:t>
            </m:r>
          </m:sub>
        </m:sSub>
      </m:oMath>
      <w:r w:rsidR="00E852E1">
        <w:rPr>
          <w:rFonts w:eastAsiaTheme="minorEastAsia"/>
        </w:rPr>
        <w:t>)</w:t>
      </w:r>
    </w:p>
    <w:p w14:paraId="2312754D" w14:textId="6535F27B" w:rsidR="002269C8" w:rsidRDefault="007522AA">
      <w:pPr>
        <w:pStyle w:val="ListLevel1"/>
      </w:pPr>
      <w:r>
        <w:t xml:space="preserve">RN </w:t>
      </w:r>
      <w:r w:rsidR="002269C8">
        <w:t>labour hours</w:t>
      </w:r>
      <w:r w:rsidR="00E852E1">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oMath>
      <w:r w:rsidR="00E852E1">
        <w:rPr>
          <w:rFonts w:eastAsiaTheme="minorEastAsia"/>
        </w:rPr>
        <w:t>)</w:t>
      </w:r>
    </w:p>
    <w:p w14:paraId="79F6369C" w14:textId="5BFB4D11" w:rsidR="00534A23" w:rsidRDefault="00691BCF" w:rsidP="00263B20">
      <w:pPr>
        <w:pStyle w:val="ListLevel1"/>
        <w:ind w:left="1077" w:hanging="357"/>
      </w:pPr>
      <w:r>
        <w:t xml:space="preserve">Other direct care </w:t>
      </w:r>
      <w:r w:rsidR="002269C8">
        <w:t>labour hours</w:t>
      </w:r>
      <w:r w:rsidR="00E852E1">
        <w:t xml:space="preserve"> (</w:t>
      </w:r>
      <m:oMath>
        <m:sSub>
          <m:sSubPr>
            <m:ctrlPr>
              <w:rPr>
                <w:rFonts w:ascii="Cambria Math" w:hAnsi="Cambria Math"/>
                <w:i/>
              </w:rPr>
            </m:ctrlPr>
          </m:sSubPr>
          <m:e>
            <m:r>
              <w:rPr>
                <w:rFonts w:ascii="Cambria Math" w:hAnsi="Cambria Math"/>
              </w:rPr>
              <m:t>H</m:t>
            </m:r>
          </m:e>
          <m:sub>
            <m:r>
              <w:rPr>
                <w:rFonts w:ascii="Cambria Math" w:hAnsi="Cambria Math"/>
              </w:rPr>
              <m:t>L</m:t>
            </m:r>
          </m:sub>
        </m:sSub>
      </m:oMath>
      <w:r w:rsidR="00E852E1">
        <w:rPr>
          <w:rFonts w:eastAsiaTheme="minorEastAsia"/>
        </w:rPr>
        <w:t>)</w:t>
      </w:r>
    </w:p>
    <w:p w14:paraId="5871D5C2" w14:textId="724F13D4" w:rsidR="00534A23" w:rsidRDefault="00534A23" w:rsidP="009030DF">
      <w:r>
        <w:t xml:space="preserve">For a given residential aged care service, the </w:t>
      </w:r>
      <w:r w:rsidR="00A83016">
        <w:t xml:space="preserve">RN </w:t>
      </w:r>
      <w:r w:rsidR="00C25DFD">
        <w:t xml:space="preserve">care minute target per </w:t>
      </w:r>
      <w:r w:rsidR="00D358EE">
        <w:t>OBD</w:t>
      </w:r>
      <w:r w:rsidR="002052D1">
        <w:t xml:space="preserve">, denoted </w:t>
      </w:r>
      <m:oMath>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oMath>
      <w:r w:rsidR="002052D1">
        <w:t>,</w:t>
      </w:r>
      <w:r w:rsidR="00C25DFD">
        <w:t xml:space="preserve"> is calculated </w:t>
      </w:r>
      <w:r w:rsidR="00612121">
        <w:t xml:space="preserve">as the </w:t>
      </w:r>
      <w:r w:rsidR="00A85395">
        <w:t xml:space="preserve">mean required </w:t>
      </w:r>
      <w:r w:rsidR="00A83016">
        <w:t xml:space="preserve">RN </w:t>
      </w:r>
      <w:r w:rsidR="00A85395">
        <w:t xml:space="preserve">care minutes of </w:t>
      </w:r>
      <w:r w:rsidR="00DC1D5F">
        <w:t xml:space="preserve">all assessed residents. </w:t>
      </w:r>
      <w:r w:rsidR="003846AC">
        <w:t>Similarly, t</w:t>
      </w:r>
      <w:r w:rsidR="00DC1D5F">
        <w:t xml:space="preserve">he </w:t>
      </w:r>
      <w:r w:rsidR="00BA4047">
        <w:t xml:space="preserve">total direct </w:t>
      </w:r>
      <w:r w:rsidR="00DC1D5F">
        <w:t>care</w:t>
      </w:r>
      <w:r w:rsidR="005A72E3">
        <w:t xml:space="preserve"> minute target per </w:t>
      </w:r>
      <w:r w:rsidR="00D358EE">
        <w:t>OBD</w:t>
      </w:r>
      <w:r w:rsidR="005A72E3">
        <w:t>, denoted</w:t>
      </w:r>
      <w:r w:rsidR="009623CE">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oMath>
      <w:r w:rsidR="009623CE">
        <w:t xml:space="preserve">, is </w:t>
      </w:r>
      <w:r w:rsidR="003846AC">
        <w:t>calculated similarly as the total direct care minutes</w:t>
      </w:r>
      <w:r w:rsidR="00481317">
        <w:t xml:space="preserve"> of all assess</w:t>
      </w:r>
      <w:r w:rsidR="00BA4047">
        <w:t>ed</w:t>
      </w:r>
      <w:r w:rsidR="00481317">
        <w:t xml:space="preserve"> residents.</w:t>
      </w:r>
    </w:p>
    <w:p w14:paraId="3AF38570" w14:textId="6F19A9C8" w:rsidR="00353759" w:rsidRDefault="00353759" w:rsidP="00263B20">
      <w:r>
        <w:t xml:space="preserve">Nationally, the </w:t>
      </w:r>
      <w:r w:rsidR="000A1E80">
        <w:t xml:space="preserve">average RN care minute target per </w:t>
      </w:r>
      <w:r w:rsidR="00D358EE">
        <w:t>OBD</w:t>
      </w:r>
      <w:r w:rsidR="000A1E80">
        <w:t xml:space="preserve"> is equal to </w:t>
      </w:r>
      <w:r w:rsidR="6A2FB6CE">
        <w:t>39.7</w:t>
      </w:r>
      <w:r w:rsidR="000A1E80">
        <w:t xml:space="preserve"> and the average </w:t>
      </w:r>
      <w:r w:rsidR="00363587">
        <w:t xml:space="preserve">other direct care minute target per </w:t>
      </w:r>
      <w:r w:rsidR="00D358EE">
        <w:t>OBD</w:t>
      </w:r>
      <w:r w:rsidR="00363587">
        <w:t xml:space="preserve"> is </w:t>
      </w:r>
      <w:r w:rsidR="11227864">
        <w:t>197.1</w:t>
      </w:r>
      <w:r w:rsidR="00363587">
        <w:t>.</w:t>
      </w:r>
    </w:p>
    <w:p w14:paraId="2B4D5FA9" w14:textId="4693564A" w:rsidR="00C443BB" w:rsidRDefault="00A02C8A" w:rsidP="00A02C8A">
      <w:r>
        <w:t xml:space="preserve">The average </w:t>
      </w:r>
      <w:r w:rsidR="00481317">
        <w:t xml:space="preserve">actual </w:t>
      </w:r>
      <w:r w:rsidR="00B26FF4">
        <w:t xml:space="preserve">RN care </w:t>
      </w:r>
      <w:r>
        <w:t xml:space="preserve">minutes per </w:t>
      </w:r>
      <w:r w:rsidR="00D358EE">
        <w:t>OBD</w:t>
      </w:r>
      <w:r w:rsidR="00191720">
        <w:t xml:space="preserve">, </w:t>
      </w:r>
      <w:r w:rsidR="00E139C2">
        <w:rPr>
          <w:rFonts w:eastAsiaTheme="minorEastAsia"/>
        </w:rPr>
        <w:t xml:space="preserve">denoted </w:t>
      </w:r>
      <m:oMath>
        <m:sSub>
          <m:sSubPr>
            <m:ctrlPr>
              <w:rPr>
                <w:rFonts w:ascii="Cambria Math" w:hAnsi="Cambria Math"/>
                <w:i/>
              </w:rPr>
            </m:ctrlPr>
          </m:sSubPr>
          <m:e>
            <m:r>
              <w:rPr>
                <w:rFonts w:ascii="Cambria Math" w:hAnsi="Cambria Math"/>
              </w:rPr>
              <m:t>M</m:t>
            </m:r>
          </m:e>
          <m:sub>
            <m:r>
              <w:rPr>
                <w:rFonts w:ascii="Cambria Math" w:hAnsi="Cambria Math"/>
              </w:rPr>
              <m:t>R,D</m:t>
            </m:r>
          </m:sub>
        </m:sSub>
      </m:oMath>
      <w:r w:rsidR="00E139C2">
        <w:rPr>
          <w:rFonts w:eastAsiaTheme="minorEastAsia"/>
        </w:rPr>
        <w:t>,</w:t>
      </w:r>
      <w:r w:rsidR="00F82BDA">
        <w:rPr>
          <w:rFonts w:eastAsiaTheme="minorEastAsia"/>
        </w:rPr>
        <w:t xml:space="preserve"> </w:t>
      </w:r>
      <w:r w:rsidR="00B26FF4">
        <w:t>is calculated as</w:t>
      </w:r>
    </w:p>
    <w:p w14:paraId="2A3F8EF5" w14:textId="2D88DDC4" w:rsidR="00191720" w:rsidRPr="00DA49D5" w:rsidRDefault="00F03EC5" w:rsidP="00A02C8A">
      <w:pPr>
        <w:rPr>
          <w:rFonts w:eastAsiaTheme="minorEastAsia"/>
        </w:rPr>
      </w:pPr>
      <m:oMathPara>
        <m:oMathParaPr>
          <m:jc m:val="center"/>
        </m:oMathParaPr>
        <m:oMath>
          <m:sSub>
            <m:sSubPr>
              <m:ctrlPr>
                <w:rPr>
                  <w:rFonts w:ascii="Cambria Math" w:hAnsi="Cambria Math"/>
                  <w:i/>
                </w:rPr>
              </m:ctrlPr>
            </m:sSubPr>
            <m:e>
              <m:r>
                <w:rPr>
                  <w:rFonts w:ascii="Cambria Math" w:hAnsi="Cambria Math"/>
                </w:rPr>
                <m:t>M</m:t>
              </m:r>
            </m:e>
            <m:sub>
              <m:r>
                <w:rPr>
                  <w:rFonts w:ascii="Cambria Math" w:hAnsi="Cambria Math"/>
                </w:rPr>
                <m:t>R,D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60×H</m:t>
                  </m:r>
                </m:e>
                <m:sub>
                  <m:r>
                    <w:rPr>
                      <w:rFonts w:ascii="Cambria Math" w:hAnsi="Cambria Math"/>
                    </w:rPr>
                    <m:t>R</m:t>
                  </m:r>
                </m:sub>
              </m:sSub>
            </m:num>
            <m:den>
              <m:sSub>
                <m:sSubPr>
                  <m:ctrlPr>
                    <w:rPr>
                      <w:rFonts w:ascii="Cambria Math" w:hAnsi="Cambria Math"/>
                      <w:i/>
                    </w:rPr>
                  </m:ctrlPr>
                </m:sSubPr>
                <m:e>
                  <m:r>
                    <w:rPr>
                      <w:rFonts w:ascii="Cambria Math" w:hAnsi="Cambria Math"/>
                    </w:rPr>
                    <m:t>D</m:t>
                  </m:r>
                </m:e>
                <m:sub>
                  <m:r>
                    <w:rPr>
                      <w:rFonts w:ascii="Cambria Math" w:hAnsi="Cambria Math"/>
                    </w:rPr>
                    <m:t>O</m:t>
                  </m:r>
                </m:sub>
              </m:sSub>
            </m:den>
          </m:f>
          <m:r>
            <w:rPr>
              <w:rFonts w:ascii="Cambria Math" w:hAnsi="Cambria Math"/>
            </w:rPr>
            <m:t>.</m:t>
          </m:r>
        </m:oMath>
      </m:oMathPara>
    </w:p>
    <w:p w14:paraId="3A06DA9D" w14:textId="5D36A364" w:rsidR="002D6B32" w:rsidRDefault="002D6B32" w:rsidP="00A02C8A">
      <w:r>
        <w:rPr>
          <w:rFonts w:eastAsiaTheme="minorEastAsia"/>
        </w:rPr>
        <w:t xml:space="preserve">The average </w:t>
      </w:r>
      <w:r w:rsidR="00E139C2">
        <w:rPr>
          <w:rFonts w:eastAsiaTheme="minorEastAsia"/>
        </w:rPr>
        <w:t xml:space="preserve">total direct care minutes per </w:t>
      </w:r>
      <w:r w:rsidR="00D358EE">
        <w:rPr>
          <w:rFonts w:eastAsiaTheme="minorEastAsia"/>
        </w:rPr>
        <w:t>OBD</w:t>
      </w:r>
      <w:r w:rsidR="00E139C2">
        <w:rPr>
          <w:rFonts w:eastAsiaTheme="minorEastAsia"/>
        </w:rPr>
        <w:t xml:space="preserve">, denoted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oMath>
      <w:r w:rsidR="00C93CCD">
        <w:rPr>
          <w:rFonts w:eastAsiaTheme="minorEastAsia"/>
        </w:rPr>
        <w:t>, is calculated similarly.</w:t>
      </w:r>
      <w:r w:rsidR="00E139C2">
        <w:rPr>
          <w:rFonts w:eastAsiaTheme="minorEastAsia"/>
        </w:rPr>
        <w:t xml:space="preserve"> </w:t>
      </w:r>
    </w:p>
    <w:p w14:paraId="3C1C8FC3" w14:textId="67DBE24F" w:rsidR="00B3760C" w:rsidRDefault="00B3760C" w:rsidP="002B214A">
      <w:r>
        <w:t>Th</w:t>
      </w:r>
      <w:r w:rsidR="00741425">
        <w:t xml:space="preserve">e </w:t>
      </w:r>
      <w:r w:rsidR="1516B264">
        <w:t>care minute</w:t>
      </w:r>
      <w:r w:rsidR="00741425">
        <w:t xml:space="preserve"> </w:t>
      </w:r>
      <w:r>
        <w:t xml:space="preserve">adjustment </w:t>
      </w:r>
      <w:r w:rsidR="00741425">
        <w:t xml:space="preserve">to the ACFR data </w:t>
      </w:r>
      <w:r>
        <w:t>is implemented in four steps</w:t>
      </w:r>
      <w:r w:rsidR="00163BCF">
        <w:t>. For each facility in the ACFR:</w:t>
      </w:r>
    </w:p>
    <w:p w14:paraId="53EAE505" w14:textId="3C0B1B72" w:rsidR="00B3760C" w:rsidRDefault="00163BCF" w:rsidP="0098714B">
      <w:pPr>
        <w:pStyle w:val="ListParagraph"/>
        <w:numPr>
          <w:ilvl w:val="0"/>
          <w:numId w:val="30"/>
        </w:numPr>
      </w:pPr>
      <w:r>
        <w:t>Identify</w:t>
      </w:r>
      <w:r w:rsidR="00A37F7D">
        <w:t xml:space="preserve"> the increase</w:t>
      </w:r>
      <w:r w:rsidR="007522AA">
        <w:t xml:space="preserve"> </w:t>
      </w:r>
      <w:r w:rsidR="00A37F7D">
        <w:t xml:space="preserve">required </w:t>
      </w:r>
      <w:r w:rsidR="007522AA">
        <w:t xml:space="preserve">in RN </w:t>
      </w:r>
      <w:r w:rsidR="00C93CCD">
        <w:t xml:space="preserve">care minutes per </w:t>
      </w:r>
      <w:r w:rsidR="00D358EE">
        <w:t>OBD</w:t>
      </w:r>
      <w:r w:rsidR="007522AA">
        <w:t xml:space="preserve">, if any, </w:t>
      </w:r>
      <w:r w:rsidR="00CA278B">
        <w:t xml:space="preserve">for the RN care minutes to be at least </w:t>
      </w:r>
      <m:oMath>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oMath>
      <w:r w:rsidR="00C93CCD">
        <w:t>.</w:t>
      </w:r>
    </w:p>
    <w:p w14:paraId="221067F2" w14:textId="02E681AE" w:rsidR="00857768" w:rsidRPr="00C83BA4" w:rsidRDefault="008B44C6" w:rsidP="0098714B">
      <w:pPr>
        <w:pStyle w:val="ListParagraph"/>
        <w:numPr>
          <w:ilvl w:val="0"/>
          <w:numId w:val="30"/>
        </w:numPr>
      </w:pPr>
      <w:r>
        <w:t xml:space="preserve">Inflate </w:t>
      </w:r>
      <w:r w:rsidR="003F6C9A">
        <w:t xml:space="preserve">both </w:t>
      </w:r>
      <w:r w:rsidR="00126355">
        <w:t xml:space="preserve">RN care minutes </w:t>
      </w:r>
      <w:r w:rsidR="003F6C9A">
        <w:t xml:space="preserve">and RN care costs </w:t>
      </w:r>
      <w:r>
        <w:t>by the factor identified in (a</w:t>
      </w:r>
      <w:r w:rsidR="003F6C9A">
        <w:t>).</w:t>
      </w:r>
      <w:r>
        <w:t xml:space="preserve"> </w:t>
      </w:r>
    </w:p>
    <w:p w14:paraId="4659B249" w14:textId="1128B2DE" w:rsidR="00C83BA4" w:rsidRDefault="00A37F7D" w:rsidP="0098714B">
      <w:pPr>
        <w:pStyle w:val="ListParagraph"/>
        <w:numPr>
          <w:ilvl w:val="0"/>
          <w:numId w:val="30"/>
        </w:numPr>
      </w:pPr>
      <w:r>
        <w:t>I</w:t>
      </w:r>
      <w:r w:rsidR="00901E39">
        <w:t xml:space="preserve">dentify the increase </w:t>
      </w:r>
      <w:r w:rsidR="008B44C6">
        <w:t xml:space="preserve">required </w:t>
      </w:r>
      <w:r w:rsidR="00901E39">
        <w:t xml:space="preserve">in </w:t>
      </w:r>
      <w:r w:rsidR="00183728">
        <w:t>non-RN</w:t>
      </w:r>
      <w:r w:rsidR="12147AC4">
        <w:t>, residual,</w:t>
      </w:r>
      <w:r w:rsidR="00183728">
        <w:t xml:space="preserve"> </w:t>
      </w:r>
      <w:r w:rsidR="00901E39">
        <w:t>care minutes</w:t>
      </w:r>
      <w:r w:rsidR="00601E61">
        <w:t>, if any, to meet</w:t>
      </w:r>
      <w:r w:rsidR="00183728">
        <w:t xml:space="preserve"> the total care minutes to be at least </w:t>
      </w:r>
      <m:oMath>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w:rPr>
            <w:rFonts w:ascii="Cambria Math" w:hAnsi="Cambria Math"/>
          </w:rPr>
          <m:t xml:space="preserve"> </m:t>
        </m:r>
      </m:oMath>
      <w:r w:rsidR="00183728">
        <w:t>minutes</w:t>
      </w:r>
      <w:r w:rsidR="0DBFD6CF">
        <w:t>.</w:t>
      </w:r>
    </w:p>
    <w:p w14:paraId="697980AE" w14:textId="2070CDB1" w:rsidR="00183728" w:rsidRDefault="003F6C9A" w:rsidP="0098714B">
      <w:pPr>
        <w:pStyle w:val="ListParagraph"/>
        <w:numPr>
          <w:ilvl w:val="0"/>
          <w:numId w:val="30"/>
        </w:numPr>
      </w:pPr>
      <w:r>
        <w:t>Inflate the residual care minutes and costs (after account</w:t>
      </w:r>
      <w:r w:rsidR="35B3AAC8">
        <w:t>ing</w:t>
      </w:r>
      <w:r>
        <w:t xml:space="preserve"> for step (b) above)</w:t>
      </w:r>
      <w:r w:rsidR="000921CD">
        <w:t xml:space="preserve"> by the factor identified in (c).</w:t>
      </w:r>
    </w:p>
    <w:p w14:paraId="5F7C93F9" w14:textId="55DC93AC" w:rsidR="004B37AE" w:rsidRDefault="000921CD" w:rsidP="000921CD">
      <w:pPr>
        <w:rPr>
          <w:rFonts w:eastAsiaTheme="minorEastAsia"/>
        </w:rPr>
      </w:pPr>
      <w:r>
        <w:t>These steps are accomplished as follows.</w:t>
      </w:r>
      <w:r w:rsidR="00482E9F">
        <w:t xml:space="preserve"> Define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482E9F">
        <w:rPr>
          <w:rFonts w:eastAsiaTheme="minorEastAsia"/>
        </w:rPr>
        <w:t xml:space="preserve"> to be the increase required for RN care minutes to meet at least 40 minutes. </w:t>
      </w:r>
      <w:r w:rsidR="004B37AE">
        <w:rPr>
          <w:rFonts w:eastAsiaTheme="minorEastAsia"/>
        </w:rPr>
        <w:t>That is,</w:t>
      </w:r>
    </w:p>
    <w:p w14:paraId="2308134B" w14:textId="6162A8F1" w:rsidR="004B37AE" w:rsidRPr="00007A9E" w:rsidRDefault="00F03EC5" w:rsidP="000921C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den>
                  </m:f>
                </m:e>
              </m:d>
            </m:e>
          </m:func>
          <m:r>
            <w:rPr>
              <w:rFonts w:ascii="Cambria Math" w:eastAsiaTheme="minorEastAsia" w:hAnsi="Cambria Math"/>
            </w:rPr>
            <m:t>.</m:t>
          </m:r>
        </m:oMath>
      </m:oMathPara>
    </w:p>
    <w:p w14:paraId="7C66AE3B" w14:textId="19F02F3A" w:rsidR="003C7291" w:rsidRDefault="00007A9E" w:rsidP="000921CD">
      <w:pPr>
        <w:rPr>
          <w:rFonts w:eastAsiaTheme="minorEastAsia"/>
        </w:rPr>
      </w:pPr>
      <w:r>
        <w:rPr>
          <w:rFonts w:eastAsiaTheme="minorEastAsia"/>
        </w:rPr>
        <w:t>Then the impute</w:t>
      </w:r>
      <w:r w:rsidR="006F501B">
        <w:rPr>
          <w:rFonts w:eastAsiaTheme="minorEastAsia"/>
        </w:rPr>
        <w:t>d</w:t>
      </w:r>
      <w:r w:rsidR="00C67F95">
        <w:rPr>
          <w:rFonts w:eastAsiaTheme="minorEastAsia"/>
        </w:rPr>
        <w:t xml:space="preserve"> RN care minutes per day is defined as</w:t>
      </w:r>
      <w:r w:rsidR="00BE584C">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oMath>
      <w:r w:rsidR="00BE584C">
        <w:rPr>
          <w:rFonts w:eastAsiaTheme="minorEastAsia"/>
        </w:rPr>
        <w:t>. Then</w:t>
      </w:r>
    </w:p>
    <w:p w14:paraId="3415EA9E" w14:textId="66DF1C0C" w:rsidR="00B60083" w:rsidRPr="009E57EB" w:rsidRDefault="00F03EC5" w:rsidP="3224595A">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r>
            <m:rPr>
              <m:sty m:val="p"/>
            </m:rPr>
            <w:rPr>
              <w:rFonts w:eastAsiaTheme="minorEastAsia"/>
            </w:rPr>
            <w:br/>
          </m:r>
        </m:oMath>
        <m:oMath>
          <m:r>
            <m:rPr>
              <m:aln/>
            </m:rP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2"/>
                        <m:mcJc m:val="left"/>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e>
                  <m:e>
                    <m:r>
                      <m:rPr>
                        <m:nor/>
                      </m:rPr>
                      <w:rPr>
                        <w:rFonts w:ascii="Cambria Math" w:eastAsiaTheme="minorEastAsia" w:hAnsi="Cambria Math"/>
                      </w:rPr>
                      <m:t>if</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r>
                      <m:rPr>
                        <m:nor/>
                      </m:rPr>
                      <w:rPr>
                        <w:rFonts w:ascii="Cambria Math" w:eastAsiaTheme="minorEastAsia" w:hAnsi="Cambria Math"/>
                      </w:rPr>
                      <m:t>,</m:t>
                    </m:r>
                  </m:e>
                </m:mr>
                <m:mr>
                  <m:e>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e>
                  <m:e>
                    <m:r>
                      <m:rPr>
                        <m:nor/>
                      </m:rPr>
                      <w:rPr>
                        <w:rFonts w:ascii="Cambria Math" w:eastAsiaTheme="minorEastAsia" w:hAnsi="Cambria Math"/>
                      </w:rPr>
                      <m:t>otherwise.</m:t>
                    </m:r>
                  </m:e>
                </m:mr>
              </m:m>
              <m:r>
                <w:rPr>
                  <w:rFonts w:ascii="Cambria Math" w:eastAsiaTheme="minorEastAsia" w:hAnsi="Cambria Math"/>
                </w:rPr>
                <m:t xml:space="preserve"> </m:t>
              </m:r>
            </m:e>
          </m:d>
        </m:oMath>
      </m:oMathPara>
    </w:p>
    <w:p w14:paraId="726DC60A" w14:textId="16EADEDC" w:rsidR="002C3BA6" w:rsidRDefault="006F501B" w:rsidP="000921CD">
      <w:pPr>
        <w:rPr>
          <w:rFonts w:eastAsiaTheme="minorEastAsia"/>
        </w:rPr>
      </w:pPr>
      <w:r>
        <w:rPr>
          <w:rFonts w:eastAsiaTheme="minorEastAsia"/>
        </w:rPr>
        <w:t xml:space="preserve">Similarly, the imputed RN labour costs </w:t>
      </w:r>
      <w:r w:rsidR="00660247">
        <w:rPr>
          <w:rFonts w:eastAsiaTheme="minorEastAsia"/>
        </w:rPr>
        <w:t>are</w:t>
      </w:r>
      <w:r>
        <w:rPr>
          <w:rFonts w:eastAsiaTheme="minorEastAsia"/>
        </w:rPr>
        <w:t xml:space="preserve"> defined as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oMath>
      <w:r w:rsidR="009D031C">
        <w:rPr>
          <w:rFonts w:eastAsiaTheme="minorEastAsia"/>
        </w:rPr>
        <w:t>.</w:t>
      </w:r>
      <w:r w:rsidR="007F2DA6">
        <w:rPr>
          <w:rFonts w:eastAsiaTheme="minorEastAsia"/>
        </w:rPr>
        <w:t xml:space="preserve"> The impact of this adjustment to RN hours and costs is shown in </w:t>
      </w:r>
      <w:r w:rsidR="007F2DA6">
        <w:rPr>
          <w:rFonts w:eastAsiaTheme="minorEastAsia"/>
        </w:rPr>
        <w:fldChar w:fldCharType="begin"/>
      </w:r>
      <w:r w:rsidR="007F2DA6">
        <w:rPr>
          <w:rFonts w:eastAsiaTheme="minorEastAsia"/>
        </w:rPr>
        <w:instrText xml:space="preserve"> REF _Ref120787162 \h </w:instrText>
      </w:r>
      <w:r w:rsidR="007F2DA6">
        <w:rPr>
          <w:rFonts w:eastAsiaTheme="minorEastAsia"/>
        </w:rPr>
      </w:r>
      <w:r w:rsidR="007F2DA6">
        <w:rPr>
          <w:rFonts w:eastAsiaTheme="minorEastAsia"/>
        </w:rPr>
        <w:fldChar w:fldCharType="separate"/>
      </w:r>
      <w:r w:rsidR="00B1072E">
        <w:t>Table </w:t>
      </w:r>
      <w:r w:rsidR="00B1072E">
        <w:rPr>
          <w:noProof/>
        </w:rPr>
        <w:t>1</w:t>
      </w:r>
      <w:r w:rsidR="007F2DA6">
        <w:rPr>
          <w:rFonts w:eastAsiaTheme="minorEastAsia"/>
        </w:rPr>
        <w:fldChar w:fldCharType="end"/>
      </w:r>
      <w:r w:rsidR="007F2DA6">
        <w:rPr>
          <w:rFonts w:eastAsiaTheme="minorEastAsia"/>
        </w:rPr>
        <w:t>.</w:t>
      </w:r>
    </w:p>
    <w:p w14:paraId="42F7C5B6" w14:textId="6B0AFCA5" w:rsidR="002C3BA6" w:rsidRDefault="00273B40" w:rsidP="002C3BA6">
      <w:pPr>
        <w:pStyle w:val="TableFigureheading"/>
        <w:rPr>
          <w:rFonts w:eastAsiaTheme="minorEastAsia"/>
        </w:rPr>
      </w:pPr>
      <w:bookmarkStart w:id="11" w:name="_Ref120787162"/>
      <w:r>
        <w:lastRenderedPageBreak/>
        <w:t>Table </w:t>
      </w:r>
      <w:fldSimple w:instr=" SEQ Table \* ARABIC ">
        <w:r w:rsidR="00B1072E">
          <w:rPr>
            <w:noProof/>
          </w:rPr>
          <w:t>1</w:t>
        </w:r>
      </w:fldSimple>
      <w:bookmarkEnd w:id="11"/>
      <w:r w:rsidR="002C3BA6">
        <w:rPr>
          <w:rFonts w:eastAsiaTheme="minorEastAsia"/>
        </w:rPr>
        <w:t xml:space="preserve">: Impact of registered nurse </w:t>
      </w:r>
      <w:r w:rsidR="007F2DA6">
        <w:rPr>
          <w:rFonts w:eastAsiaTheme="minorEastAsia"/>
        </w:rPr>
        <w:t>time and cost</w:t>
      </w:r>
      <w:r w:rsidR="002C3BA6">
        <w:rPr>
          <w:rFonts w:eastAsiaTheme="minorEastAsia"/>
        </w:rPr>
        <w:t xml:space="preserve"> adjustments on </w:t>
      </w:r>
      <w:r w:rsidR="00EB0933">
        <w:rPr>
          <w:rFonts w:eastAsiaTheme="minorEastAsia"/>
        </w:rPr>
        <w:t>ACFR 2020-21</w:t>
      </w:r>
    </w:p>
    <w:tbl>
      <w:tblPr>
        <w:tblStyle w:val="IHPATable"/>
        <w:tblW w:w="5000" w:type="pct"/>
        <w:tblLook w:val="0020" w:firstRow="1" w:lastRow="0" w:firstColumn="0" w:lastColumn="0" w:noHBand="0" w:noVBand="0"/>
        <w:tblCaption w:val="Table 10"/>
        <w:tblDescription w:val="Ongoing seconded employees 2021"/>
      </w:tblPr>
      <w:tblGrid>
        <w:gridCol w:w="2234"/>
        <w:gridCol w:w="901"/>
        <w:gridCol w:w="1037"/>
        <w:gridCol w:w="1257"/>
        <w:gridCol w:w="1056"/>
        <w:gridCol w:w="1257"/>
        <w:gridCol w:w="1056"/>
        <w:gridCol w:w="943"/>
      </w:tblGrid>
      <w:tr w:rsidR="003C08B7" w:rsidRPr="005F31F5" w14:paraId="1FFCC3A8" w14:textId="2EC9FA84" w:rsidTr="2A087B46">
        <w:trPr>
          <w:cnfStyle w:val="100000000000" w:firstRow="1" w:lastRow="0" w:firstColumn="0" w:lastColumn="0" w:oddVBand="0" w:evenVBand="0" w:oddHBand="0" w:evenHBand="0" w:firstRowFirstColumn="0" w:firstRowLastColumn="0" w:lastRowFirstColumn="0" w:lastRowLastColumn="0"/>
          <w:trHeight w:val="20"/>
        </w:trPr>
        <w:tc>
          <w:tcPr>
            <w:tcW w:w="1147" w:type="pct"/>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3668B66D" w14:textId="77777777" w:rsidR="00EF4278" w:rsidRPr="005F31F5" w:rsidRDefault="00EF4278" w:rsidP="00EF4278">
            <w:pPr>
              <w:keepNext/>
              <w:spacing w:before="120" w:after="120"/>
              <w:jc w:val="center"/>
              <w:rPr>
                <w:rFonts w:cs="Arial"/>
                <w:b/>
                <w:bCs/>
                <w:color w:val="FFFFFF" w:themeColor="background2"/>
                <w:szCs w:val="18"/>
                <w:lang w:val="en-US"/>
              </w:rPr>
            </w:pPr>
          </w:p>
        </w:tc>
        <w:tc>
          <w:tcPr>
            <w:tcW w:w="1640" w:type="pct"/>
            <w:gridSpan w:val="3"/>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443A546A" w14:textId="5B0CA32B" w:rsidR="00EF4278" w:rsidRPr="005F31F5" w:rsidRDefault="00EF4278" w:rsidP="00EF4278">
            <w:pPr>
              <w:keepNext/>
              <w:spacing w:before="120" w:after="120"/>
              <w:jc w:val="center"/>
              <w:rPr>
                <w:rFonts w:cs="Arial"/>
                <w:b/>
                <w:bCs/>
                <w:color w:val="FFFFFF" w:themeColor="background2"/>
                <w:szCs w:val="18"/>
                <w:lang w:val="en-US"/>
              </w:rPr>
            </w:pPr>
            <w:r w:rsidRPr="005F31F5">
              <w:rPr>
                <w:rFonts w:cs="Arial"/>
                <w:b/>
                <w:bCs/>
                <w:color w:val="FFFFFF" w:themeColor="background2"/>
                <w:szCs w:val="18"/>
                <w:lang w:val="en-US"/>
              </w:rPr>
              <w:t>Source</w:t>
            </w:r>
            <w:r>
              <w:rPr>
                <w:rFonts w:cs="Arial"/>
                <w:b/>
                <w:bCs/>
                <w:color w:val="FFFFFF" w:themeColor="background2"/>
                <w:szCs w:val="18"/>
                <w:lang w:val="en-US"/>
              </w:rPr>
              <w:t xml:space="preserve"> data</w:t>
            </w:r>
          </w:p>
        </w:tc>
        <w:tc>
          <w:tcPr>
            <w:tcW w:w="1187" w:type="pct"/>
            <w:gridSpan w:val="2"/>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tcPr>
          <w:p w14:paraId="00E43384" w14:textId="07C1FF6E" w:rsidR="00EF4278" w:rsidRDefault="00EF4278" w:rsidP="00EF427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 xml:space="preserve">After </w:t>
            </w:r>
            <w:r w:rsidR="007F2DA6">
              <w:rPr>
                <w:rFonts w:cs="Arial"/>
                <w:b/>
                <w:bCs/>
                <w:color w:val="FFFFFF" w:themeColor="background2"/>
                <w:szCs w:val="18"/>
                <w:lang w:val="en-US"/>
              </w:rPr>
              <w:t xml:space="preserve">RN </w:t>
            </w:r>
            <w:r>
              <w:rPr>
                <w:rFonts w:cs="Arial"/>
                <w:b/>
                <w:bCs/>
                <w:color w:val="FFFFFF" w:themeColor="background2"/>
                <w:szCs w:val="18"/>
                <w:lang w:val="en-US"/>
              </w:rPr>
              <w:t>adjustment</w:t>
            </w:r>
          </w:p>
        </w:tc>
        <w:tc>
          <w:tcPr>
            <w:tcW w:w="1026" w:type="pct"/>
            <w:gridSpan w:val="2"/>
            <w:tcBorders>
              <w:top w:val="single" w:sz="4" w:space="0" w:color="D9D9D9" w:themeColor="accent6" w:themeShade="D9"/>
              <w:left w:val="single" w:sz="4" w:space="0" w:color="FFFFFF" w:themeColor="accent6"/>
              <w:bottom w:val="single" w:sz="4" w:space="0" w:color="D9D9D9" w:themeColor="accent6" w:themeShade="D9"/>
              <w:right w:val="single" w:sz="4" w:space="0" w:color="FFFFFF" w:themeColor="accent6"/>
            </w:tcBorders>
            <w:shd w:val="clear" w:color="auto" w:fill="15272F" w:themeFill="accent1"/>
          </w:tcPr>
          <w:p w14:paraId="4D98F05F" w14:textId="65769DDD" w:rsidR="00EF4278" w:rsidRDefault="00253DC8" w:rsidP="00EF427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Impact</w:t>
            </w:r>
          </w:p>
        </w:tc>
      </w:tr>
      <w:tr w:rsidR="003C08B7" w:rsidRPr="00C219EA" w14:paraId="064AFFC5" w14:textId="51739D04" w:rsidTr="2A087B46">
        <w:trPr>
          <w:cnfStyle w:val="000000100000" w:firstRow="0" w:lastRow="0" w:firstColumn="0" w:lastColumn="0" w:oddVBand="0" w:evenVBand="0" w:oddHBand="1" w:evenHBand="0" w:firstRowFirstColumn="0" w:firstRowLastColumn="0" w:lastRowFirstColumn="0" w:lastRowLastColumn="0"/>
          <w:trHeight w:val="20"/>
        </w:trPr>
        <w:tc>
          <w:tcPr>
            <w:tcW w:w="1147" w:type="pct"/>
            <w:tcBorders>
              <w:right w:val="single" w:sz="4" w:space="0" w:color="FFFFFF" w:themeColor="accent6"/>
            </w:tcBorders>
            <w:shd w:val="clear" w:color="auto" w:fill="DFEBF1" w:themeFill="accent1" w:themeFillTint="1A"/>
          </w:tcPr>
          <w:p w14:paraId="3EEAC7FE" w14:textId="04039676" w:rsidR="00EF4278" w:rsidRPr="00C219EA" w:rsidRDefault="00EF4278" w:rsidP="00EF4278">
            <w:pPr>
              <w:keepNext/>
              <w:spacing w:before="120" w:after="120"/>
              <w:rPr>
                <w:rFonts w:ascii="Futura PT Book" w:hAnsi="Futura PT Book" w:cs="Futura PT Book"/>
                <w:b/>
                <w:bCs/>
                <w:color w:val="000000"/>
                <w:sz w:val="16"/>
                <w:szCs w:val="16"/>
                <w:lang w:val="en-US"/>
              </w:rPr>
            </w:pPr>
          </w:p>
        </w:tc>
        <w:tc>
          <w:tcPr>
            <w:tcW w:w="462" w:type="pct"/>
            <w:tcBorders>
              <w:right w:val="single" w:sz="4" w:space="0" w:color="FFFFFF" w:themeColor="accent6"/>
            </w:tcBorders>
            <w:shd w:val="clear" w:color="auto" w:fill="DFEBF1" w:themeFill="accent1" w:themeFillTint="1A"/>
            <w:vAlign w:val="center"/>
          </w:tcPr>
          <w:p w14:paraId="7CD5010B" w14:textId="0EDCA0BC" w:rsidR="00EF4278" w:rsidRDefault="00EF4278" w:rsidP="00EF4278">
            <w:pPr>
              <w:keepNext/>
              <w:spacing w:before="120" w:after="120"/>
              <w:jc w:val="center"/>
              <w:rPr>
                <w:b/>
                <w:bCs/>
                <w:color w:val="1C1C1C"/>
                <w:sz w:val="16"/>
                <w:szCs w:val="16"/>
              </w:rPr>
            </w:pPr>
            <w:r>
              <w:rPr>
                <w:b/>
                <w:bCs/>
                <w:color w:val="1C1C1C"/>
                <w:sz w:val="16"/>
                <w:szCs w:val="16"/>
              </w:rPr>
              <w:t>Facilities</w:t>
            </w:r>
          </w:p>
        </w:tc>
        <w:tc>
          <w:tcPr>
            <w:tcW w:w="533" w:type="pct"/>
            <w:shd w:val="clear" w:color="auto" w:fill="DFEBF1" w:themeFill="accent1" w:themeFillTint="1A"/>
            <w:vAlign w:val="center"/>
          </w:tcPr>
          <w:p w14:paraId="09A6F5B8" w14:textId="1843E8AE" w:rsidR="00EF4278" w:rsidRDefault="00EF4278" w:rsidP="00EF4278">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m</w:t>
            </w:r>
            <w:r>
              <w:rPr>
                <w:b/>
                <w:bCs/>
                <w:color w:val="1C1C1C"/>
                <w:sz w:val="16"/>
                <w:szCs w:val="16"/>
              </w:rPr>
              <w:t>in</w:t>
            </w:r>
            <w:r w:rsidR="00253DC8">
              <w:rPr>
                <w:b/>
                <w:bCs/>
                <w:color w:val="1C1C1C"/>
                <w:sz w:val="16"/>
                <w:szCs w:val="16"/>
              </w:rPr>
              <w:t>s</w:t>
            </w:r>
            <w:r>
              <w:rPr>
                <w:b/>
                <w:bCs/>
                <w:color w:val="1C1C1C"/>
                <w:sz w:val="16"/>
                <w:szCs w:val="16"/>
              </w:rPr>
              <w:t xml:space="preserve"> per </w:t>
            </w:r>
            <w:r w:rsidR="00D358EE">
              <w:rPr>
                <w:b/>
                <w:bCs/>
                <w:color w:val="1C1C1C"/>
                <w:sz w:val="16"/>
                <w:szCs w:val="16"/>
              </w:rPr>
              <w:t>OBD</w:t>
            </w:r>
          </w:p>
        </w:tc>
        <w:tc>
          <w:tcPr>
            <w:tcW w:w="645" w:type="pct"/>
            <w:tcBorders>
              <w:right w:val="single" w:sz="4" w:space="0" w:color="FFFFFF" w:themeColor="accent6"/>
            </w:tcBorders>
            <w:shd w:val="clear" w:color="auto" w:fill="DFEBF1" w:themeFill="accent1" w:themeFillTint="1A"/>
            <w:vAlign w:val="center"/>
          </w:tcPr>
          <w:p w14:paraId="652D594D" w14:textId="1360E58A" w:rsidR="00EF4278" w:rsidRDefault="00EF4278" w:rsidP="00EF4278">
            <w:pPr>
              <w:keepNext/>
              <w:spacing w:before="120" w:after="120"/>
              <w:jc w:val="center"/>
              <w:rPr>
                <w:b/>
                <w:bCs/>
                <w:color w:val="1C1C1C"/>
                <w:sz w:val="16"/>
                <w:szCs w:val="16"/>
              </w:rPr>
            </w:pPr>
            <w:r>
              <w:rPr>
                <w:b/>
                <w:bCs/>
                <w:color w:val="1C1C1C"/>
                <w:sz w:val="16"/>
                <w:szCs w:val="16"/>
              </w:rPr>
              <w:t>Total RN cost</w:t>
            </w:r>
          </w:p>
        </w:tc>
        <w:tc>
          <w:tcPr>
            <w:tcW w:w="542" w:type="pct"/>
            <w:tcBorders>
              <w:left w:val="single" w:sz="4" w:space="0" w:color="FFFFFF" w:themeColor="accent6"/>
            </w:tcBorders>
            <w:shd w:val="clear" w:color="auto" w:fill="DFEBF1" w:themeFill="accent1" w:themeFillTint="1A"/>
            <w:vAlign w:val="center"/>
          </w:tcPr>
          <w:p w14:paraId="12960081" w14:textId="00421968" w:rsidR="00EF4278" w:rsidRDefault="00EF4278" w:rsidP="00EF4278">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 xml:space="preserve">mins </w:t>
            </w:r>
            <w:r>
              <w:rPr>
                <w:b/>
                <w:bCs/>
                <w:color w:val="1C1C1C"/>
                <w:sz w:val="16"/>
                <w:szCs w:val="16"/>
              </w:rPr>
              <w:t xml:space="preserve">per </w:t>
            </w:r>
            <w:r w:rsidR="00D358EE">
              <w:rPr>
                <w:b/>
                <w:bCs/>
                <w:color w:val="1C1C1C"/>
                <w:sz w:val="16"/>
                <w:szCs w:val="16"/>
              </w:rPr>
              <w:t>OBD</w:t>
            </w:r>
          </w:p>
        </w:tc>
        <w:tc>
          <w:tcPr>
            <w:tcW w:w="645" w:type="pct"/>
            <w:tcBorders>
              <w:right w:val="single" w:sz="4" w:space="0" w:color="FFFFFF" w:themeColor="accent6"/>
            </w:tcBorders>
            <w:shd w:val="clear" w:color="auto" w:fill="DFEBF1" w:themeFill="accent1" w:themeFillTint="1A"/>
            <w:vAlign w:val="center"/>
          </w:tcPr>
          <w:p w14:paraId="1F9E11EF" w14:textId="78713559" w:rsidR="00EF4278" w:rsidRDefault="00EF4278" w:rsidP="00EF4278">
            <w:pPr>
              <w:keepNext/>
              <w:spacing w:before="120" w:after="120"/>
              <w:jc w:val="center"/>
              <w:rPr>
                <w:b/>
                <w:bCs/>
                <w:color w:val="1C1C1C"/>
                <w:sz w:val="16"/>
                <w:szCs w:val="16"/>
              </w:rPr>
            </w:pPr>
            <w:r>
              <w:rPr>
                <w:b/>
                <w:bCs/>
                <w:color w:val="1C1C1C"/>
                <w:sz w:val="16"/>
                <w:szCs w:val="16"/>
              </w:rPr>
              <w:t>Total RN cost</w:t>
            </w:r>
          </w:p>
        </w:tc>
        <w:tc>
          <w:tcPr>
            <w:tcW w:w="542" w:type="pct"/>
            <w:tcBorders>
              <w:left w:val="single" w:sz="4" w:space="0" w:color="FFFFFF" w:themeColor="accent6"/>
            </w:tcBorders>
            <w:shd w:val="clear" w:color="auto" w:fill="DFEBF1" w:themeFill="accent1" w:themeFillTint="1A"/>
            <w:vAlign w:val="center"/>
          </w:tcPr>
          <w:p w14:paraId="3E1A9BE4" w14:textId="02D5551F" w:rsidR="00EF4278" w:rsidRPr="00C219EA" w:rsidRDefault="00EF4278" w:rsidP="00EF4278">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 xml:space="preserve">mins </w:t>
            </w:r>
            <w:r>
              <w:rPr>
                <w:b/>
                <w:bCs/>
                <w:color w:val="1C1C1C"/>
                <w:sz w:val="16"/>
                <w:szCs w:val="16"/>
              </w:rPr>
              <w:t xml:space="preserve">per </w:t>
            </w:r>
            <w:r w:rsidR="00D358EE">
              <w:rPr>
                <w:b/>
                <w:bCs/>
                <w:color w:val="1C1C1C"/>
                <w:sz w:val="16"/>
                <w:szCs w:val="16"/>
              </w:rPr>
              <w:t>OBD</w:t>
            </w:r>
          </w:p>
        </w:tc>
        <w:tc>
          <w:tcPr>
            <w:tcW w:w="484" w:type="pct"/>
            <w:tcBorders>
              <w:right w:val="single" w:sz="4" w:space="0" w:color="FFFFFF" w:themeColor="accent6"/>
            </w:tcBorders>
            <w:shd w:val="clear" w:color="auto" w:fill="DFEBF1" w:themeFill="accent1" w:themeFillTint="1A"/>
            <w:vAlign w:val="center"/>
          </w:tcPr>
          <w:p w14:paraId="5B5B83EF" w14:textId="28CC9A0F" w:rsidR="00EF4278" w:rsidRDefault="00EF4278" w:rsidP="00EF4278">
            <w:pPr>
              <w:keepNext/>
              <w:spacing w:before="120" w:after="120"/>
              <w:jc w:val="center"/>
              <w:rPr>
                <w:b/>
                <w:bCs/>
                <w:color w:val="1C1C1C"/>
                <w:sz w:val="16"/>
                <w:szCs w:val="16"/>
              </w:rPr>
            </w:pPr>
            <w:r>
              <w:rPr>
                <w:b/>
                <w:bCs/>
                <w:color w:val="1C1C1C"/>
                <w:sz w:val="16"/>
                <w:szCs w:val="16"/>
              </w:rPr>
              <w:t>Total RN cost</w:t>
            </w:r>
          </w:p>
        </w:tc>
      </w:tr>
      <w:tr w:rsidR="00572102" w:rsidRPr="00C219EA" w14:paraId="7FDE4D76" w14:textId="5E4A35BF" w:rsidTr="000D1171">
        <w:trPr>
          <w:cnfStyle w:val="000000010000" w:firstRow="0" w:lastRow="0" w:firstColumn="0" w:lastColumn="0" w:oddVBand="0" w:evenVBand="0" w:oddHBand="0" w:evenHBand="1" w:firstRowFirstColumn="0" w:firstRowLastColumn="0" w:lastRowFirstColumn="0" w:lastRowLastColumn="0"/>
          <w:trHeight w:val="20"/>
        </w:trPr>
        <w:tc>
          <w:tcPr>
            <w:tcW w:w="0" w:type="pct"/>
            <w:tcBorders>
              <w:bottom w:val="single" w:sz="4" w:space="0" w:color="D9D9D9" w:themeColor="accent6" w:themeShade="D9"/>
              <w:right w:val="single" w:sz="4" w:space="0" w:color="FFFFFF" w:themeColor="accent6"/>
            </w:tcBorders>
          </w:tcPr>
          <w:p w14:paraId="0642E4AA" w14:textId="7AC6AC87" w:rsidR="00EF4278" w:rsidRPr="00C219EA" w:rsidRDefault="00EF4278" w:rsidP="00EF4278">
            <w:pPr>
              <w:keepNext/>
              <w:spacing w:before="120" w:after="120"/>
              <w:rPr>
                <w:rFonts w:ascii="Futura PT Book" w:hAnsi="Futura PT Book" w:cs="Futura PT Book"/>
                <w:color w:val="000000"/>
                <w:sz w:val="16"/>
                <w:szCs w:val="16"/>
                <w:lang w:val="en-US"/>
              </w:rPr>
            </w:pPr>
            <w:r>
              <w:rPr>
                <w:color w:val="1C1C1C"/>
                <w:sz w:val="16"/>
                <w:szCs w:val="16"/>
              </w:rPr>
              <w:t>No data</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347FCDF5" w14:textId="2A1889D3" w:rsidR="00EF4278" w:rsidRDefault="00EF4278" w:rsidP="00355EF5">
            <w:pPr>
              <w:keepNext/>
              <w:spacing w:before="120" w:after="120"/>
              <w:jc w:val="right"/>
              <w:rPr>
                <w:color w:val="1C1C1C"/>
                <w:sz w:val="16"/>
                <w:szCs w:val="16"/>
              </w:rPr>
            </w:pPr>
            <w:r>
              <w:rPr>
                <w:color w:val="1C1C1C"/>
                <w:sz w:val="16"/>
                <w:szCs w:val="16"/>
              </w:rPr>
              <w:t>11</w:t>
            </w:r>
          </w:p>
        </w:tc>
        <w:tc>
          <w:tcPr>
            <w:tcW w:w="0" w:type="pct"/>
            <w:tcBorders>
              <w:bottom w:val="single" w:sz="4" w:space="0" w:color="D9D9D9" w:themeColor="accent6" w:themeShade="D9"/>
            </w:tcBorders>
            <w:shd w:val="clear" w:color="auto" w:fill="F2F2F2" w:themeFill="accent6" w:themeFillShade="F2"/>
            <w:vAlign w:val="center"/>
          </w:tcPr>
          <w:p w14:paraId="6C076F33" w14:textId="4D74A0C8" w:rsidR="00EF4278" w:rsidRDefault="00253DC8">
            <w:pPr>
              <w:keepNext/>
              <w:spacing w:before="120" w:after="120"/>
              <w:jc w:val="right"/>
              <w:rPr>
                <w:color w:val="1C1C1C"/>
                <w:sz w:val="16"/>
                <w:szCs w:val="16"/>
              </w:rPr>
            </w:pPr>
            <w:r>
              <w:rPr>
                <w:color w:val="1C1C1C"/>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7441ED76" w14:textId="0E4906CE" w:rsidR="00EF4278" w:rsidRDefault="00253DC8">
            <w:pPr>
              <w:keepNext/>
              <w:spacing w:before="120" w:after="120"/>
              <w:jc w:val="right"/>
              <w:rPr>
                <w:color w:val="1C1C1C"/>
                <w:sz w:val="16"/>
                <w:szCs w:val="16"/>
              </w:rPr>
            </w:pPr>
            <w:r>
              <w:rPr>
                <w:color w:val="1C1C1C"/>
                <w:sz w:val="16"/>
                <w:szCs w:val="16"/>
              </w:rPr>
              <w:t>-</w:t>
            </w:r>
          </w:p>
        </w:tc>
        <w:tc>
          <w:tcPr>
            <w:tcW w:w="0"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260D0593" w14:textId="2296D7C4" w:rsidR="00EF4278" w:rsidRDefault="00253DC8">
            <w:pPr>
              <w:keepNext/>
              <w:spacing w:before="120" w:after="120"/>
              <w:jc w:val="right"/>
              <w:rPr>
                <w:color w:val="1C1C1C"/>
                <w:sz w:val="16"/>
                <w:szCs w:val="16"/>
              </w:rPr>
            </w:pPr>
            <w:r>
              <w:rPr>
                <w:color w:val="1C1C1C"/>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5C9B9C83" w14:textId="0FE04642" w:rsidR="00EF4278" w:rsidRDefault="00253DC8">
            <w:pPr>
              <w:keepNext/>
              <w:spacing w:before="120" w:after="120"/>
              <w:jc w:val="right"/>
              <w:rPr>
                <w:color w:val="1C1C1C"/>
                <w:sz w:val="16"/>
                <w:szCs w:val="16"/>
              </w:rPr>
            </w:pPr>
            <w:r>
              <w:rPr>
                <w:color w:val="1C1C1C"/>
                <w:sz w:val="16"/>
                <w:szCs w:val="16"/>
              </w:rPr>
              <w:t>-</w:t>
            </w:r>
          </w:p>
        </w:tc>
        <w:tc>
          <w:tcPr>
            <w:tcW w:w="0"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099E01F1" w14:textId="29F41377" w:rsidR="00EF4278" w:rsidRPr="00C219EA" w:rsidRDefault="00253DC8">
            <w:pPr>
              <w:keepNext/>
              <w:spacing w:before="120" w:after="120"/>
              <w:jc w:val="right"/>
              <w:rPr>
                <w:color w:val="1C1C1C"/>
                <w:sz w:val="16"/>
                <w:szCs w:val="16"/>
              </w:rPr>
            </w:pPr>
            <w:r>
              <w:rPr>
                <w:color w:val="1C1C1C"/>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5FFCC490" w14:textId="139B8CA2" w:rsidR="00EF4278" w:rsidRPr="00C219EA" w:rsidRDefault="00253DC8">
            <w:pPr>
              <w:keepNext/>
              <w:spacing w:before="120" w:after="120"/>
              <w:jc w:val="right"/>
              <w:rPr>
                <w:color w:val="1C1C1C"/>
                <w:sz w:val="16"/>
                <w:szCs w:val="16"/>
              </w:rPr>
            </w:pPr>
            <w:r>
              <w:rPr>
                <w:color w:val="1C1C1C"/>
                <w:sz w:val="16"/>
                <w:szCs w:val="16"/>
              </w:rPr>
              <w:t>-</w:t>
            </w:r>
          </w:p>
        </w:tc>
      </w:tr>
      <w:tr w:rsidR="00572102" w:rsidRPr="00C219EA" w14:paraId="78A0EDA3" w14:textId="248B6ACB" w:rsidTr="000D1171">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tcPr>
          <w:p w14:paraId="0E4EAA2C" w14:textId="4E2ADE4E" w:rsidR="004F728B" w:rsidRPr="00C219EA" w:rsidRDefault="004F728B" w:rsidP="004F728B">
            <w:pPr>
              <w:keepNext/>
              <w:spacing w:before="120" w:after="120"/>
              <w:rPr>
                <w:rFonts w:ascii="Futura PT Book" w:hAnsi="Futura PT Book" w:cs="Futura PT Book"/>
                <w:color w:val="000000"/>
                <w:sz w:val="16"/>
                <w:szCs w:val="16"/>
                <w:lang w:val="en-US"/>
              </w:rPr>
            </w:pPr>
            <w:r>
              <w:rPr>
                <w:color w:val="1C1C1C"/>
                <w:sz w:val="16"/>
                <w:szCs w:val="16"/>
              </w:rPr>
              <w:t xml:space="preserve">Less than </w:t>
            </w:r>
            <w:r w:rsidR="00E62256">
              <w:rPr>
                <w:color w:val="1C1C1C"/>
                <w:sz w:val="16"/>
                <w:szCs w:val="16"/>
              </w:rPr>
              <w:t xml:space="preserve">RN target </w:t>
            </w:r>
            <w:r>
              <w:rPr>
                <w:color w:val="1C1C1C"/>
                <w:sz w:val="16"/>
                <w:szCs w:val="16"/>
              </w:rPr>
              <w:t xml:space="preserve">min </w:t>
            </w:r>
            <w:r w:rsidR="000D1171">
              <w:rPr>
                <w:color w:val="1C1C1C"/>
                <w:sz w:val="16"/>
                <w:szCs w:val="16"/>
              </w:rPr>
              <w:t>per</w:t>
            </w:r>
            <w:r>
              <w:rPr>
                <w:color w:val="1C1C1C"/>
                <w:sz w:val="16"/>
                <w:szCs w:val="16"/>
              </w:rPr>
              <w:t xml:space="preserve"> </w:t>
            </w:r>
            <w:r w:rsidR="00D358EE">
              <w:rPr>
                <w:color w:val="1C1C1C"/>
                <w:sz w:val="16"/>
                <w:szCs w:val="16"/>
              </w:rPr>
              <w:t>OBD</w:t>
            </w:r>
          </w:p>
        </w:tc>
        <w:tc>
          <w:tcPr>
            <w:tcW w:w="0" w:type="pct"/>
            <w:tcBorders>
              <w:right w:val="single" w:sz="4" w:space="0" w:color="FFFFFF" w:themeColor="accent6"/>
            </w:tcBorders>
            <w:shd w:val="clear" w:color="auto" w:fill="F2F2F2" w:themeFill="accent6" w:themeFillShade="F2"/>
            <w:vAlign w:val="center"/>
          </w:tcPr>
          <w:p w14:paraId="14B3CC4F" w14:textId="208ABFC8" w:rsidR="004F728B" w:rsidRPr="00263B20" w:rsidRDefault="004F728B" w:rsidP="00355EF5">
            <w:pPr>
              <w:keepNext/>
              <w:spacing w:before="120" w:after="120"/>
              <w:jc w:val="right"/>
              <w:rPr>
                <w:color w:val="auto"/>
                <w:sz w:val="16"/>
                <w:szCs w:val="16"/>
              </w:rPr>
            </w:pPr>
            <w:r w:rsidRPr="00263B20">
              <w:rPr>
                <w:color w:val="auto"/>
                <w:sz w:val="16"/>
                <w:szCs w:val="16"/>
              </w:rPr>
              <w:t>1,864</w:t>
            </w:r>
          </w:p>
        </w:tc>
        <w:tc>
          <w:tcPr>
            <w:tcW w:w="0" w:type="pct"/>
            <w:shd w:val="clear" w:color="auto" w:fill="F2F2F2" w:themeFill="accent6" w:themeFillShade="F2"/>
            <w:vAlign w:val="center"/>
          </w:tcPr>
          <w:p w14:paraId="5A87941C" w14:textId="5D9F3F16" w:rsidR="004F728B" w:rsidRPr="00263B20" w:rsidRDefault="004F728B">
            <w:pPr>
              <w:keepNext/>
              <w:spacing w:before="120" w:after="120"/>
              <w:jc w:val="right"/>
              <w:rPr>
                <w:color w:val="auto"/>
                <w:sz w:val="16"/>
                <w:szCs w:val="16"/>
              </w:rPr>
            </w:pPr>
            <w:r w:rsidRPr="00263B20">
              <w:rPr>
                <w:color w:val="auto"/>
                <w:sz w:val="16"/>
                <w:szCs w:val="16"/>
              </w:rPr>
              <w:t>25.</w:t>
            </w:r>
            <w:r w:rsidR="032E4C5C" w:rsidRPr="00263B20">
              <w:rPr>
                <w:color w:val="auto"/>
                <w:sz w:val="16"/>
                <w:szCs w:val="16"/>
              </w:rPr>
              <w:t>8</w:t>
            </w:r>
          </w:p>
        </w:tc>
        <w:tc>
          <w:tcPr>
            <w:tcW w:w="0" w:type="pct"/>
            <w:tcBorders>
              <w:right w:val="single" w:sz="4" w:space="0" w:color="FFFFFF" w:themeColor="accent6"/>
            </w:tcBorders>
            <w:shd w:val="clear" w:color="auto" w:fill="F2F2F2" w:themeFill="accent6" w:themeFillShade="F2"/>
            <w:vAlign w:val="center"/>
          </w:tcPr>
          <w:p w14:paraId="1E49D1E3" w14:textId="6F52893D" w:rsidR="004F728B" w:rsidRPr="00263B20" w:rsidRDefault="004F728B">
            <w:pPr>
              <w:keepNext/>
              <w:spacing w:before="120" w:after="120"/>
              <w:jc w:val="right"/>
              <w:rPr>
                <w:color w:val="auto"/>
                <w:sz w:val="16"/>
                <w:szCs w:val="16"/>
              </w:rPr>
            </w:pPr>
            <w:r w:rsidRPr="00263B20">
              <w:rPr>
                <w:color w:val="auto"/>
                <w:sz w:val="16"/>
                <w:szCs w:val="16"/>
              </w:rPr>
              <w:t>$1,</w:t>
            </w:r>
            <w:r w:rsidR="5377E9F2" w:rsidRPr="00263B20">
              <w:rPr>
                <w:color w:val="auto"/>
                <w:sz w:val="16"/>
                <w:szCs w:val="16"/>
              </w:rPr>
              <w:t>4</w:t>
            </w:r>
            <w:r w:rsidR="212E8ED1" w:rsidRPr="00263B20">
              <w:rPr>
                <w:color w:val="auto"/>
                <w:sz w:val="16"/>
                <w:szCs w:val="16"/>
              </w:rPr>
              <w:t>16</w:t>
            </w:r>
            <w:r w:rsidRPr="00263B20">
              <w:rPr>
                <w:color w:val="auto"/>
                <w:sz w:val="16"/>
                <w:szCs w:val="16"/>
              </w:rPr>
              <w:t>.1m</w:t>
            </w:r>
          </w:p>
        </w:tc>
        <w:tc>
          <w:tcPr>
            <w:tcW w:w="0" w:type="pct"/>
            <w:tcBorders>
              <w:left w:val="single" w:sz="4" w:space="0" w:color="FFFFFF" w:themeColor="accent6"/>
            </w:tcBorders>
            <w:shd w:val="clear" w:color="auto" w:fill="F2F2F2" w:themeFill="accent6" w:themeFillShade="F2"/>
            <w:vAlign w:val="center"/>
          </w:tcPr>
          <w:p w14:paraId="50B1B589" w14:textId="41440649" w:rsidR="004F728B" w:rsidRPr="00263B20" w:rsidRDefault="004F728B">
            <w:pPr>
              <w:keepNext/>
              <w:spacing w:before="120" w:after="120"/>
              <w:jc w:val="right"/>
              <w:rPr>
                <w:color w:val="auto"/>
                <w:sz w:val="16"/>
                <w:szCs w:val="16"/>
              </w:rPr>
            </w:pPr>
            <w:r w:rsidRPr="00263B20">
              <w:rPr>
                <w:color w:val="auto"/>
                <w:sz w:val="16"/>
                <w:szCs w:val="16"/>
              </w:rPr>
              <w:t>39.</w:t>
            </w:r>
            <w:r w:rsidR="4BB26848" w:rsidRPr="00263B20">
              <w:rPr>
                <w:color w:val="auto"/>
                <w:sz w:val="16"/>
                <w:szCs w:val="16"/>
              </w:rPr>
              <w:t>6</w:t>
            </w:r>
          </w:p>
        </w:tc>
        <w:tc>
          <w:tcPr>
            <w:tcW w:w="0" w:type="pct"/>
            <w:tcBorders>
              <w:right w:val="single" w:sz="4" w:space="0" w:color="FFFFFF" w:themeColor="accent6"/>
            </w:tcBorders>
            <w:shd w:val="clear" w:color="auto" w:fill="F2F2F2" w:themeFill="accent6" w:themeFillShade="F2"/>
            <w:vAlign w:val="center"/>
          </w:tcPr>
          <w:p w14:paraId="4C8E2382" w14:textId="69B1E972" w:rsidR="004F728B" w:rsidRPr="00263B20" w:rsidRDefault="5377E9F2">
            <w:pPr>
              <w:keepNext/>
              <w:spacing w:before="120" w:after="120"/>
              <w:jc w:val="right"/>
              <w:rPr>
                <w:color w:val="auto"/>
                <w:sz w:val="16"/>
                <w:szCs w:val="16"/>
              </w:rPr>
            </w:pPr>
            <w:r w:rsidRPr="00263B20">
              <w:rPr>
                <w:color w:val="auto"/>
                <w:sz w:val="16"/>
                <w:szCs w:val="16"/>
              </w:rPr>
              <w:t>$2,1</w:t>
            </w:r>
            <w:r w:rsidR="6DEE0C13" w:rsidRPr="00263B20">
              <w:rPr>
                <w:color w:val="auto"/>
                <w:sz w:val="16"/>
                <w:szCs w:val="16"/>
              </w:rPr>
              <w:t>71</w:t>
            </w:r>
            <w:r w:rsidRPr="00263B20">
              <w:rPr>
                <w:color w:val="auto"/>
                <w:sz w:val="16"/>
                <w:szCs w:val="16"/>
              </w:rPr>
              <w:t>.</w:t>
            </w:r>
            <w:r w:rsidR="14A492F9" w:rsidRPr="00263B20">
              <w:rPr>
                <w:color w:val="auto"/>
                <w:sz w:val="16"/>
                <w:szCs w:val="16"/>
              </w:rPr>
              <w:t>5</w:t>
            </w:r>
            <w:r w:rsidRPr="00263B20">
              <w:rPr>
                <w:color w:val="auto"/>
                <w:sz w:val="16"/>
                <w:szCs w:val="16"/>
              </w:rPr>
              <w:t>m</w:t>
            </w:r>
          </w:p>
        </w:tc>
        <w:tc>
          <w:tcPr>
            <w:tcW w:w="0" w:type="pct"/>
            <w:tcBorders>
              <w:left w:val="single" w:sz="4" w:space="0" w:color="FFFFFF" w:themeColor="accent6"/>
            </w:tcBorders>
            <w:shd w:val="clear" w:color="auto" w:fill="F2F2F2" w:themeFill="accent6" w:themeFillShade="F2"/>
            <w:vAlign w:val="center"/>
          </w:tcPr>
          <w:p w14:paraId="72D041D0" w14:textId="597349B8" w:rsidR="004F728B" w:rsidRPr="00263B20" w:rsidRDefault="004F728B">
            <w:pPr>
              <w:keepNext/>
              <w:spacing w:before="120" w:after="120"/>
              <w:jc w:val="right"/>
              <w:rPr>
                <w:color w:val="auto"/>
                <w:sz w:val="16"/>
                <w:szCs w:val="16"/>
              </w:rPr>
            </w:pPr>
            <w:r w:rsidRPr="00263B20">
              <w:rPr>
                <w:color w:val="auto"/>
                <w:sz w:val="16"/>
                <w:szCs w:val="16"/>
              </w:rPr>
              <w:t>13.</w:t>
            </w:r>
            <w:r w:rsidR="2A3DDCEC" w:rsidRPr="00263B20">
              <w:rPr>
                <w:color w:val="auto"/>
                <w:sz w:val="16"/>
                <w:szCs w:val="16"/>
              </w:rPr>
              <w:t>8</w:t>
            </w:r>
            <w:r w:rsidRPr="00263B20">
              <w:rPr>
                <w:color w:val="auto"/>
                <w:sz w:val="16"/>
                <w:szCs w:val="16"/>
              </w:rPr>
              <w:t>7</w:t>
            </w:r>
          </w:p>
        </w:tc>
        <w:tc>
          <w:tcPr>
            <w:tcW w:w="0" w:type="pct"/>
            <w:tcBorders>
              <w:right w:val="single" w:sz="4" w:space="0" w:color="FFFFFF" w:themeColor="accent6"/>
            </w:tcBorders>
            <w:shd w:val="clear" w:color="auto" w:fill="F2F2F2" w:themeFill="accent6" w:themeFillShade="F2"/>
            <w:vAlign w:val="center"/>
          </w:tcPr>
          <w:p w14:paraId="138CA6D8" w14:textId="77540D9A" w:rsidR="004F728B" w:rsidRPr="00263B20" w:rsidRDefault="004F728B">
            <w:pPr>
              <w:keepNext/>
              <w:spacing w:before="120" w:after="120"/>
              <w:jc w:val="right"/>
              <w:rPr>
                <w:color w:val="auto"/>
                <w:sz w:val="16"/>
                <w:szCs w:val="16"/>
              </w:rPr>
            </w:pPr>
            <w:r w:rsidRPr="00263B20">
              <w:rPr>
                <w:color w:val="auto"/>
                <w:sz w:val="16"/>
                <w:szCs w:val="16"/>
              </w:rPr>
              <w:t>$</w:t>
            </w:r>
            <w:r w:rsidR="5DAA1581" w:rsidRPr="00263B20">
              <w:rPr>
                <w:color w:val="auto"/>
                <w:sz w:val="16"/>
                <w:szCs w:val="16"/>
              </w:rPr>
              <w:t>755</w:t>
            </w:r>
            <w:r w:rsidRPr="00263B20">
              <w:rPr>
                <w:color w:val="auto"/>
                <w:sz w:val="16"/>
                <w:szCs w:val="16"/>
              </w:rPr>
              <w:t>.</w:t>
            </w:r>
            <w:r w:rsidR="1728FF57" w:rsidRPr="00263B20">
              <w:rPr>
                <w:color w:val="auto"/>
                <w:sz w:val="16"/>
                <w:szCs w:val="16"/>
              </w:rPr>
              <w:t>4</w:t>
            </w:r>
            <w:r w:rsidR="3BC9EFC2" w:rsidRPr="00263B20">
              <w:rPr>
                <w:color w:val="auto"/>
                <w:sz w:val="16"/>
                <w:szCs w:val="16"/>
              </w:rPr>
              <w:t>m</w:t>
            </w:r>
          </w:p>
        </w:tc>
      </w:tr>
      <w:tr w:rsidR="00463AC0" w:rsidRPr="00C219EA" w14:paraId="0BC68F09" w14:textId="1B3768EC" w:rsidTr="000D1171">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tcPr>
          <w:p w14:paraId="50C987D7" w14:textId="01FE8542" w:rsidR="004F728B" w:rsidRPr="000D013E" w:rsidRDefault="004F728B" w:rsidP="004F728B">
            <w:pPr>
              <w:keepNext/>
              <w:spacing w:before="120" w:after="120"/>
              <w:rPr>
                <w:rFonts w:cs="Arial"/>
                <w:color w:val="000000"/>
                <w:sz w:val="16"/>
                <w:szCs w:val="16"/>
                <w:lang w:val="en-US"/>
              </w:rPr>
            </w:pPr>
            <w:r>
              <w:rPr>
                <w:rFonts w:cs="Arial"/>
                <w:color w:val="000000"/>
                <w:sz w:val="16"/>
                <w:szCs w:val="16"/>
                <w:lang w:val="en-US"/>
              </w:rPr>
              <w:t xml:space="preserve">At least </w:t>
            </w:r>
            <w:r w:rsidR="00E62256">
              <w:rPr>
                <w:rFonts w:cs="Arial"/>
                <w:color w:val="000000"/>
                <w:sz w:val="16"/>
                <w:szCs w:val="16"/>
                <w:lang w:val="en-US"/>
              </w:rPr>
              <w:t xml:space="preserve">RN target </w:t>
            </w:r>
            <w:r>
              <w:rPr>
                <w:rFonts w:cs="Arial"/>
                <w:color w:val="000000"/>
                <w:sz w:val="16"/>
                <w:szCs w:val="16"/>
                <w:lang w:val="en-US"/>
              </w:rPr>
              <w:t xml:space="preserve">min per </w:t>
            </w:r>
            <w:r w:rsidR="00D358EE">
              <w:rPr>
                <w:rFonts w:cs="Arial"/>
                <w:color w:val="000000"/>
                <w:sz w:val="16"/>
                <w:szCs w:val="16"/>
                <w:lang w:val="en-US"/>
              </w:rPr>
              <w:t>OBD</w:t>
            </w:r>
          </w:p>
        </w:tc>
        <w:tc>
          <w:tcPr>
            <w:tcW w:w="0" w:type="pct"/>
            <w:tcBorders>
              <w:right w:val="single" w:sz="4" w:space="0" w:color="FFFFFF" w:themeColor="accent6"/>
            </w:tcBorders>
            <w:shd w:val="clear" w:color="auto" w:fill="F2F2F2" w:themeFill="accent6" w:themeFillShade="F2"/>
            <w:vAlign w:val="center"/>
          </w:tcPr>
          <w:p w14:paraId="61556C7C" w14:textId="420F5DB0" w:rsidR="004F728B" w:rsidRPr="00263B20" w:rsidRDefault="004F728B" w:rsidP="00355EF5">
            <w:pPr>
              <w:keepNext/>
              <w:spacing w:before="120" w:after="120"/>
              <w:jc w:val="right"/>
              <w:rPr>
                <w:color w:val="auto"/>
                <w:sz w:val="16"/>
                <w:szCs w:val="16"/>
              </w:rPr>
            </w:pPr>
            <w:r w:rsidRPr="00263B20">
              <w:rPr>
                <w:color w:val="auto"/>
                <w:sz w:val="16"/>
                <w:szCs w:val="16"/>
              </w:rPr>
              <w:t>591</w:t>
            </w:r>
          </w:p>
        </w:tc>
        <w:tc>
          <w:tcPr>
            <w:tcW w:w="0" w:type="pct"/>
            <w:shd w:val="clear" w:color="auto" w:fill="F2F2F2" w:themeFill="accent6" w:themeFillShade="F2"/>
            <w:vAlign w:val="center"/>
          </w:tcPr>
          <w:p w14:paraId="7CDD5E5E" w14:textId="1C4AF485" w:rsidR="004F728B" w:rsidRPr="00263B20" w:rsidRDefault="004F728B">
            <w:pPr>
              <w:keepNext/>
              <w:spacing w:before="120" w:after="120"/>
              <w:jc w:val="right"/>
              <w:rPr>
                <w:color w:val="auto"/>
                <w:sz w:val="16"/>
                <w:szCs w:val="16"/>
              </w:rPr>
            </w:pPr>
            <w:r w:rsidRPr="00263B20">
              <w:rPr>
                <w:color w:val="auto"/>
                <w:sz w:val="16"/>
                <w:szCs w:val="16"/>
              </w:rPr>
              <w:t>59.</w:t>
            </w:r>
            <w:r w:rsidR="3D354F58" w:rsidRPr="00263B20">
              <w:rPr>
                <w:color w:val="auto"/>
                <w:sz w:val="16"/>
                <w:szCs w:val="16"/>
              </w:rPr>
              <w:t>8</w:t>
            </w:r>
          </w:p>
        </w:tc>
        <w:tc>
          <w:tcPr>
            <w:tcW w:w="0" w:type="pct"/>
            <w:tcBorders>
              <w:right w:val="single" w:sz="4" w:space="0" w:color="FFFFFF" w:themeColor="accent6"/>
            </w:tcBorders>
            <w:shd w:val="clear" w:color="auto" w:fill="F2F2F2" w:themeFill="accent6" w:themeFillShade="F2"/>
            <w:vAlign w:val="center"/>
          </w:tcPr>
          <w:p w14:paraId="537A4471" w14:textId="54959FFE" w:rsidR="004F728B" w:rsidRPr="00263B20" w:rsidRDefault="004F728B">
            <w:pPr>
              <w:keepNext/>
              <w:spacing w:before="120" w:after="120"/>
              <w:jc w:val="right"/>
              <w:rPr>
                <w:color w:val="auto"/>
                <w:sz w:val="16"/>
                <w:szCs w:val="16"/>
              </w:rPr>
            </w:pPr>
            <w:r w:rsidRPr="00263B20">
              <w:rPr>
                <w:color w:val="auto"/>
                <w:sz w:val="16"/>
                <w:szCs w:val="16"/>
              </w:rPr>
              <w:t>$</w:t>
            </w:r>
            <w:r w:rsidR="5377E9F2" w:rsidRPr="00263B20">
              <w:rPr>
                <w:color w:val="auto"/>
                <w:sz w:val="16"/>
                <w:szCs w:val="16"/>
              </w:rPr>
              <w:t>5</w:t>
            </w:r>
            <w:r w:rsidR="5F623845" w:rsidRPr="00263B20">
              <w:rPr>
                <w:color w:val="auto"/>
                <w:sz w:val="16"/>
                <w:szCs w:val="16"/>
              </w:rPr>
              <w:t>64</w:t>
            </w:r>
            <w:r w:rsidRPr="00263B20">
              <w:rPr>
                <w:color w:val="auto"/>
                <w:sz w:val="16"/>
                <w:szCs w:val="16"/>
              </w:rPr>
              <w:t>.7m</w:t>
            </w:r>
          </w:p>
        </w:tc>
        <w:tc>
          <w:tcPr>
            <w:tcW w:w="0" w:type="pct"/>
            <w:tcBorders>
              <w:left w:val="single" w:sz="4" w:space="0" w:color="FFFFFF" w:themeColor="accent6"/>
            </w:tcBorders>
            <w:shd w:val="clear" w:color="auto" w:fill="F2F2F2" w:themeFill="accent6" w:themeFillShade="F2"/>
            <w:vAlign w:val="center"/>
          </w:tcPr>
          <w:p w14:paraId="252FB24E" w14:textId="029346FF" w:rsidR="004F728B" w:rsidRPr="00263B20" w:rsidRDefault="004F728B">
            <w:pPr>
              <w:keepNext/>
              <w:spacing w:before="120" w:after="120"/>
              <w:jc w:val="right"/>
              <w:rPr>
                <w:color w:val="auto"/>
                <w:sz w:val="16"/>
                <w:szCs w:val="16"/>
              </w:rPr>
            </w:pPr>
            <w:r w:rsidRPr="00263B20">
              <w:rPr>
                <w:color w:val="auto"/>
                <w:sz w:val="16"/>
                <w:szCs w:val="16"/>
              </w:rPr>
              <w:t>59.</w:t>
            </w:r>
            <w:r w:rsidR="661BB6D3" w:rsidRPr="00263B20">
              <w:rPr>
                <w:color w:val="auto"/>
                <w:sz w:val="16"/>
                <w:szCs w:val="16"/>
              </w:rPr>
              <w:t>8</w:t>
            </w:r>
          </w:p>
        </w:tc>
        <w:tc>
          <w:tcPr>
            <w:tcW w:w="0" w:type="pct"/>
            <w:tcBorders>
              <w:right w:val="single" w:sz="4" w:space="0" w:color="FFFFFF" w:themeColor="accent6"/>
            </w:tcBorders>
            <w:shd w:val="clear" w:color="auto" w:fill="F2F2F2" w:themeFill="accent6" w:themeFillShade="F2"/>
            <w:vAlign w:val="center"/>
          </w:tcPr>
          <w:p w14:paraId="31D82B56" w14:textId="046847C8" w:rsidR="004F728B" w:rsidRPr="00263B20" w:rsidRDefault="004F728B">
            <w:pPr>
              <w:keepNext/>
              <w:spacing w:before="120" w:after="120"/>
              <w:jc w:val="right"/>
              <w:rPr>
                <w:color w:val="auto"/>
                <w:sz w:val="16"/>
                <w:szCs w:val="16"/>
              </w:rPr>
            </w:pPr>
            <w:r w:rsidRPr="00263B20">
              <w:rPr>
                <w:color w:val="auto"/>
                <w:sz w:val="16"/>
                <w:szCs w:val="16"/>
              </w:rPr>
              <w:t>$</w:t>
            </w:r>
            <w:r w:rsidR="5377E9F2" w:rsidRPr="00263B20">
              <w:rPr>
                <w:color w:val="auto"/>
                <w:sz w:val="16"/>
                <w:szCs w:val="16"/>
              </w:rPr>
              <w:t>5</w:t>
            </w:r>
            <w:r w:rsidR="1A9822FF" w:rsidRPr="00263B20">
              <w:rPr>
                <w:color w:val="auto"/>
                <w:sz w:val="16"/>
                <w:szCs w:val="16"/>
              </w:rPr>
              <w:t>64.</w:t>
            </w:r>
            <w:r w:rsidRPr="00263B20">
              <w:rPr>
                <w:color w:val="auto"/>
                <w:sz w:val="16"/>
                <w:szCs w:val="16"/>
              </w:rPr>
              <w:t>7m</w:t>
            </w:r>
          </w:p>
        </w:tc>
        <w:tc>
          <w:tcPr>
            <w:tcW w:w="0" w:type="pct"/>
            <w:tcBorders>
              <w:left w:val="single" w:sz="4" w:space="0" w:color="FFFFFF" w:themeColor="accent6"/>
            </w:tcBorders>
            <w:shd w:val="clear" w:color="auto" w:fill="F2F2F2" w:themeFill="accent6" w:themeFillShade="F2"/>
            <w:vAlign w:val="center"/>
          </w:tcPr>
          <w:p w14:paraId="1C60B18D" w14:textId="166CC5D9" w:rsidR="004F728B" w:rsidRPr="00263B20" w:rsidRDefault="004F728B">
            <w:pPr>
              <w:keepNext/>
              <w:spacing w:before="120" w:after="120"/>
              <w:jc w:val="right"/>
              <w:rPr>
                <w:color w:val="auto"/>
                <w:sz w:val="16"/>
                <w:szCs w:val="16"/>
              </w:rPr>
            </w:pPr>
            <w:r w:rsidRPr="00263B20">
              <w:rPr>
                <w:color w:val="auto"/>
                <w:sz w:val="16"/>
                <w:szCs w:val="16"/>
              </w:rPr>
              <w:t>-</w:t>
            </w:r>
          </w:p>
        </w:tc>
        <w:tc>
          <w:tcPr>
            <w:tcW w:w="0" w:type="pct"/>
            <w:tcBorders>
              <w:right w:val="single" w:sz="4" w:space="0" w:color="FFFFFF" w:themeColor="accent6"/>
            </w:tcBorders>
            <w:shd w:val="clear" w:color="auto" w:fill="F2F2F2" w:themeFill="accent6" w:themeFillShade="F2"/>
            <w:vAlign w:val="center"/>
          </w:tcPr>
          <w:p w14:paraId="37C0F5E9" w14:textId="187941A9" w:rsidR="004F728B" w:rsidRPr="00263B20" w:rsidRDefault="004F728B">
            <w:pPr>
              <w:keepNext/>
              <w:spacing w:before="120" w:after="120"/>
              <w:jc w:val="right"/>
              <w:rPr>
                <w:color w:val="auto"/>
                <w:sz w:val="16"/>
                <w:szCs w:val="16"/>
              </w:rPr>
            </w:pPr>
            <w:r w:rsidRPr="00263B20">
              <w:rPr>
                <w:color w:val="auto"/>
                <w:sz w:val="16"/>
                <w:szCs w:val="16"/>
              </w:rPr>
              <w:t>-</w:t>
            </w:r>
          </w:p>
        </w:tc>
      </w:tr>
      <w:tr w:rsidR="00463AC0" w:rsidRPr="00C219EA" w14:paraId="6C74291C" w14:textId="77777777" w:rsidTr="000D1171">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tcPr>
          <w:p w14:paraId="7BBB3EB6" w14:textId="45E17B2F" w:rsidR="00D358EE" w:rsidRPr="00263B20" w:rsidRDefault="00D358EE" w:rsidP="004F728B">
            <w:pPr>
              <w:keepNext/>
              <w:spacing w:before="120" w:after="120"/>
              <w:rPr>
                <w:rFonts w:cs="Arial"/>
                <w:b/>
                <w:bCs/>
                <w:color w:val="000000"/>
                <w:sz w:val="16"/>
                <w:szCs w:val="16"/>
                <w:lang w:val="en-US"/>
              </w:rPr>
            </w:pPr>
            <w:r w:rsidRPr="00263B20">
              <w:rPr>
                <w:rFonts w:cs="Arial"/>
                <w:b/>
                <w:bCs/>
                <w:color w:val="000000"/>
                <w:sz w:val="16"/>
                <w:szCs w:val="16"/>
                <w:lang w:val="en-US"/>
              </w:rPr>
              <w:t>Total</w:t>
            </w:r>
          </w:p>
        </w:tc>
        <w:tc>
          <w:tcPr>
            <w:tcW w:w="0" w:type="pct"/>
            <w:tcBorders>
              <w:right w:val="single" w:sz="4" w:space="0" w:color="FFFFFF" w:themeColor="accent6"/>
            </w:tcBorders>
            <w:shd w:val="clear" w:color="auto" w:fill="DFEBF1" w:themeFill="accent1" w:themeFillTint="1A"/>
            <w:vAlign w:val="center"/>
          </w:tcPr>
          <w:p w14:paraId="5961D888" w14:textId="34AFC37E" w:rsidR="00D358EE" w:rsidRPr="00263B20" w:rsidRDefault="4EF1356F" w:rsidP="00355EF5">
            <w:pPr>
              <w:keepNext/>
              <w:spacing w:before="120" w:after="120"/>
              <w:jc w:val="right"/>
              <w:rPr>
                <w:color w:val="auto"/>
                <w:sz w:val="16"/>
                <w:szCs w:val="16"/>
              </w:rPr>
            </w:pPr>
            <w:r w:rsidRPr="00263B20">
              <w:rPr>
                <w:color w:val="auto"/>
                <w:sz w:val="16"/>
                <w:szCs w:val="16"/>
              </w:rPr>
              <w:t>2,466</w:t>
            </w:r>
          </w:p>
        </w:tc>
        <w:tc>
          <w:tcPr>
            <w:tcW w:w="0" w:type="pct"/>
            <w:shd w:val="clear" w:color="auto" w:fill="DFEBF1" w:themeFill="accent1" w:themeFillTint="1A"/>
            <w:vAlign w:val="center"/>
          </w:tcPr>
          <w:p w14:paraId="19BCC289" w14:textId="29BD8179" w:rsidR="00D358EE" w:rsidRPr="00263B20" w:rsidRDefault="0AEE9BD7">
            <w:pPr>
              <w:keepNext/>
              <w:spacing w:before="120" w:after="120"/>
              <w:jc w:val="right"/>
              <w:rPr>
                <w:color w:val="auto"/>
                <w:sz w:val="16"/>
                <w:szCs w:val="16"/>
              </w:rPr>
            </w:pPr>
            <w:r w:rsidRPr="00263B20">
              <w:rPr>
                <w:color w:val="auto"/>
                <w:sz w:val="16"/>
                <w:szCs w:val="16"/>
              </w:rPr>
              <w:t>33.7</w:t>
            </w:r>
          </w:p>
        </w:tc>
        <w:tc>
          <w:tcPr>
            <w:tcW w:w="0" w:type="pct"/>
            <w:tcBorders>
              <w:right w:val="single" w:sz="4" w:space="0" w:color="FFFFFF" w:themeColor="accent6"/>
            </w:tcBorders>
            <w:shd w:val="clear" w:color="auto" w:fill="DFEBF1" w:themeFill="accent1" w:themeFillTint="1A"/>
            <w:vAlign w:val="center"/>
          </w:tcPr>
          <w:p w14:paraId="797FAF2C" w14:textId="667639F1" w:rsidR="00D358EE" w:rsidRPr="00263B20" w:rsidRDefault="0AEE9BD7">
            <w:pPr>
              <w:keepNext/>
              <w:spacing w:before="120" w:after="120"/>
              <w:jc w:val="right"/>
              <w:rPr>
                <w:color w:val="auto"/>
                <w:sz w:val="16"/>
                <w:szCs w:val="16"/>
              </w:rPr>
            </w:pPr>
            <w:r w:rsidRPr="00263B20">
              <w:rPr>
                <w:color w:val="auto"/>
                <w:sz w:val="16"/>
                <w:szCs w:val="16"/>
              </w:rPr>
              <w:t>$1,980.7</w:t>
            </w:r>
          </w:p>
        </w:tc>
        <w:tc>
          <w:tcPr>
            <w:tcW w:w="0" w:type="pct"/>
            <w:tcBorders>
              <w:left w:val="single" w:sz="4" w:space="0" w:color="FFFFFF" w:themeColor="accent6"/>
            </w:tcBorders>
            <w:shd w:val="clear" w:color="auto" w:fill="DFEBF1" w:themeFill="accent1" w:themeFillTint="1A"/>
            <w:vAlign w:val="center"/>
          </w:tcPr>
          <w:p w14:paraId="32702E09" w14:textId="171EE3F7" w:rsidR="00D358EE" w:rsidRPr="00263B20" w:rsidRDefault="14B8688A">
            <w:pPr>
              <w:keepNext/>
              <w:spacing w:before="120" w:after="120"/>
              <w:jc w:val="right"/>
              <w:rPr>
                <w:color w:val="auto"/>
                <w:sz w:val="16"/>
                <w:szCs w:val="16"/>
              </w:rPr>
            </w:pPr>
            <w:r w:rsidRPr="00263B20">
              <w:rPr>
                <w:color w:val="auto"/>
                <w:sz w:val="16"/>
                <w:szCs w:val="16"/>
              </w:rPr>
              <w:t>44.2</w:t>
            </w:r>
          </w:p>
        </w:tc>
        <w:tc>
          <w:tcPr>
            <w:tcW w:w="0" w:type="pct"/>
            <w:tcBorders>
              <w:right w:val="single" w:sz="4" w:space="0" w:color="FFFFFF" w:themeColor="accent6"/>
            </w:tcBorders>
            <w:shd w:val="clear" w:color="auto" w:fill="DFEBF1" w:themeFill="accent1" w:themeFillTint="1A"/>
            <w:vAlign w:val="center"/>
          </w:tcPr>
          <w:p w14:paraId="14A2DD46" w14:textId="26A9D964" w:rsidR="00D358EE" w:rsidRPr="00263B20" w:rsidRDefault="14B8688A">
            <w:pPr>
              <w:keepNext/>
              <w:spacing w:before="120" w:after="120"/>
              <w:jc w:val="right"/>
              <w:rPr>
                <w:color w:val="auto"/>
                <w:sz w:val="16"/>
                <w:szCs w:val="16"/>
              </w:rPr>
            </w:pPr>
            <w:r w:rsidRPr="00263B20">
              <w:rPr>
                <w:color w:val="auto"/>
                <w:sz w:val="16"/>
                <w:szCs w:val="16"/>
              </w:rPr>
              <w:t>$2,736.2m</w:t>
            </w:r>
          </w:p>
        </w:tc>
        <w:tc>
          <w:tcPr>
            <w:tcW w:w="0" w:type="pct"/>
            <w:tcBorders>
              <w:left w:val="single" w:sz="4" w:space="0" w:color="FFFFFF" w:themeColor="accent6"/>
            </w:tcBorders>
            <w:shd w:val="clear" w:color="auto" w:fill="DFEBF1" w:themeFill="accent1" w:themeFillTint="1A"/>
            <w:vAlign w:val="center"/>
          </w:tcPr>
          <w:p w14:paraId="470F7D47" w14:textId="04CD6E57" w:rsidR="00D358EE" w:rsidRPr="00263B20" w:rsidRDefault="4EF1356F">
            <w:pPr>
              <w:keepNext/>
              <w:spacing w:before="120" w:after="120"/>
              <w:jc w:val="right"/>
              <w:rPr>
                <w:color w:val="auto"/>
                <w:sz w:val="16"/>
                <w:szCs w:val="16"/>
              </w:rPr>
            </w:pPr>
            <w:r w:rsidRPr="00263B20">
              <w:rPr>
                <w:color w:val="auto"/>
                <w:sz w:val="16"/>
                <w:szCs w:val="16"/>
              </w:rPr>
              <w:t>13.87</w:t>
            </w:r>
          </w:p>
        </w:tc>
        <w:tc>
          <w:tcPr>
            <w:tcW w:w="0" w:type="pct"/>
            <w:tcBorders>
              <w:right w:val="single" w:sz="4" w:space="0" w:color="FFFFFF" w:themeColor="accent6"/>
            </w:tcBorders>
            <w:shd w:val="clear" w:color="auto" w:fill="DFEBF1" w:themeFill="accent1" w:themeFillTint="1A"/>
            <w:vAlign w:val="center"/>
          </w:tcPr>
          <w:p w14:paraId="3845E522" w14:textId="5343EF45" w:rsidR="00D358EE" w:rsidRPr="00263B20" w:rsidRDefault="3F8AC2F7">
            <w:pPr>
              <w:keepNext/>
              <w:spacing w:before="120" w:after="120"/>
              <w:jc w:val="right"/>
              <w:rPr>
                <w:color w:val="auto"/>
                <w:sz w:val="16"/>
                <w:szCs w:val="16"/>
              </w:rPr>
            </w:pPr>
            <w:r w:rsidRPr="00263B20">
              <w:rPr>
                <w:color w:val="auto"/>
                <w:sz w:val="16"/>
                <w:szCs w:val="16"/>
              </w:rPr>
              <w:t>$755.4m</w:t>
            </w:r>
          </w:p>
        </w:tc>
      </w:tr>
    </w:tbl>
    <w:p w14:paraId="59B1A9D7" w14:textId="77777777" w:rsidR="007F2DA6" w:rsidRDefault="007F2DA6" w:rsidP="000921CD">
      <w:pPr>
        <w:rPr>
          <w:rFonts w:eastAsiaTheme="minorEastAsia"/>
        </w:rPr>
      </w:pPr>
    </w:p>
    <w:p w14:paraId="7E4C51AC" w14:textId="0EFEA2A1" w:rsidR="009D031C" w:rsidRDefault="00E76189" w:rsidP="000921CD">
      <w:pPr>
        <w:rPr>
          <w:rFonts w:eastAsiaTheme="minorEastAsia"/>
        </w:rPr>
      </w:pPr>
      <w:r>
        <w:rPr>
          <w:rFonts w:eastAsiaTheme="minorEastAsia"/>
        </w:rPr>
        <w:t>T</w:t>
      </w:r>
      <w:r w:rsidR="009D031C">
        <w:rPr>
          <w:rFonts w:eastAsiaTheme="minorEastAsia"/>
        </w:rPr>
        <w:t xml:space="preserve">he increase in residual care minutes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oMath>
      <w:r w:rsidR="009D031C">
        <w:rPr>
          <w:rFonts w:eastAsiaTheme="minorEastAsia"/>
        </w:rPr>
        <w:t xml:space="preserve"> </w:t>
      </w:r>
      <w:r>
        <w:rPr>
          <w:rFonts w:eastAsiaTheme="minorEastAsia"/>
        </w:rPr>
        <w:t xml:space="preserve">can </w:t>
      </w:r>
      <w:r w:rsidR="00243C85">
        <w:rPr>
          <w:rFonts w:eastAsiaTheme="minorEastAsia"/>
        </w:rPr>
        <w:t xml:space="preserve">then </w:t>
      </w:r>
      <w:r>
        <w:rPr>
          <w:rFonts w:eastAsiaTheme="minorEastAsia"/>
        </w:rPr>
        <w:t>be calculated as</w:t>
      </w:r>
    </w:p>
    <w:p w14:paraId="47187EB3" w14:textId="33860600" w:rsidR="00145AD0" w:rsidRPr="006A3D24" w:rsidRDefault="00F03EC5" w:rsidP="000921C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d>
                <m:dPr>
                  <m:ctrlPr>
                    <w:rPr>
                      <w:rFonts w:ascii="Cambria Math" w:eastAsiaTheme="minorEastAsia" w:hAnsi="Cambria Math"/>
                      <w:i/>
                    </w:rPr>
                  </m:ctrlPr>
                </m:dPr>
                <m:e>
                  <m:r>
                    <w:rPr>
                      <w:rFonts w:ascii="Cambria Math" w:eastAsiaTheme="minorEastAsia" w:hAnsi="Cambria Math"/>
                    </w:rPr>
                    <m:t xml:space="preserve">1, </m:t>
                  </m:r>
                  <m:f>
                    <m:fPr>
                      <m:ctrlPr>
                        <w:rPr>
                          <w:rFonts w:ascii="Cambria Math" w:eastAsiaTheme="minorEastAsia"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den>
                  </m:f>
                </m:e>
              </m:d>
            </m:e>
          </m:func>
          <m:r>
            <w:rPr>
              <w:rFonts w:ascii="Cambria Math" w:eastAsiaTheme="minorEastAsia" w:hAnsi="Cambria Math"/>
            </w:rPr>
            <m:t>.</m:t>
          </m:r>
        </m:oMath>
      </m:oMathPara>
    </w:p>
    <w:p w14:paraId="1EA62B55" w14:textId="37A1088B" w:rsidR="007A531F" w:rsidRDefault="005043BB" w:rsidP="000921CD">
      <w:pPr>
        <w:rPr>
          <w:rFonts w:eastAsiaTheme="minorEastAsia"/>
        </w:rPr>
      </w:pPr>
      <w:r>
        <w:rPr>
          <w:rFonts w:eastAsiaTheme="minorEastAsia"/>
        </w:rPr>
        <w:t xml:space="preserve">Note that if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oMath>
      <w:r w:rsidR="001B250E">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=1</m:t>
        </m:r>
      </m:oMath>
      <w:r w:rsidR="009D05B9">
        <w:rPr>
          <w:rFonts w:eastAsiaTheme="minorEastAsia"/>
        </w:rPr>
        <w:t>.</w:t>
      </w:r>
      <w:r w:rsidR="001B250E">
        <w:rPr>
          <w:rFonts w:eastAsiaTheme="minorEastAsia"/>
        </w:rPr>
        <w:t xml:space="preserve"> </w:t>
      </w:r>
      <w:r w:rsidR="00DB35B2">
        <w:rPr>
          <w:rFonts w:eastAsiaTheme="minorEastAsia"/>
        </w:rPr>
        <w:t>Now</w:t>
      </w:r>
      <w:r w:rsidR="00CA4AD5">
        <w:rPr>
          <w:rFonts w:eastAsiaTheme="minorEastAsia"/>
        </w:rPr>
        <w:t xml:space="preserve"> the imputed total </w:t>
      </w:r>
      <w:r w:rsidR="00CF6015">
        <w:rPr>
          <w:rFonts w:eastAsiaTheme="minorEastAsia"/>
        </w:rPr>
        <w:t xml:space="preserve">direct </w:t>
      </w:r>
      <w:r w:rsidR="00CA4AD5">
        <w:rPr>
          <w:rFonts w:eastAsiaTheme="minorEastAsia"/>
        </w:rPr>
        <w:t>care minutes per day</w:t>
      </w:r>
      <w:r w:rsidR="00520BDF">
        <w:rPr>
          <w:rFonts w:eastAsiaTheme="minorEastAsia"/>
        </w:rPr>
        <w:t xml:space="preserve"> </w:t>
      </w:r>
      <w:r w:rsidR="007A531F">
        <w:rPr>
          <w:rFonts w:eastAsiaTheme="minorEastAsia"/>
        </w:rPr>
        <w:t xml:space="preserve">can be defined by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sub>
        </m:sSub>
      </m:oMath>
      <w:r w:rsidR="00BF2FFA">
        <w:rPr>
          <w:rFonts w:eastAsiaTheme="minorEastAsia"/>
        </w:rPr>
        <w:t>, which satisfies</w:t>
      </w:r>
    </w:p>
    <w:p w14:paraId="6D5245AE" w14:textId="7C4AEC63" w:rsidR="00CE070D" w:rsidRDefault="00F03EC5" w:rsidP="3224595A">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sty m:val="p"/>
            </m:rPr>
            <w:rPr>
              <w:rFonts w:eastAsiaTheme="minorEastAsia"/>
            </w:rPr>
            <w:br/>
          </m:r>
        </m:oMath>
        <m:oMath>
          <m:r>
            <m:rPr>
              <m:aln/>
            </m:rP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2"/>
                        <m:mcJc m:val="left"/>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e>
                  <m:e>
                    <m:r>
                      <m:rPr>
                        <m:nor/>
                      </m:rPr>
                      <w:rPr>
                        <w:rFonts w:ascii="Cambria Math" w:eastAsiaTheme="minorEastAsia" w:hAnsi="Cambria Math"/>
                      </w:rPr>
                      <m:t>if</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m:rPr>
                        <m:nor/>
                      </m:rPr>
                      <w:rPr>
                        <w:rFonts w:ascii="Cambria Math" w:eastAsiaTheme="minorEastAsia" w:hAnsi="Cambria Math"/>
                      </w:rPr>
                      <m:t>,</m:t>
                    </m:r>
                  </m:e>
                </m:mr>
                <m:mr>
                  <m:e>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e>
                  <m:e>
                    <m:r>
                      <m:rPr>
                        <m:nor/>
                      </m:rPr>
                      <w:rPr>
                        <w:rFonts w:ascii="Cambria Math" w:eastAsiaTheme="minorEastAsia" w:hAnsi="Cambria Math"/>
                      </w:rPr>
                      <m:t>otherwise.</m:t>
                    </m:r>
                  </m:e>
                </m:mr>
              </m:m>
              <m:r>
                <w:rPr>
                  <w:rFonts w:ascii="Cambria Math" w:eastAsiaTheme="minorEastAsia" w:hAnsi="Cambria Math"/>
                </w:rPr>
                <m:t xml:space="preserve"> </m:t>
              </m:r>
            </m:e>
          </m:d>
        </m:oMath>
      </m:oMathPara>
    </w:p>
    <w:p w14:paraId="2C29FBD4" w14:textId="268964A6" w:rsidR="006A3D24" w:rsidRDefault="00243C85" w:rsidP="000921CD">
      <w:pPr>
        <w:rPr>
          <w:rFonts w:eastAsiaTheme="minorEastAsia"/>
        </w:rPr>
      </w:pPr>
      <w:r>
        <w:rPr>
          <w:rFonts w:eastAsiaTheme="minorEastAsia"/>
        </w:rPr>
        <w:t>Similarly,</w:t>
      </w:r>
      <w:r w:rsidR="00055D01">
        <w:rPr>
          <w:rFonts w:eastAsiaTheme="minorEastAsia"/>
        </w:rPr>
        <w:t xml:space="preserve"> the imputed</w:t>
      </w:r>
      <w:r w:rsidR="00520BDF">
        <w:rPr>
          <w:rFonts w:eastAsiaTheme="minorEastAsia"/>
        </w:rPr>
        <w:t xml:space="preserve"> </w:t>
      </w:r>
      <w:r w:rsidR="00353BB8">
        <w:rPr>
          <w:rFonts w:eastAsiaTheme="minorEastAsia"/>
        </w:rPr>
        <w:t xml:space="preserve">total </w:t>
      </w:r>
      <w:r w:rsidR="00CF6015">
        <w:rPr>
          <w:rFonts w:eastAsiaTheme="minorEastAsia"/>
        </w:rPr>
        <w:t xml:space="preserve">direct care labour </w:t>
      </w:r>
      <w:r w:rsidR="00353BB8">
        <w:rPr>
          <w:rFonts w:eastAsiaTheme="minorEastAsia"/>
        </w:rPr>
        <w:t xml:space="preserve">cost is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L</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oMath>
      <w:r w:rsidR="009C315B">
        <w:rPr>
          <w:rFonts w:eastAsiaTheme="minorEastAsia"/>
        </w:rPr>
        <w:t>.</w:t>
      </w:r>
      <w:r w:rsidR="007F2DA6">
        <w:rPr>
          <w:rFonts w:eastAsiaTheme="minorEastAsia"/>
        </w:rPr>
        <w:t xml:space="preserve"> The impact of this adjustment to direct care time and costs is shown in </w:t>
      </w:r>
      <w:r w:rsidR="007F2DA6">
        <w:rPr>
          <w:rFonts w:eastAsiaTheme="minorEastAsia"/>
        </w:rPr>
        <w:fldChar w:fldCharType="begin"/>
      </w:r>
      <w:r w:rsidR="007F2DA6">
        <w:rPr>
          <w:rFonts w:eastAsiaTheme="minorEastAsia"/>
        </w:rPr>
        <w:instrText xml:space="preserve"> REF _Ref120787234 \h </w:instrText>
      </w:r>
      <w:r w:rsidR="007F2DA6">
        <w:rPr>
          <w:rFonts w:eastAsiaTheme="minorEastAsia"/>
        </w:rPr>
      </w:r>
      <w:r w:rsidR="007F2DA6">
        <w:rPr>
          <w:rFonts w:eastAsiaTheme="minorEastAsia"/>
        </w:rPr>
        <w:fldChar w:fldCharType="separate"/>
      </w:r>
      <w:r w:rsidR="00B1072E">
        <w:t>Table </w:t>
      </w:r>
      <w:r w:rsidR="00B1072E">
        <w:rPr>
          <w:noProof/>
        </w:rPr>
        <w:t>2</w:t>
      </w:r>
      <w:r w:rsidR="007F2DA6">
        <w:rPr>
          <w:rFonts w:eastAsiaTheme="minorEastAsia"/>
        </w:rPr>
        <w:fldChar w:fldCharType="end"/>
      </w:r>
    </w:p>
    <w:p w14:paraId="5160B840" w14:textId="3BF07A2A" w:rsidR="007F2DA6" w:rsidRDefault="00273B40" w:rsidP="007F2DA6">
      <w:pPr>
        <w:pStyle w:val="TableFigureheading"/>
        <w:rPr>
          <w:rFonts w:eastAsiaTheme="minorEastAsia"/>
        </w:rPr>
      </w:pPr>
      <w:bookmarkStart w:id="12" w:name="_Ref120787234"/>
      <w:r>
        <w:t>Table </w:t>
      </w:r>
      <w:fldSimple w:instr=" SEQ Table \* ARABIC ">
        <w:r w:rsidR="00B1072E">
          <w:rPr>
            <w:noProof/>
          </w:rPr>
          <w:t>2</w:t>
        </w:r>
      </w:fldSimple>
      <w:bookmarkEnd w:id="12"/>
      <w:r w:rsidR="007F2DA6">
        <w:rPr>
          <w:rFonts w:eastAsiaTheme="minorEastAsia"/>
        </w:rPr>
        <w:t xml:space="preserve">: Impact of </w:t>
      </w:r>
      <w:r w:rsidR="00284F17">
        <w:rPr>
          <w:rFonts w:eastAsiaTheme="minorEastAsia"/>
        </w:rPr>
        <w:t xml:space="preserve">residual </w:t>
      </w:r>
      <w:r w:rsidR="007F2DA6">
        <w:rPr>
          <w:rFonts w:eastAsiaTheme="minorEastAsia"/>
        </w:rPr>
        <w:t xml:space="preserve">direct care time and cost adjustments on </w:t>
      </w:r>
      <w:r w:rsidR="00EB0933">
        <w:rPr>
          <w:rFonts w:eastAsiaTheme="minorEastAsia"/>
        </w:rPr>
        <w:t>ACFR 2020-21</w:t>
      </w:r>
    </w:p>
    <w:tbl>
      <w:tblPr>
        <w:tblStyle w:val="IHPATable"/>
        <w:tblW w:w="5000" w:type="pct"/>
        <w:tblLook w:val="0020" w:firstRow="1" w:lastRow="0" w:firstColumn="0" w:lastColumn="0" w:noHBand="0" w:noVBand="0"/>
        <w:tblCaption w:val="Table 10"/>
        <w:tblDescription w:val="Ongoing seconded employees 2021"/>
      </w:tblPr>
      <w:tblGrid>
        <w:gridCol w:w="599"/>
        <w:gridCol w:w="617"/>
        <w:gridCol w:w="2129"/>
        <w:gridCol w:w="901"/>
        <w:gridCol w:w="902"/>
        <w:gridCol w:w="1037"/>
        <w:gridCol w:w="973"/>
        <w:gridCol w:w="973"/>
        <w:gridCol w:w="771"/>
        <w:gridCol w:w="839"/>
      </w:tblGrid>
      <w:tr w:rsidR="0081203C" w:rsidRPr="005F31F5" w14:paraId="77CF84C2" w14:textId="77777777" w:rsidTr="6E29BB50">
        <w:trPr>
          <w:cnfStyle w:val="100000000000" w:firstRow="1" w:lastRow="0" w:firstColumn="0" w:lastColumn="0" w:oddVBand="0" w:evenVBand="0" w:oddHBand="0" w:evenHBand="0" w:firstRowFirstColumn="0" w:firstRowLastColumn="0" w:lastRowFirstColumn="0" w:lastRowLastColumn="0"/>
          <w:trHeight w:val="20"/>
        </w:trPr>
        <w:tc>
          <w:tcPr>
            <w:tcW w:w="1206" w:type="pct"/>
            <w:gridSpan w:val="3"/>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06894BCA" w14:textId="77777777" w:rsidR="007F2DA6" w:rsidRPr="005F31F5" w:rsidRDefault="007F2DA6" w:rsidP="008E51B8">
            <w:pPr>
              <w:keepNext/>
              <w:spacing w:before="120" w:after="120"/>
              <w:jc w:val="center"/>
              <w:rPr>
                <w:rFonts w:cs="Arial"/>
                <w:b/>
                <w:bCs/>
                <w:color w:val="FFFFFF" w:themeColor="background2"/>
                <w:szCs w:val="18"/>
                <w:lang w:val="en-US"/>
              </w:rPr>
            </w:pPr>
          </w:p>
        </w:tc>
        <w:tc>
          <w:tcPr>
            <w:tcW w:w="1683" w:type="pct"/>
            <w:gridSpan w:val="3"/>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5C2D445F" w14:textId="40A3377C" w:rsidR="007F2DA6" w:rsidRPr="005F31F5" w:rsidRDefault="00C13A2B"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After RN adjustment</w:t>
            </w:r>
          </w:p>
        </w:tc>
        <w:tc>
          <w:tcPr>
            <w:tcW w:w="1055" w:type="pct"/>
            <w:gridSpan w:val="2"/>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4FA4CEFF" w14:textId="0294C95B" w:rsidR="007F2DA6" w:rsidRDefault="007F2DA6"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 xml:space="preserve">After </w:t>
            </w:r>
            <w:r w:rsidR="00891CC7">
              <w:rPr>
                <w:rFonts w:cs="Arial"/>
                <w:b/>
                <w:bCs/>
                <w:color w:val="FFFFFF" w:themeColor="background2"/>
                <w:szCs w:val="18"/>
                <w:lang w:val="en-US"/>
              </w:rPr>
              <w:t>care</w:t>
            </w:r>
            <w:r w:rsidR="008E51B8">
              <w:rPr>
                <w:rFonts w:cs="Arial"/>
                <w:b/>
                <w:bCs/>
                <w:color w:val="FFFFFF" w:themeColor="background2"/>
                <w:szCs w:val="18"/>
                <w:lang w:val="en-US"/>
              </w:rPr>
              <w:t xml:space="preserve"> labour</w:t>
            </w:r>
            <w:r w:rsidR="00C13A2B">
              <w:rPr>
                <w:rFonts w:cs="Arial"/>
                <w:b/>
                <w:bCs/>
                <w:color w:val="FFFFFF" w:themeColor="background2"/>
                <w:szCs w:val="18"/>
                <w:lang w:val="en-US"/>
              </w:rPr>
              <w:t xml:space="preserve"> </w:t>
            </w:r>
            <w:r>
              <w:rPr>
                <w:rFonts w:cs="Arial"/>
                <w:b/>
                <w:bCs/>
                <w:color w:val="FFFFFF" w:themeColor="background2"/>
                <w:szCs w:val="18"/>
                <w:lang w:val="en-US"/>
              </w:rPr>
              <w:t>adjustment</w:t>
            </w:r>
          </w:p>
        </w:tc>
        <w:tc>
          <w:tcPr>
            <w:tcW w:w="1055" w:type="pct"/>
            <w:gridSpan w:val="2"/>
            <w:tcBorders>
              <w:top w:val="single" w:sz="4" w:space="0" w:color="D9D9D9" w:themeColor="accent6" w:themeShade="D9"/>
              <w:left w:val="single" w:sz="4" w:space="0" w:color="FFFFFF" w:themeColor="accent6"/>
              <w:bottom w:val="single" w:sz="4" w:space="0" w:color="D9D9D9" w:themeColor="accent6" w:themeShade="D9"/>
              <w:right w:val="single" w:sz="4" w:space="0" w:color="FFFFFF" w:themeColor="accent6"/>
            </w:tcBorders>
            <w:shd w:val="clear" w:color="auto" w:fill="15272F" w:themeFill="accent1"/>
            <w:vAlign w:val="center"/>
          </w:tcPr>
          <w:p w14:paraId="00A5E85A" w14:textId="77777777" w:rsidR="007F2DA6" w:rsidRDefault="007F2DA6"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Impact</w:t>
            </w:r>
          </w:p>
        </w:tc>
      </w:tr>
      <w:tr w:rsidR="00167130" w:rsidRPr="00C219EA" w14:paraId="5617C523" w14:textId="77777777" w:rsidTr="6E29BB50">
        <w:trPr>
          <w:cnfStyle w:val="000000100000" w:firstRow="0" w:lastRow="0" w:firstColumn="0" w:lastColumn="0" w:oddVBand="0" w:evenVBand="0" w:oddHBand="1" w:evenHBand="0" w:firstRowFirstColumn="0" w:firstRowLastColumn="0" w:lastRowFirstColumn="0" w:lastRowLastColumn="0"/>
          <w:trHeight w:val="20"/>
        </w:trPr>
        <w:tc>
          <w:tcPr>
            <w:tcW w:w="1206" w:type="pct"/>
            <w:gridSpan w:val="3"/>
            <w:tcBorders>
              <w:right w:val="single" w:sz="4" w:space="0" w:color="FFFFFF" w:themeColor="accent6"/>
            </w:tcBorders>
            <w:shd w:val="clear" w:color="auto" w:fill="DFEBF1" w:themeFill="accent1" w:themeFillTint="1A"/>
          </w:tcPr>
          <w:p w14:paraId="6F24EBEE" w14:textId="77777777" w:rsidR="008E51B8" w:rsidRPr="00C219EA" w:rsidRDefault="008E51B8" w:rsidP="008E51B8">
            <w:pPr>
              <w:keepNext/>
              <w:spacing w:before="120" w:after="120"/>
              <w:rPr>
                <w:rFonts w:ascii="Futura PT Book" w:hAnsi="Futura PT Book" w:cs="Futura PT Book"/>
                <w:b/>
                <w:bCs/>
                <w:color w:val="000000"/>
                <w:sz w:val="16"/>
                <w:szCs w:val="16"/>
                <w:lang w:val="en-US"/>
              </w:rPr>
            </w:pPr>
          </w:p>
        </w:tc>
        <w:tc>
          <w:tcPr>
            <w:tcW w:w="462" w:type="pct"/>
            <w:tcBorders>
              <w:right w:val="single" w:sz="4" w:space="0" w:color="FFFFFF" w:themeColor="accent6"/>
            </w:tcBorders>
            <w:shd w:val="clear" w:color="auto" w:fill="DFEBF1" w:themeFill="accent1" w:themeFillTint="1A"/>
            <w:vAlign w:val="center"/>
          </w:tcPr>
          <w:p w14:paraId="767BEC97" w14:textId="77777777" w:rsidR="008E51B8" w:rsidRDefault="008E51B8" w:rsidP="008E51B8">
            <w:pPr>
              <w:keepNext/>
              <w:spacing w:before="120" w:after="120"/>
              <w:jc w:val="center"/>
              <w:rPr>
                <w:b/>
                <w:bCs/>
                <w:color w:val="1C1C1C"/>
                <w:sz w:val="16"/>
                <w:szCs w:val="16"/>
              </w:rPr>
            </w:pPr>
            <w:r>
              <w:rPr>
                <w:b/>
                <w:bCs/>
                <w:color w:val="1C1C1C"/>
                <w:sz w:val="16"/>
                <w:szCs w:val="16"/>
              </w:rPr>
              <w:t>Facilities</w:t>
            </w:r>
          </w:p>
        </w:tc>
        <w:tc>
          <w:tcPr>
            <w:tcW w:w="576" w:type="pct"/>
            <w:shd w:val="clear" w:color="auto" w:fill="DFEBF1" w:themeFill="accent1" w:themeFillTint="1A"/>
            <w:vAlign w:val="center"/>
          </w:tcPr>
          <w:p w14:paraId="0B3042B0" w14:textId="615B97EF" w:rsidR="008E51B8"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645" w:type="pct"/>
            <w:tcBorders>
              <w:right w:val="single" w:sz="4" w:space="0" w:color="FFFFFF" w:themeColor="accent6"/>
            </w:tcBorders>
            <w:shd w:val="clear" w:color="auto" w:fill="DFEBF1" w:themeFill="accent1" w:themeFillTint="1A"/>
            <w:vAlign w:val="center"/>
          </w:tcPr>
          <w:p w14:paraId="557B07B8" w14:textId="526C443A" w:rsidR="008E51B8" w:rsidRDefault="008E51B8" w:rsidP="008E51B8">
            <w:pPr>
              <w:keepNext/>
              <w:spacing w:before="120" w:after="120"/>
              <w:jc w:val="center"/>
              <w:rPr>
                <w:b/>
                <w:bCs/>
                <w:color w:val="1C1C1C"/>
                <w:sz w:val="16"/>
                <w:szCs w:val="16"/>
              </w:rPr>
            </w:pPr>
            <w:r>
              <w:rPr>
                <w:b/>
                <w:bCs/>
                <w:color w:val="1C1C1C"/>
                <w:sz w:val="16"/>
                <w:szCs w:val="16"/>
              </w:rPr>
              <w:t>Care labour</w:t>
            </w:r>
          </w:p>
        </w:tc>
        <w:tc>
          <w:tcPr>
            <w:tcW w:w="556" w:type="pct"/>
            <w:tcBorders>
              <w:left w:val="single" w:sz="4" w:space="0" w:color="FFFFFF" w:themeColor="accent6"/>
            </w:tcBorders>
            <w:shd w:val="clear" w:color="auto" w:fill="DFEBF1" w:themeFill="accent1" w:themeFillTint="1A"/>
            <w:vAlign w:val="center"/>
          </w:tcPr>
          <w:p w14:paraId="6BE3F702" w14:textId="11E0A357" w:rsidR="008E51B8"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499" w:type="pct"/>
            <w:tcBorders>
              <w:right w:val="single" w:sz="4" w:space="0" w:color="FFFFFF" w:themeColor="accent6"/>
            </w:tcBorders>
            <w:shd w:val="clear" w:color="auto" w:fill="DFEBF1" w:themeFill="accent1" w:themeFillTint="1A"/>
            <w:vAlign w:val="center"/>
          </w:tcPr>
          <w:p w14:paraId="2387E769" w14:textId="7A190039" w:rsidR="008E51B8" w:rsidRDefault="008E51B8" w:rsidP="008E51B8">
            <w:pPr>
              <w:keepNext/>
              <w:spacing w:before="120" w:after="120"/>
              <w:jc w:val="center"/>
              <w:rPr>
                <w:b/>
                <w:bCs/>
                <w:color w:val="1C1C1C"/>
                <w:sz w:val="16"/>
                <w:szCs w:val="16"/>
              </w:rPr>
            </w:pPr>
            <w:r>
              <w:rPr>
                <w:b/>
                <w:bCs/>
                <w:color w:val="1C1C1C"/>
                <w:sz w:val="16"/>
                <w:szCs w:val="16"/>
              </w:rPr>
              <w:t>Care labour</w:t>
            </w:r>
          </w:p>
        </w:tc>
        <w:tc>
          <w:tcPr>
            <w:tcW w:w="556" w:type="pct"/>
            <w:tcBorders>
              <w:left w:val="single" w:sz="4" w:space="0" w:color="FFFFFF" w:themeColor="accent6"/>
            </w:tcBorders>
            <w:shd w:val="clear" w:color="auto" w:fill="DFEBF1" w:themeFill="accent1" w:themeFillTint="1A"/>
            <w:vAlign w:val="center"/>
          </w:tcPr>
          <w:p w14:paraId="2FC57F56" w14:textId="71E6E937" w:rsidR="008E51B8" w:rsidRPr="00C219EA"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499" w:type="pct"/>
            <w:tcBorders>
              <w:right w:val="single" w:sz="4" w:space="0" w:color="FFFFFF" w:themeColor="accent6"/>
            </w:tcBorders>
            <w:shd w:val="clear" w:color="auto" w:fill="DFEBF1" w:themeFill="accent1" w:themeFillTint="1A"/>
            <w:vAlign w:val="center"/>
          </w:tcPr>
          <w:p w14:paraId="46B2D810" w14:textId="3D5E35F7" w:rsidR="008E51B8" w:rsidRDefault="008E51B8" w:rsidP="008E51B8">
            <w:pPr>
              <w:keepNext/>
              <w:spacing w:before="120" w:after="120"/>
              <w:jc w:val="center"/>
              <w:rPr>
                <w:b/>
                <w:bCs/>
                <w:color w:val="1C1C1C"/>
                <w:sz w:val="16"/>
                <w:szCs w:val="16"/>
              </w:rPr>
            </w:pPr>
            <w:r>
              <w:rPr>
                <w:b/>
                <w:bCs/>
                <w:color w:val="1C1C1C"/>
                <w:sz w:val="16"/>
                <w:szCs w:val="16"/>
              </w:rPr>
              <w:t>Care labour</w:t>
            </w:r>
          </w:p>
        </w:tc>
      </w:tr>
      <w:tr w:rsidR="00572102" w:rsidRPr="00C219EA" w14:paraId="53B6EECB" w14:textId="77777777" w:rsidTr="000D1171">
        <w:trPr>
          <w:cnfStyle w:val="000000010000" w:firstRow="0" w:lastRow="0" w:firstColumn="0" w:lastColumn="0" w:oddVBand="0" w:evenVBand="0" w:oddHBand="0" w:evenHBand="1" w:firstRowFirstColumn="0" w:firstRowLastColumn="0" w:lastRowFirstColumn="0" w:lastRowLastColumn="0"/>
          <w:trHeight w:val="20"/>
        </w:trPr>
        <w:tc>
          <w:tcPr>
            <w:tcW w:w="0" w:type="pct"/>
            <w:gridSpan w:val="3"/>
            <w:tcBorders>
              <w:bottom w:val="single" w:sz="4" w:space="0" w:color="D9D9D9" w:themeColor="accent6" w:themeShade="D9"/>
              <w:right w:val="single" w:sz="4" w:space="0" w:color="FFFFFF" w:themeColor="accent6"/>
            </w:tcBorders>
          </w:tcPr>
          <w:p w14:paraId="68F2BC0F" w14:textId="77777777" w:rsidR="007F2DA6" w:rsidRPr="00081C9B" w:rsidRDefault="007F2DA6" w:rsidP="00420A16">
            <w:pPr>
              <w:keepNext/>
              <w:spacing w:before="120" w:after="120"/>
              <w:rPr>
                <w:rFonts w:ascii="Futura PT Book" w:hAnsi="Futura PT Book" w:cs="Futura PT Book"/>
                <w:color w:val="auto"/>
                <w:sz w:val="16"/>
                <w:szCs w:val="16"/>
                <w:lang w:val="en-US"/>
              </w:rPr>
            </w:pPr>
            <w:r w:rsidRPr="00081C9B">
              <w:rPr>
                <w:color w:val="auto"/>
                <w:sz w:val="16"/>
                <w:szCs w:val="16"/>
              </w:rPr>
              <w:t>No data</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43257E50" w14:textId="7BD797CF" w:rsidR="007F2DA6" w:rsidRPr="00263B20" w:rsidRDefault="008E51B8" w:rsidP="00355EF5">
            <w:pPr>
              <w:keepNext/>
              <w:spacing w:before="120" w:after="120"/>
              <w:jc w:val="right"/>
              <w:rPr>
                <w:color w:val="auto"/>
                <w:sz w:val="16"/>
                <w:szCs w:val="16"/>
              </w:rPr>
            </w:pPr>
            <w:r w:rsidRPr="00263B20">
              <w:rPr>
                <w:color w:val="auto"/>
                <w:sz w:val="16"/>
                <w:szCs w:val="16"/>
              </w:rPr>
              <w:t>-</w:t>
            </w:r>
          </w:p>
        </w:tc>
        <w:tc>
          <w:tcPr>
            <w:tcW w:w="0" w:type="pct"/>
            <w:tcBorders>
              <w:bottom w:val="single" w:sz="4" w:space="0" w:color="D9D9D9" w:themeColor="accent6" w:themeShade="D9"/>
            </w:tcBorders>
            <w:shd w:val="clear" w:color="auto" w:fill="F2F2F2" w:themeFill="accent6" w:themeFillShade="F2"/>
            <w:vAlign w:val="center"/>
          </w:tcPr>
          <w:p w14:paraId="106BAE5D" w14:textId="77777777" w:rsidR="007F2DA6" w:rsidRPr="00263B20" w:rsidRDefault="007F2DA6">
            <w:pPr>
              <w:keepNext/>
              <w:spacing w:before="120" w:after="120"/>
              <w:jc w:val="right"/>
              <w:rPr>
                <w:color w:val="auto"/>
                <w:sz w:val="16"/>
                <w:szCs w:val="16"/>
              </w:rPr>
            </w:pPr>
            <w:r w:rsidRPr="00263B20">
              <w:rPr>
                <w:color w:val="auto"/>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0E0CDD76" w14:textId="77777777" w:rsidR="007F2DA6" w:rsidRPr="00263B20" w:rsidRDefault="007F2DA6">
            <w:pPr>
              <w:keepNext/>
              <w:spacing w:before="120" w:after="120"/>
              <w:jc w:val="right"/>
              <w:rPr>
                <w:color w:val="auto"/>
                <w:sz w:val="16"/>
                <w:szCs w:val="16"/>
              </w:rPr>
            </w:pPr>
            <w:r w:rsidRPr="00263B20">
              <w:rPr>
                <w:color w:val="auto"/>
                <w:sz w:val="16"/>
                <w:szCs w:val="16"/>
              </w:rPr>
              <w:t>-</w:t>
            </w:r>
          </w:p>
        </w:tc>
        <w:tc>
          <w:tcPr>
            <w:tcW w:w="0"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1E98A9C6" w14:textId="77777777" w:rsidR="007F2DA6" w:rsidRPr="00263B20" w:rsidRDefault="007F2DA6">
            <w:pPr>
              <w:keepNext/>
              <w:spacing w:before="120" w:after="120"/>
              <w:jc w:val="right"/>
              <w:rPr>
                <w:color w:val="auto"/>
                <w:sz w:val="16"/>
                <w:szCs w:val="16"/>
              </w:rPr>
            </w:pPr>
            <w:r w:rsidRPr="00263B20">
              <w:rPr>
                <w:color w:val="auto"/>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61B5C35B" w14:textId="77777777" w:rsidR="007F2DA6" w:rsidRPr="00263B20" w:rsidRDefault="007F2DA6">
            <w:pPr>
              <w:keepNext/>
              <w:spacing w:before="120" w:after="120"/>
              <w:jc w:val="right"/>
              <w:rPr>
                <w:color w:val="auto"/>
                <w:sz w:val="16"/>
                <w:szCs w:val="16"/>
              </w:rPr>
            </w:pPr>
            <w:r w:rsidRPr="00263B20">
              <w:rPr>
                <w:color w:val="auto"/>
                <w:sz w:val="16"/>
                <w:szCs w:val="16"/>
              </w:rPr>
              <w:t>-</w:t>
            </w:r>
          </w:p>
        </w:tc>
        <w:tc>
          <w:tcPr>
            <w:tcW w:w="0"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15145D44" w14:textId="77777777" w:rsidR="007F2DA6" w:rsidRPr="00263B20" w:rsidRDefault="007F2DA6">
            <w:pPr>
              <w:keepNext/>
              <w:spacing w:before="120" w:after="120"/>
              <w:jc w:val="right"/>
              <w:rPr>
                <w:color w:val="auto"/>
                <w:sz w:val="16"/>
                <w:szCs w:val="16"/>
              </w:rPr>
            </w:pPr>
            <w:r w:rsidRPr="00263B20">
              <w:rPr>
                <w:color w:val="auto"/>
                <w:sz w:val="16"/>
                <w:szCs w:val="16"/>
              </w:rPr>
              <w:t>-</w:t>
            </w:r>
          </w:p>
        </w:tc>
        <w:tc>
          <w:tcPr>
            <w:tcW w:w="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494AC010" w14:textId="77777777" w:rsidR="007F2DA6" w:rsidRPr="00263B20" w:rsidRDefault="007F2DA6">
            <w:pPr>
              <w:keepNext/>
              <w:spacing w:before="120" w:after="120"/>
              <w:jc w:val="right"/>
              <w:rPr>
                <w:color w:val="auto"/>
                <w:sz w:val="16"/>
                <w:szCs w:val="16"/>
              </w:rPr>
            </w:pPr>
            <w:r w:rsidRPr="00263B20">
              <w:rPr>
                <w:color w:val="auto"/>
                <w:sz w:val="16"/>
                <w:szCs w:val="16"/>
              </w:rPr>
              <w:t>-</w:t>
            </w:r>
          </w:p>
        </w:tc>
      </w:tr>
      <w:tr w:rsidR="00572102" w:rsidRPr="00C219EA" w14:paraId="1A829A41" w14:textId="77777777" w:rsidTr="000D1171">
        <w:trPr>
          <w:cnfStyle w:val="000000100000" w:firstRow="0" w:lastRow="0" w:firstColumn="0" w:lastColumn="0" w:oddVBand="0" w:evenVBand="0" w:oddHBand="1" w:evenHBand="0" w:firstRowFirstColumn="0" w:firstRowLastColumn="0" w:lastRowFirstColumn="0" w:lastRowLastColumn="0"/>
          <w:trHeight w:val="20"/>
        </w:trPr>
        <w:tc>
          <w:tcPr>
            <w:tcW w:w="0" w:type="pct"/>
            <w:gridSpan w:val="3"/>
            <w:tcBorders>
              <w:right w:val="single" w:sz="4" w:space="0" w:color="FFFFFF" w:themeColor="accent6"/>
            </w:tcBorders>
          </w:tcPr>
          <w:p w14:paraId="2BF3B871" w14:textId="2339FF30" w:rsidR="00CE47D2" w:rsidRPr="00C72A5D" w:rsidRDefault="00CE47D2" w:rsidP="00CE47D2">
            <w:pPr>
              <w:keepNext/>
              <w:spacing w:before="120" w:after="120"/>
              <w:rPr>
                <w:rFonts w:ascii="Futura PT Book" w:hAnsi="Futura PT Book" w:cs="Futura PT Book"/>
                <w:color w:val="auto"/>
                <w:sz w:val="16"/>
                <w:szCs w:val="16"/>
                <w:lang w:val="en-US"/>
              </w:rPr>
            </w:pPr>
            <w:r w:rsidRPr="00D92244">
              <w:rPr>
                <w:color w:val="auto"/>
                <w:sz w:val="16"/>
                <w:szCs w:val="16"/>
              </w:rPr>
              <w:t xml:space="preserve">Less than </w:t>
            </w:r>
            <w:r w:rsidR="00BA4047" w:rsidRPr="00C72A5D">
              <w:rPr>
                <w:color w:val="auto"/>
                <w:sz w:val="16"/>
                <w:szCs w:val="16"/>
              </w:rPr>
              <w:t xml:space="preserve">total </w:t>
            </w:r>
            <w:r w:rsidR="00E62256" w:rsidRPr="00D358EE">
              <w:rPr>
                <w:color w:val="auto"/>
                <w:sz w:val="16"/>
                <w:szCs w:val="16"/>
              </w:rPr>
              <w:t xml:space="preserve">target </w:t>
            </w:r>
            <w:r w:rsidRPr="00D358EE">
              <w:rPr>
                <w:color w:val="auto"/>
                <w:sz w:val="16"/>
                <w:szCs w:val="16"/>
              </w:rPr>
              <w:t xml:space="preserve">min </w:t>
            </w:r>
            <w:r w:rsidR="000D1171">
              <w:rPr>
                <w:color w:val="auto"/>
                <w:sz w:val="16"/>
                <w:szCs w:val="16"/>
              </w:rPr>
              <w:t>per</w:t>
            </w:r>
            <w:r w:rsidRPr="00D358EE">
              <w:rPr>
                <w:color w:val="auto"/>
                <w:sz w:val="16"/>
                <w:szCs w:val="16"/>
              </w:rPr>
              <w:t xml:space="preserve"> </w:t>
            </w:r>
            <w:r w:rsidR="00D358EE" w:rsidRPr="00263B20">
              <w:rPr>
                <w:color w:val="1C1C1C"/>
                <w:sz w:val="16"/>
                <w:szCs w:val="16"/>
              </w:rPr>
              <w:t>OBD</w:t>
            </w:r>
          </w:p>
        </w:tc>
        <w:tc>
          <w:tcPr>
            <w:tcW w:w="0" w:type="pct"/>
            <w:tcBorders>
              <w:right w:val="single" w:sz="4" w:space="0" w:color="FFFFFF" w:themeColor="accent6"/>
            </w:tcBorders>
            <w:shd w:val="clear" w:color="auto" w:fill="F2F2F2" w:themeFill="accent6" w:themeFillShade="F2"/>
            <w:vAlign w:val="center"/>
          </w:tcPr>
          <w:p w14:paraId="3FF78099" w14:textId="3FF11AB9" w:rsidR="00CE47D2" w:rsidRPr="00263B20" w:rsidRDefault="00CE47D2" w:rsidP="00355EF5">
            <w:pPr>
              <w:keepNext/>
              <w:spacing w:before="120" w:after="120"/>
              <w:jc w:val="right"/>
              <w:rPr>
                <w:color w:val="auto"/>
                <w:sz w:val="16"/>
                <w:szCs w:val="16"/>
              </w:rPr>
            </w:pPr>
            <w:r w:rsidRPr="00263B20">
              <w:rPr>
                <w:color w:val="auto"/>
                <w:sz w:val="16"/>
                <w:szCs w:val="16"/>
              </w:rPr>
              <w:t>1,392</w:t>
            </w:r>
          </w:p>
        </w:tc>
        <w:tc>
          <w:tcPr>
            <w:tcW w:w="0" w:type="pct"/>
            <w:shd w:val="clear" w:color="auto" w:fill="F2F2F2" w:themeFill="accent6" w:themeFillShade="F2"/>
            <w:vAlign w:val="center"/>
          </w:tcPr>
          <w:p w14:paraId="150D343E" w14:textId="5AE0BF23" w:rsidR="00CE47D2" w:rsidRPr="00263B20" w:rsidRDefault="0A22DB90">
            <w:pPr>
              <w:keepNext/>
              <w:spacing w:before="120" w:after="120"/>
              <w:jc w:val="right"/>
              <w:rPr>
                <w:color w:val="auto"/>
                <w:sz w:val="16"/>
                <w:szCs w:val="16"/>
              </w:rPr>
            </w:pPr>
            <w:r w:rsidRPr="00263B20">
              <w:rPr>
                <w:color w:val="auto"/>
                <w:sz w:val="16"/>
                <w:szCs w:val="16"/>
              </w:rPr>
              <w:t>17</w:t>
            </w:r>
            <w:r w:rsidR="52C4494E" w:rsidRPr="00263B20">
              <w:rPr>
                <w:color w:val="auto"/>
                <w:sz w:val="16"/>
                <w:szCs w:val="16"/>
              </w:rPr>
              <w:t>3</w:t>
            </w:r>
            <w:r w:rsidRPr="00263B20">
              <w:rPr>
                <w:color w:val="auto"/>
                <w:sz w:val="16"/>
                <w:szCs w:val="16"/>
              </w:rPr>
              <w:t>.</w:t>
            </w:r>
            <w:r w:rsidR="26C77CCE" w:rsidRPr="00263B20">
              <w:rPr>
                <w:color w:val="auto"/>
                <w:sz w:val="16"/>
                <w:szCs w:val="16"/>
              </w:rPr>
              <w:t>8</w:t>
            </w:r>
          </w:p>
        </w:tc>
        <w:tc>
          <w:tcPr>
            <w:tcW w:w="0" w:type="pct"/>
            <w:tcBorders>
              <w:right w:val="single" w:sz="4" w:space="0" w:color="FFFFFF" w:themeColor="accent6"/>
            </w:tcBorders>
            <w:shd w:val="clear" w:color="auto" w:fill="F2F2F2" w:themeFill="accent6" w:themeFillShade="F2"/>
            <w:vAlign w:val="center"/>
          </w:tcPr>
          <w:p w14:paraId="3699ED04" w14:textId="27488BCD" w:rsidR="00CE47D2" w:rsidRPr="00263B20" w:rsidRDefault="0A22DB90">
            <w:pPr>
              <w:keepNext/>
              <w:spacing w:before="120" w:after="120"/>
              <w:jc w:val="right"/>
              <w:rPr>
                <w:color w:val="auto"/>
                <w:sz w:val="16"/>
                <w:szCs w:val="16"/>
              </w:rPr>
            </w:pPr>
            <w:r w:rsidRPr="00263B20">
              <w:rPr>
                <w:color w:val="auto"/>
                <w:sz w:val="16"/>
                <w:szCs w:val="16"/>
              </w:rPr>
              <w:t>$5,</w:t>
            </w:r>
            <w:r w:rsidR="21F668C9" w:rsidRPr="00263B20">
              <w:rPr>
                <w:color w:val="auto"/>
                <w:sz w:val="16"/>
                <w:szCs w:val="16"/>
              </w:rPr>
              <w:t>130</w:t>
            </w:r>
            <w:r w:rsidR="4493E72E" w:rsidRPr="00263B20">
              <w:rPr>
                <w:color w:val="auto"/>
                <w:sz w:val="16"/>
                <w:szCs w:val="16"/>
              </w:rPr>
              <w:t>.6</w:t>
            </w:r>
            <w:r w:rsidRPr="00263B20">
              <w:rPr>
                <w:color w:val="auto"/>
                <w:sz w:val="16"/>
                <w:szCs w:val="16"/>
              </w:rPr>
              <w:t>m</w:t>
            </w:r>
          </w:p>
        </w:tc>
        <w:tc>
          <w:tcPr>
            <w:tcW w:w="0" w:type="pct"/>
            <w:tcBorders>
              <w:left w:val="single" w:sz="4" w:space="0" w:color="FFFFFF" w:themeColor="accent6"/>
            </w:tcBorders>
            <w:shd w:val="clear" w:color="auto" w:fill="F2F2F2" w:themeFill="accent6" w:themeFillShade="F2"/>
            <w:vAlign w:val="center"/>
          </w:tcPr>
          <w:p w14:paraId="4A2678A9" w14:textId="2F797799" w:rsidR="00CE47D2" w:rsidRPr="00263B20" w:rsidRDefault="56E08E31">
            <w:pPr>
              <w:keepNext/>
              <w:spacing w:before="120" w:after="120"/>
              <w:jc w:val="right"/>
              <w:rPr>
                <w:color w:val="auto"/>
                <w:sz w:val="16"/>
                <w:szCs w:val="16"/>
              </w:rPr>
            </w:pPr>
            <w:r w:rsidRPr="00263B20">
              <w:rPr>
                <w:color w:val="auto"/>
                <w:sz w:val="16"/>
                <w:szCs w:val="16"/>
              </w:rPr>
              <w:t>200.0</w:t>
            </w:r>
          </w:p>
        </w:tc>
        <w:tc>
          <w:tcPr>
            <w:tcW w:w="0" w:type="pct"/>
            <w:tcBorders>
              <w:right w:val="single" w:sz="4" w:space="0" w:color="FFFFFF" w:themeColor="accent6"/>
            </w:tcBorders>
            <w:shd w:val="clear" w:color="auto" w:fill="F2F2F2" w:themeFill="accent6" w:themeFillShade="F2"/>
            <w:vAlign w:val="center"/>
          </w:tcPr>
          <w:p w14:paraId="40EFCCCD" w14:textId="39E833C9" w:rsidR="00CE47D2" w:rsidRPr="00263B20" w:rsidRDefault="0A22DB90">
            <w:pPr>
              <w:keepNext/>
              <w:spacing w:before="120" w:after="120"/>
              <w:jc w:val="right"/>
              <w:rPr>
                <w:color w:val="auto"/>
                <w:sz w:val="16"/>
                <w:szCs w:val="16"/>
              </w:rPr>
            </w:pPr>
            <w:r w:rsidRPr="00263B20">
              <w:rPr>
                <w:color w:val="auto"/>
                <w:sz w:val="16"/>
                <w:szCs w:val="16"/>
              </w:rPr>
              <w:t>$5,</w:t>
            </w:r>
            <w:r w:rsidR="21B4AC63" w:rsidRPr="00263B20">
              <w:rPr>
                <w:color w:val="auto"/>
                <w:sz w:val="16"/>
                <w:szCs w:val="16"/>
              </w:rPr>
              <w:t>819</w:t>
            </w:r>
            <w:r w:rsidRPr="00263B20">
              <w:rPr>
                <w:color w:val="auto"/>
                <w:sz w:val="16"/>
                <w:szCs w:val="16"/>
              </w:rPr>
              <w:t>.</w:t>
            </w:r>
            <w:r w:rsidR="2FD82E8F" w:rsidRPr="00263B20">
              <w:rPr>
                <w:color w:val="auto"/>
                <w:sz w:val="16"/>
                <w:szCs w:val="16"/>
              </w:rPr>
              <w:t>9</w:t>
            </w:r>
            <w:r w:rsidRPr="00263B20">
              <w:rPr>
                <w:color w:val="auto"/>
                <w:sz w:val="16"/>
                <w:szCs w:val="16"/>
              </w:rPr>
              <w:t>m</w:t>
            </w:r>
          </w:p>
        </w:tc>
        <w:tc>
          <w:tcPr>
            <w:tcW w:w="0" w:type="pct"/>
            <w:tcBorders>
              <w:left w:val="single" w:sz="4" w:space="0" w:color="FFFFFF" w:themeColor="accent6"/>
            </w:tcBorders>
            <w:shd w:val="clear" w:color="auto" w:fill="F2F2F2" w:themeFill="accent6" w:themeFillShade="F2"/>
            <w:vAlign w:val="center"/>
          </w:tcPr>
          <w:p w14:paraId="4A90B368" w14:textId="2207D6EC" w:rsidR="00CE47D2" w:rsidRPr="00263B20" w:rsidRDefault="0A22DB90">
            <w:pPr>
              <w:keepNext/>
              <w:spacing w:before="120" w:after="120"/>
              <w:jc w:val="right"/>
              <w:rPr>
                <w:color w:val="auto"/>
                <w:sz w:val="16"/>
                <w:szCs w:val="16"/>
              </w:rPr>
            </w:pPr>
            <w:r w:rsidRPr="00263B20">
              <w:rPr>
                <w:color w:val="auto"/>
                <w:sz w:val="16"/>
                <w:szCs w:val="16"/>
              </w:rPr>
              <w:t>2</w:t>
            </w:r>
            <w:r w:rsidR="5ED1F238" w:rsidRPr="00263B20">
              <w:rPr>
                <w:color w:val="auto"/>
                <w:sz w:val="16"/>
                <w:szCs w:val="16"/>
              </w:rPr>
              <w:t>6.1</w:t>
            </w:r>
          </w:p>
        </w:tc>
        <w:tc>
          <w:tcPr>
            <w:tcW w:w="0" w:type="pct"/>
            <w:tcBorders>
              <w:right w:val="single" w:sz="4" w:space="0" w:color="FFFFFF" w:themeColor="accent6"/>
            </w:tcBorders>
            <w:shd w:val="clear" w:color="auto" w:fill="F2F2F2" w:themeFill="accent6" w:themeFillShade="F2"/>
            <w:vAlign w:val="center"/>
          </w:tcPr>
          <w:p w14:paraId="2C3F7BF1" w14:textId="49AEEDDC" w:rsidR="00CE47D2" w:rsidRPr="00263B20" w:rsidRDefault="00CE47D2">
            <w:pPr>
              <w:keepNext/>
              <w:spacing w:before="120" w:after="120"/>
              <w:jc w:val="right"/>
              <w:rPr>
                <w:color w:val="auto"/>
                <w:sz w:val="16"/>
                <w:szCs w:val="16"/>
              </w:rPr>
            </w:pPr>
            <w:r w:rsidRPr="00263B20">
              <w:rPr>
                <w:color w:val="auto"/>
                <w:sz w:val="16"/>
                <w:szCs w:val="16"/>
              </w:rPr>
              <w:t>$</w:t>
            </w:r>
            <w:r w:rsidR="0A22DB90" w:rsidRPr="00263B20">
              <w:rPr>
                <w:color w:val="auto"/>
                <w:sz w:val="16"/>
                <w:szCs w:val="16"/>
              </w:rPr>
              <w:t>6</w:t>
            </w:r>
            <w:r w:rsidR="6466D5EB" w:rsidRPr="00263B20">
              <w:rPr>
                <w:color w:val="auto"/>
                <w:sz w:val="16"/>
                <w:szCs w:val="16"/>
              </w:rPr>
              <w:t>89.3</w:t>
            </w:r>
            <w:r w:rsidRPr="00263B20">
              <w:rPr>
                <w:color w:val="auto"/>
                <w:sz w:val="16"/>
                <w:szCs w:val="16"/>
              </w:rPr>
              <w:t>m</w:t>
            </w:r>
          </w:p>
        </w:tc>
      </w:tr>
      <w:tr w:rsidR="00572102" w:rsidRPr="00C219EA" w14:paraId="785E4381" w14:textId="77777777" w:rsidTr="000D1171">
        <w:trPr>
          <w:cnfStyle w:val="000000010000" w:firstRow="0" w:lastRow="0" w:firstColumn="0" w:lastColumn="0" w:oddVBand="0" w:evenVBand="0" w:oddHBand="0" w:evenHBand="1" w:firstRowFirstColumn="0" w:firstRowLastColumn="0" w:lastRowFirstColumn="0" w:lastRowLastColumn="0"/>
          <w:trHeight w:val="20"/>
        </w:trPr>
        <w:tc>
          <w:tcPr>
            <w:tcW w:w="0" w:type="pct"/>
            <w:gridSpan w:val="3"/>
            <w:tcBorders>
              <w:right w:val="single" w:sz="4" w:space="0" w:color="FFFFFF" w:themeColor="accent6"/>
            </w:tcBorders>
          </w:tcPr>
          <w:p w14:paraId="1F6470F4" w14:textId="15847808" w:rsidR="00CE47D2" w:rsidRPr="00081C9B" w:rsidRDefault="00CE47D2" w:rsidP="00CE47D2">
            <w:pPr>
              <w:keepNext/>
              <w:spacing w:before="120" w:after="120"/>
              <w:rPr>
                <w:rFonts w:cs="Arial"/>
                <w:color w:val="auto"/>
                <w:sz w:val="16"/>
                <w:szCs w:val="16"/>
                <w:lang w:val="en-US"/>
              </w:rPr>
            </w:pPr>
            <w:r w:rsidRPr="00081C9B">
              <w:rPr>
                <w:rFonts w:cs="Arial"/>
                <w:color w:val="auto"/>
                <w:sz w:val="16"/>
                <w:szCs w:val="16"/>
                <w:lang w:val="en-US"/>
              </w:rPr>
              <w:t xml:space="preserve">At least </w:t>
            </w:r>
            <w:r w:rsidR="00BA4047">
              <w:rPr>
                <w:rFonts w:cs="Arial"/>
                <w:color w:val="auto"/>
                <w:sz w:val="16"/>
                <w:szCs w:val="16"/>
                <w:lang w:val="en-US"/>
              </w:rPr>
              <w:t>total target care</w:t>
            </w:r>
            <w:r w:rsidR="00BA4047" w:rsidRPr="00081C9B">
              <w:rPr>
                <w:rFonts w:cs="Arial"/>
                <w:color w:val="auto"/>
                <w:sz w:val="16"/>
                <w:szCs w:val="16"/>
                <w:lang w:val="en-US"/>
              </w:rPr>
              <w:t xml:space="preserve"> </w:t>
            </w:r>
            <w:r w:rsidRPr="00081C9B">
              <w:rPr>
                <w:rFonts w:cs="Arial"/>
                <w:color w:val="auto"/>
                <w:sz w:val="16"/>
                <w:szCs w:val="16"/>
                <w:lang w:val="en-US"/>
              </w:rPr>
              <w:t xml:space="preserve">min </w:t>
            </w:r>
            <w:r w:rsidR="000D1171">
              <w:rPr>
                <w:rFonts w:cs="Arial"/>
                <w:color w:val="auto"/>
                <w:sz w:val="16"/>
                <w:szCs w:val="16"/>
                <w:lang w:val="en-US"/>
              </w:rPr>
              <w:t>per</w:t>
            </w:r>
            <w:r w:rsidRPr="00081C9B">
              <w:rPr>
                <w:rFonts w:cs="Arial"/>
                <w:color w:val="auto"/>
                <w:sz w:val="16"/>
                <w:szCs w:val="16"/>
                <w:lang w:val="en-US"/>
              </w:rPr>
              <w:t xml:space="preserve"> </w:t>
            </w:r>
            <w:r w:rsidR="00D358EE">
              <w:rPr>
                <w:rFonts w:cs="Arial"/>
                <w:color w:val="auto"/>
                <w:sz w:val="16"/>
                <w:szCs w:val="16"/>
                <w:lang w:val="en-US"/>
              </w:rPr>
              <w:t>OBD</w:t>
            </w:r>
          </w:p>
        </w:tc>
        <w:tc>
          <w:tcPr>
            <w:tcW w:w="0" w:type="pct"/>
            <w:tcBorders>
              <w:right w:val="single" w:sz="4" w:space="0" w:color="FFFFFF" w:themeColor="accent6"/>
            </w:tcBorders>
            <w:shd w:val="clear" w:color="auto" w:fill="F2F2F2" w:themeFill="accent6" w:themeFillShade="F2"/>
            <w:vAlign w:val="center"/>
          </w:tcPr>
          <w:p w14:paraId="6B4E031A" w14:textId="55B063CD" w:rsidR="00CE47D2" w:rsidRPr="00263B20" w:rsidRDefault="00CE47D2" w:rsidP="00355EF5">
            <w:pPr>
              <w:keepNext/>
              <w:spacing w:before="120" w:after="120"/>
              <w:jc w:val="right"/>
              <w:rPr>
                <w:color w:val="auto"/>
                <w:sz w:val="16"/>
                <w:szCs w:val="16"/>
              </w:rPr>
            </w:pPr>
            <w:r w:rsidRPr="00263B20">
              <w:rPr>
                <w:color w:val="auto"/>
                <w:sz w:val="16"/>
                <w:szCs w:val="16"/>
              </w:rPr>
              <w:t>1,074</w:t>
            </w:r>
          </w:p>
        </w:tc>
        <w:tc>
          <w:tcPr>
            <w:tcW w:w="0" w:type="pct"/>
            <w:shd w:val="clear" w:color="auto" w:fill="F2F2F2" w:themeFill="accent6" w:themeFillShade="F2"/>
            <w:vAlign w:val="center"/>
          </w:tcPr>
          <w:p w14:paraId="2AD9DAB5" w14:textId="087B0E0A" w:rsidR="00CE47D2" w:rsidRPr="00263B20" w:rsidRDefault="0A22DB90">
            <w:pPr>
              <w:keepNext/>
              <w:spacing w:before="120" w:after="120"/>
              <w:jc w:val="right"/>
              <w:rPr>
                <w:color w:val="auto"/>
                <w:sz w:val="16"/>
                <w:szCs w:val="16"/>
              </w:rPr>
            </w:pPr>
            <w:r w:rsidRPr="00263B20">
              <w:rPr>
                <w:color w:val="auto"/>
                <w:sz w:val="16"/>
                <w:szCs w:val="16"/>
              </w:rPr>
              <w:t>2</w:t>
            </w:r>
            <w:r w:rsidR="48CA571C" w:rsidRPr="00263B20">
              <w:rPr>
                <w:color w:val="auto"/>
                <w:sz w:val="16"/>
                <w:szCs w:val="16"/>
              </w:rPr>
              <w:t>28.</w:t>
            </w:r>
            <w:r w:rsidR="00CE47D2" w:rsidRPr="00263B20">
              <w:rPr>
                <w:color w:val="auto"/>
                <w:sz w:val="16"/>
                <w:szCs w:val="16"/>
              </w:rPr>
              <w:t>2</w:t>
            </w:r>
          </w:p>
        </w:tc>
        <w:tc>
          <w:tcPr>
            <w:tcW w:w="0" w:type="pct"/>
            <w:tcBorders>
              <w:right w:val="single" w:sz="4" w:space="0" w:color="FFFFFF" w:themeColor="accent6"/>
            </w:tcBorders>
            <w:shd w:val="clear" w:color="auto" w:fill="F2F2F2" w:themeFill="accent6" w:themeFillShade="F2"/>
            <w:vAlign w:val="center"/>
          </w:tcPr>
          <w:p w14:paraId="02A818B7" w14:textId="3A05BA57" w:rsidR="00CE47D2" w:rsidRPr="00263B20" w:rsidRDefault="00CE47D2">
            <w:pPr>
              <w:keepNext/>
              <w:spacing w:before="120" w:after="120"/>
              <w:jc w:val="right"/>
              <w:rPr>
                <w:color w:val="auto"/>
                <w:sz w:val="16"/>
                <w:szCs w:val="16"/>
              </w:rPr>
            </w:pPr>
            <w:r w:rsidRPr="00263B20">
              <w:rPr>
                <w:color w:val="auto"/>
                <w:sz w:val="16"/>
                <w:szCs w:val="16"/>
              </w:rPr>
              <w:t>$4,</w:t>
            </w:r>
            <w:r w:rsidR="0A22DB90" w:rsidRPr="00263B20">
              <w:rPr>
                <w:color w:val="auto"/>
                <w:sz w:val="16"/>
                <w:szCs w:val="16"/>
              </w:rPr>
              <w:t>0</w:t>
            </w:r>
            <w:r w:rsidR="326778D9" w:rsidRPr="00263B20">
              <w:rPr>
                <w:color w:val="auto"/>
                <w:sz w:val="16"/>
                <w:szCs w:val="16"/>
              </w:rPr>
              <w:t>34</w:t>
            </w:r>
            <w:r w:rsidRPr="00263B20">
              <w:rPr>
                <w:color w:val="auto"/>
                <w:sz w:val="16"/>
                <w:szCs w:val="16"/>
              </w:rPr>
              <w:t>.</w:t>
            </w:r>
            <w:r w:rsidR="5F6F2CAA" w:rsidRPr="00263B20">
              <w:rPr>
                <w:color w:val="auto"/>
                <w:sz w:val="16"/>
                <w:szCs w:val="16"/>
              </w:rPr>
              <w:t>7</w:t>
            </w:r>
            <w:r w:rsidR="0A22DB90" w:rsidRPr="00263B20">
              <w:rPr>
                <w:color w:val="auto"/>
                <w:sz w:val="16"/>
                <w:szCs w:val="16"/>
              </w:rPr>
              <w:t>m</w:t>
            </w:r>
          </w:p>
        </w:tc>
        <w:tc>
          <w:tcPr>
            <w:tcW w:w="0" w:type="pct"/>
            <w:tcBorders>
              <w:left w:val="single" w:sz="4" w:space="0" w:color="FFFFFF" w:themeColor="accent6"/>
            </w:tcBorders>
            <w:shd w:val="clear" w:color="auto" w:fill="F2F2F2" w:themeFill="accent6" w:themeFillShade="F2"/>
            <w:vAlign w:val="center"/>
          </w:tcPr>
          <w:p w14:paraId="05C8D87C" w14:textId="16AC0417" w:rsidR="00CE47D2" w:rsidRPr="00263B20" w:rsidRDefault="0A22DB90">
            <w:pPr>
              <w:keepNext/>
              <w:spacing w:before="120" w:after="120"/>
              <w:jc w:val="right"/>
              <w:rPr>
                <w:color w:val="auto"/>
                <w:sz w:val="16"/>
                <w:szCs w:val="16"/>
              </w:rPr>
            </w:pPr>
            <w:r w:rsidRPr="00263B20">
              <w:rPr>
                <w:color w:val="auto"/>
                <w:sz w:val="16"/>
                <w:szCs w:val="16"/>
              </w:rPr>
              <w:t>2</w:t>
            </w:r>
            <w:r w:rsidR="5448AE05" w:rsidRPr="00263B20">
              <w:rPr>
                <w:color w:val="auto"/>
                <w:sz w:val="16"/>
                <w:szCs w:val="16"/>
              </w:rPr>
              <w:t>28.</w:t>
            </w:r>
            <w:r w:rsidR="00CE47D2" w:rsidRPr="00263B20">
              <w:rPr>
                <w:color w:val="auto"/>
                <w:sz w:val="16"/>
                <w:szCs w:val="16"/>
              </w:rPr>
              <w:t>2</w:t>
            </w:r>
          </w:p>
        </w:tc>
        <w:tc>
          <w:tcPr>
            <w:tcW w:w="0" w:type="pct"/>
            <w:tcBorders>
              <w:right w:val="single" w:sz="4" w:space="0" w:color="FFFFFF" w:themeColor="accent6"/>
            </w:tcBorders>
            <w:shd w:val="clear" w:color="auto" w:fill="F2F2F2" w:themeFill="accent6" w:themeFillShade="F2"/>
            <w:vAlign w:val="center"/>
          </w:tcPr>
          <w:p w14:paraId="0525C2C7" w14:textId="5B7297CA" w:rsidR="00CE47D2" w:rsidRPr="00263B20" w:rsidRDefault="00CE47D2">
            <w:pPr>
              <w:keepNext/>
              <w:spacing w:before="120" w:after="120"/>
              <w:jc w:val="right"/>
              <w:rPr>
                <w:color w:val="auto"/>
                <w:sz w:val="16"/>
                <w:szCs w:val="16"/>
              </w:rPr>
            </w:pPr>
            <w:r w:rsidRPr="00263B20">
              <w:rPr>
                <w:color w:val="auto"/>
                <w:sz w:val="16"/>
                <w:szCs w:val="16"/>
              </w:rPr>
              <w:t>$4,</w:t>
            </w:r>
            <w:r w:rsidR="769ACAB5" w:rsidRPr="00263B20">
              <w:rPr>
                <w:color w:val="auto"/>
                <w:sz w:val="16"/>
                <w:szCs w:val="16"/>
              </w:rPr>
              <w:t>034</w:t>
            </w:r>
            <w:r w:rsidR="0A22DB90" w:rsidRPr="00263B20">
              <w:rPr>
                <w:color w:val="auto"/>
                <w:sz w:val="16"/>
                <w:szCs w:val="16"/>
              </w:rPr>
              <w:t>.</w:t>
            </w:r>
            <w:r w:rsidR="5CA2411E" w:rsidRPr="00263B20">
              <w:rPr>
                <w:color w:val="auto"/>
                <w:sz w:val="16"/>
                <w:szCs w:val="16"/>
              </w:rPr>
              <w:t>7</w:t>
            </w:r>
            <w:r w:rsidRPr="00263B20">
              <w:rPr>
                <w:color w:val="auto"/>
                <w:sz w:val="16"/>
                <w:szCs w:val="16"/>
              </w:rPr>
              <w:t>m</w:t>
            </w:r>
          </w:p>
        </w:tc>
        <w:tc>
          <w:tcPr>
            <w:tcW w:w="0" w:type="pct"/>
            <w:tcBorders>
              <w:left w:val="single" w:sz="4" w:space="0" w:color="FFFFFF" w:themeColor="accent6"/>
            </w:tcBorders>
            <w:shd w:val="clear" w:color="auto" w:fill="F2F2F2" w:themeFill="accent6" w:themeFillShade="F2"/>
            <w:vAlign w:val="center"/>
          </w:tcPr>
          <w:p w14:paraId="14ADF978" w14:textId="765FE367" w:rsidR="00CE47D2" w:rsidRPr="00263B20" w:rsidRDefault="00CE47D2">
            <w:pPr>
              <w:keepNext/>
              <w:spacing w:before="120" w:after="120"/>
              <w:jc w:val="right"/>
              <w:rPr>
                <w:color w:val="auto"/>
                <w:sz w:val="16"/>
                <w:szCs w:val="16"/>
              </w:rPr>
            </w:pPr>
            <w:r w:rsidRPr="00263B20">
              <w:rPr>
                <w:color w:val="auto"/>
                <w:sz w:val="16"/>
                <w:szCs w:val="16"/>
              </w:rPr>
              <w:t>-</w:t>
            </w:r>
          </w:p>
        </w:tc>
        <w:tc>
          <w:tcPr>
            <w:tcW w:w="0" w:type="pct"/>
            <w:tcBorders>
              <w:right w:val="single" w:sz="4" w:space="0" w:color="FFFFFF" w:themeColor="accent6"/>
            </w:tcBorders>
            <w:shd w:val="clear" w:color="auto" w:fill="F2F2F2" w:themeFill="accent6" w:themeFillShade="F2"/>
            <w:vAlign w:val="center"/>
          </w:tcPr>
          <w:p w14:paraId="7148291D" w14:textId="0743E0A6" w:rsidR="00CE47D2" w:rsidRPr="00263B20" w:rsidRDefault="00CE47D2">
            <w:pPr>
              <w:keepNext/>
              <w:spacing w:before="120" w:after="120"/>
              <w:jc w:val="right"/>
              <w:rPr>
                <w:color w:val="auto"/>
                <w:sz w:val="16"/>
                <w:szCs w:val="16"/>
              </w:rPr>
            </w:pPr>
            <w:r w:rsidRPr="00263B20">
              <w:rPr>
                <w:color w:val="auto"/>
                <w:sz w:val="16"/>
                <w:szCs w:val="16"/>
              </w:rPr>
              <w:t>-</w:t>
            </w:r>
          </w:p>
        </w:tc>
      </w:tr>
      <w:tr w:rsidR="00C237DE" w:rsidRPr="00C219EA" w14:paraId="7FBEC9B3" w14:textId="77777777" w:rsidTr="000D1171">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tcPr>
          <w:p w14:paraId="44E10302" w14:textId="361418A4" w:rsidR="00D358EE" w:rsidRPr="00263B20" w:rsidRDefault="00D358EE" w:rsidP="00CE47D2">
            <w:pPr>
              <w:keepNext/>
              <w:spacing w:before="120" w:after="120"/>
              <w:rPr>
                <w:rFonts w:cs="Arial"/>
                <w:b/>
                <w:bCs/>
                <w:color w:val="auto"/>
                <w:sz w:val="16"/>
                <w:szCs w:val="16"/>
                <w:lang w:val="en-US"/>
              </w:rPr>
            </w:pPr>
            <w:r w:rsidRPr="00263B20">
              <w:rPr>
                <w:rFonts w:cs="Arial"/>
                <w:b/>
                <w:bCs/>
                <w:color w:val="auto"/>
                <w:sz w:val="16"/>
                <w:szCs w:val="16"/>
                <w:lang w:val="en-US"/>
              </w:rPr>
              <w:t>Total</w:t>
            </w:r>
          </w:p>
        </w:tc>
        <w:tc>
          <w:tcPr>
            <w:tcW w:w="0" w:type="pct"/>
            <w:tcBorders>
              <w:right w:val="single" w:sz="4" w:space="0" w:color="FFFFFF" w:themeColor="accent6"/>
            </w:tcBorders>
            <w:shd w:val="clear" w:color="auto" w:fill="DFEBF1" w:themeFill="accent1" w:themeFillTint="1A"/>
            <w:vAlign w:val="center"/>
          </w:tcPr>
          <w:p w14:paraId="073D3660" w14:textId="1300071E" w:rsidR="00D358EE" w:rsidRPr="00263B20" w:rsidRDefault="77E9ADB1" w:rsidP="00355EF5">
            <w:pPr>
              <w:keepNext/>
              <w:spacing w:before="120" w:after="120"/>
              <w:jc w:val="right"/>
              <w:rPr>
                <w:color w:val="auto"/>
                <w:sz w:val="16"/>
                <w:szCs w:val="16"/>
              </w:rPr>
            </w:pPr>
            <w:r w:rsidRPr="00263B20">
              <w:rPr>
                <w:color w:val="auto"/>
                <w:sz w:val="16"/>
                <w:szCs w:val="16"/>
              </w:rPr>
              <w:t>2,466</w:t>
            </w:r>
          </w:p>
        </w:tc>
        <w:tc>
          <w:tcPr>
            <w:tcW w:w="0" w:type="pct"/>
            <w:shd w:val="clear" w:color="auto" w:fill="DFEBF1" w:themeFill="accent1" w:themeFillTint="1A"/>
            <w:vAlign w:val="center"/>
          </w:tcPr>
          <w:p w14:paraId="525BC1C3" w14:textId="107DE0A9" w:rsidR="00D358EE" w:rsidRPr="00263B20" w:rsidRDefault="4EE87118">
            <w:pPr>
              <w:keepNext/>
              <w:spacing w:before="120" w:after="120"/>
              <w:jc w:val="right"/>
              <w:rPr>
                <w:color w:val="auto"/>
                <w:sz w:val="16"/>
                <w:szCs w:val="16"/>
              </w:rPr>
            </w:pPr>
            <w:r w:rsidRPr="00263B20">
              <w:rPr>
                <w:color w:val="auto"/>
                <w:sz w:val="16"/>
                <w:szCs w:val="16"/>
              </w:rPr>
              <w:t>197.7</w:t>
            </w:r>
          </w:p>
        </w:tc>
        <w:tc>
          <w:tcPr>
            <w:tcW w:w="0" w:type="pct"/>
            <w:gridSpan w:val="2"/>
            <w:tcBorders>
              <w:right w:val="single" w:sz="4" w:space="0" w:color="FFFFFF" w:themeColor="accent6"/>
            </w:tcBorders>
            <w:shd w:val="clear" w:color="auto" w:fill="DFEBF1" w:themeFill="accent1" w:themeFillTint="1A"/>
            <w:vAlign w:val="center"/>
          </w:tcPr>
          <w:p w14:paraId="25253B38" w14:textId="3F346292" w:rsidR="00D358EE" w:rsidRPr="00263B20" w:rsidRDefault="4EE87118">
            <w:pPr>
              <w:keepNext/>
              <w:spacing w:before="120" w:after="120"/>
              <w:jc w:val="right"/>
              <w:rPr>
                <w:color w:val="auto"/>
                <w:sz w:val="16"/>
                <w:szCs w:val="16"/>
              </w:rPr>
            </w:pPr>
            <w:r w:rsidRPr="00263B20">
              <w:rPr>
                <w:color w:val="auto"/>
                <w:sz w:val="16"/>
                <w:szCs w:val="16"/>
              </w:rPr>
              <w:t>$9,165.3</w:t>
            </w:r>
            <w:r w:rsidR="005F2896">
              <w:rPr>
                <w:color w:val="auto"/>
                <w:sz w:val="16"/>
                <w:szCs w:val="16"/>
              </w:rPr>
              <w:t>m</w:t>
            </w:r>
          </w:p>
        </w:tc>
        <w:tc>
          <w:tcPr>
            <w:tcW w:w="0" w:type="pct"/>
            <w:tcBorders>
              <w:left w:val="single" w:sz="4" w:space="0" w:color="FFFFFF" w:themeColor="accent6"/>
            </w:tcBorders>
            <w:shd w:val="clear" w:color="auto" w:fill="DFEBF1" w:themeFill="accent1" w:themeFillTint="1A"/>
            <w:vAlign w:val="center"/>
          </w:tcPr>
          <w:p w14:paraId="205DA3F8" w14:textId="263E30A5" w:rsidR="00D358EE" w:rsidRPr="00263B20" w:rsidRDefault="4EE87118">
            <w:pPr>
              <w:keepNext/>
              <w:spacing w:before="120" w:after="120"/>
              <w:jc w:val="right"/>
              <w:rPr>
                <w:color w:val="auto"/>
                <w:sz w:val="16"/>
                <w:szCs w:val="16"/>
              </w:rPr>
            </w:pPr>
            <w:r w:rsidRPr="00263B20">
              <w:rPr>
                <w:color w:val="auto"/>
                <w:sz w:val="16"/>
                <w:szCs w:val="16"/>
              </w:rPr>
              <w:t>212.4</w:t>
            </w:r>
          </w:p>
        </w:tc>
        <w:tc>
          <w:tcPr>
            <w:tcW w:w="0" w:type="pct"/>
            <w:tcBorders>
              <w:right w:val="single" w:sz="4" w:space="0" w:color="FFFFFF" w:themeColor="accent6"/>
            </w:tcBorders>
            <w:shd w:val="clear" w:color="auto" w:fill="DFEBF1" w:themeFill="accent1" w:themeFillTint="1A"/>
            <w:vAlign w:val="center"/>
          </w:tcPr>
          <w:p w14:paraId="436825A7" w14:textId="57B64BF6" w:rsidR="00D358EE" w:rsidRPr="00263B20" w:rsidRDefault="4EE87118">
            <w:pPr>
              <w:keepNext/>
              <w:spacing w:before="120" w:after="120"/>
              <w:jc w:val="right"/>
              <w:rPr>
                <w:color w:val="auto"/>
                <w:sz w:val="16"/>
                <w:szCs w:val="16"/>
              </w:rPr>
            </w:pPr>
            <w:r w:rsidRPr="00263B20">
              <w:rPr>
                <w:color w:val="auto"/>
                <w:sz w:val="16"/>
                <w:szCs w:val="16"/>
              </w:rPr>
              <w:t>$9,854.6</w:t>
            </w:r>
            <w:r w:rsidR="005F2896">
              <w:rPr>
                <w:color w:val="auto"/>
                <w:sz w:val="16"/>
                <w:szCs w:val="16"/>
              </w:rPr>
              <w:t>m</w:t>
            </w:r>
          </w:p>
        </w:tc>
        <w:tc>
          <w:tcPr>
            <w:tcW w:w="0" w:type="pct"/>
            <w:tcBorders>
              <w:left w:val="single" w:sz="4" w:space="0" w:color="FFFFFF" w:themeColor="accent6"/>
            </w:tcBorders>
            <w:shd w:val="clear" w:color="auto" w:fill="DFEBF1" w:themeFill="accent1" w:themeFillTint="1A"/>
            <w:vAlign w:val="center"/>
          </w:tcPr>
          <w:p w14:paraId="0D79593A" w14:textId="3C9E0594" w:rsidR="00D358EE" w:rsidRPr="00263B20" w:rsidRDefault="4EE87118">
            <w:pPr>
              <w:keepNext/>
              <w:spacing w:before="120" w:after="120"/>
              <w:jc w:val="right"/>
              <w:rPr>
                <w:color w:val="auto"/>
                <w:sz w:val="16"/>
                <w:szCs w:val="16"/>
              </w:rPr>
            </w:pPr>
            <w:r w:rsidRPr="00263B20">
              <w:rPr>
                <w:color w:val="auto"/>
                <w:sz w:val="16"/>
                <w:szCs w:val="16"/>
              </w:rPr>
              <w:t>26.1</w:t>
            </w:r>
          </w:p>
        </w:tc>
        <w:tc>
          <w:tcPr>
            <w:tcW w:w="0" w:type="pct"/>
            <w:gridSpan w:val="2"/>
            <w:tcBorders>
              <w:right w:val="single" w:sz="4" w:space="0" w:color="FFFFFF" w:themeColor="accent6"/>
            </w:tcBorders>
            <w:shd w:val="clear" w:color="auto" w:fill="DFEBF1" w:themeFill="accent1" w:themeFillTint="1A"/>
            <w:vAlign w:val="center"/>
          </w:tcPr>
          <w:p w14:paraId="0360CC95" w14:textId="078CFCCE" w:rsidR="00D358EE" w:rsidRPr="00263B20" w:rsidRDefault="4EE87118">
            <w:pPr>
              <w:keepNext/>
              <w:spacing w:before="120" w:after="120"/>
              <w:jc w:val="right"/>
              <w:rPr>
                <w:color w:val="auto"/>
                <w:sz w:val="16"/>
                <w:szCs w:val="16"/>
              </w:rPr>
            </w:pPr>
            <w:r w:rsidRPr="00263B20">
              <w:rPr>
                <w:color w:val="auto"/>
                <w:sz w:val="16"/>
                <w:szCs w:val="16"/>
              </w:rPr>
              <w:t>$689.3</w:t>
            </w:r>
            <w:r w:rsidR="005F2896">
              <w:rPr>
                <w:color w:val="auto"/>
                <w:sz w:val="16"/>
                <w:szCs w:val="16"/>
              </w:rPr>
              <w:t>m</w:t>
            </w:r>
          </w:p>
        </w:tc>
      </w:tr>
    </w:tbl>
    <w:p w14:paraId="7DAE2781" w14:textId="77777777" w:rsidR="007F2DA6" w:rsidRDefault="007F2DA6" w:rsidP="000921CD">
      <w:pPr>
        <w:rPr>
          <w:rFonts w:eastAsiaTheme="minorEastAsia"/>
        </w:rPr>
      </w:pPr>
    </w:p>
    <w:p w14:paraId="197C21B9" w14:textId="60CB2850" w:rsidR="002F262F" w:rsidRDefault="003E7CD3" w:rsidP="000921CD">
      <w:pPr>
        <w:rPr>
          <w:rFonts w:eastAsiaTheme="minorEastAsia"/>
        </w:rPr>
      </w:pPr>
      <w:r>
        <w:rPr>
          <w:rFonts w:eastAsiaTheme="minorEastAsia"/>
        </w:rPr>
        <w:lastRenderedPageBreak/>
        <w:t xml:space="preserve">For </w:t>
      </w:r>
      <w:r w:rsidR="00FA6BA5">
        <w:rPr>
          <w:rFonts w:eastAsiaTheme="minorEastAsia"/>
        </w:rPr>
        <w:t xml:space="preserve">all aspects of the </w:t>
      </w:r>
      <w:r w:rsidR="00EE4AD3">
        <w:rPr>
          <w:rFonts w:eastAsiaTheme="minorEastAsia"/>
        </w:rPr>
        <w:t xml:space="preserve">residential </w:t>
      </w:r>
      <w:r w:rsidR="00FA6BA5">
        <w:rPr>
          <w:rFonts w:eastAsiaTheme="minorEastAsia"/>
        </w:rPr>
        <w:t xml:space="preserve">aged care pricing advice calculations hereafter, </w:t>
      </w:r>
      <w:r w:rsidR="00391854">
        <w:rPr>
          <w:rFonts w:eastAsiaTheme="minorEastAsia"/>
        </w:rPr>
        <w:t xml:space="preserve">the </w:t>
      </w:r>
      <w:r w:rsidR="0016006F">
        <w:rPr>
          <w:rFonts w:eastAsiaTheme="minorEastAsia"/>
        </w:rPr>
        <w:t>impute</w:t>
      </w:r>
      <w:r w:rsidR="00391854">
        <w:rPr>
          <w:rFonts w:eastAsiaTheme="minorEastAsia"/>
        </w:rPr>
        <w:t>d</w:t>
      </w:r>
      <w:r w:rsidR="0016006F">
        <w:rPr>
          <w:rFonts w:eastAsiaTheme="minorEastAsia"/>
        </w:rPr>
        <w:t xml:space="preserve"> RN cost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r>
          <w:rPr>
            <w:rFonts w:ascii="Cambria Math" w:eastAsiaTheme="minorEastAsia" w:hAnsi="Cambria Math"/>
          </w:rPr>
          <m:t>)</m:t>
        </m:r>
      </m:oMath>
      <w:r w:rsidR="0016006F">
        <w:rPr>
          <w:rFonts w:eastAsiaTheme="minorEastAsia"/>
        </w:rPr>
        <w:t xml:space="preserve"> and care time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oMath>
      <w:r w:rsidR="00391854">
        <w:rPr>
          <w:rFonts w:eastAsiaTheme="minorEastAsia"/>
        </w:rPr>
        <w:t>) and impute</w:t>
      </w:r>
      <w:r w:rsidR="00CF6015">
        <w:rPr>
          <w:rFonts w:eastAsiaTheme="minorEastAsia"/>
        </w:rPr>
        <w:t>d total</w:t>
      </w:r>
      <w:r w:rsidR="00391854">
        <w:rPr>
          <w:rFonts w:eastAsiaTheme="minorEastAsia"/>
        </w:rPr>
        <w:t xml:space="preserve"> </w:t>
      </w:r>
      <w:r w:rsidR="00CF6015">
        <w:rPr>
          <w:rFonts w:eastAsiaTheme="minorEastAsia"/>
        </w:rPr>
        <w:t xml:space="preserve">direct care </w:t>
      </w:r>
      <w:r w:rsidR="00391854">
        <w:rPr>
          <w:rFonts w:eastAsiaTheme="minorEastAsia"/>
        </w:rPr>
        <w:t>labour cost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L</m:t>
            </m:r>
          </m:sub>
          <m:sup>
            <m:r>
              <w:rPr>
                <w:rFonts w:ascii="Cambria Math" w:eastAsiaTheme="minorEastAsia" w:hAnsi="Cambria Math"/>
              </w:rPr>
              <m:t>'</m:t>
            </m:r>
          </m:sup>
        </m:sSubSup>
      </m:oMath>
      <w:r w:rsidR="00391854">
        <w:rPr>
          <w:rFonts w:eastAsiaTheme="minorEastAsia"/>
        </w:rPr>
        <w:t xml:space="preserve">) and </w:t>
      </w:r>
      <w:r w:rsidR="00CF6015">
        <w:rPr>
          <w:rFonts w:eastAsiaTheme="minorEastAsia"/>
        </w:rPr>
        <w:t>imputed total direct care labour mi</w:t>
      </w:r>
      <w:r w:rsidR="00FC58FB">
        <w:rPr>
          <w:rFonts w:eastAsiaTheme="minorEastAsia"/>
        </w:rPr>
        <w:t>nutes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oMath>
      <w:r w:rsidR="00FC58FB">
        <w:rPr>
          <w:rFonts w:eastAsiaTheme="minorEastAsia"/>
        </w:rPr>
        <w:t xml:space="preserve">) are used in place of </w:t>
      </w:r>
      <w:r w:rsidR="00AD110B">
        <w:rPr>
          <w:rFonts w:eastAsiaTheme="minorEastAsia"/>
        </w:rPr>
        <w:t>their source counterparts reported in the ACFR.</w:t>
      </w:r>
    </w:p>
    <w:p w14:paraId="6FF48D43" w14:textId="347A5814" w:rsidR="00902426" w:rsidRDefault="00902426" w:rsidP="00A6069A">
      <w:r>
        <w:br w:type="page"/>
      </w:r>
    </w:p>
    <w:p w14:paraId="6C70005E" w14:textId="694DFD1F" w:rsidR="008C67E1" w:rsidRDefault="008C67E1" w:rsidP="00C073F7">
      <w:pPr>
        <w:pStyle w:val="Heading1"/>
      </w:pPr>
      <w:bookmarkStart w:id="13" w:name="_Ref120603754"/>
      <w:bookmarkStart w:id="14" w:name="_Toc120797011"/>
      <w:bookmarkStart w:id="15" w:name="_Toc134183598"/>
      <w:r>
        <w:lastRenderedPageBreak/>
        <w:t>Sample selection</w:t>
      </w:r>
      <w:bookmarkEnd w:id="13"/>
      <w:bookmarkEnd w:id="14"/>
      <w:bookmarkEnd w:id="15"/>
    </w:p>
    <w:p w14:paraId="220A03B4" w14:textId="257D8F9D" w:rsidR="007A0E35" w:rsidRDefault="007A0E35" w:rsidP="005B4443">
      <w:pPr>
        <w:pStyle w:val="Heading2"/>
      </w:pPr>
      <w:bookmarkStart w:id="16" w:name="_Ref120603763"/>
      <w:bookmarkStart w:id="17" w:name="_Toc134183599"/>
      <w:r>
        <w:t>Trimming rules</w:t>
      </w:r>
      <w:bookmarkEnd w:id="16"/>
      <w:bookmarkEnd w:id="17"/>
    </w:p>
    <w:p w14:paraId="195DE120" w14:textId="5839354E" w:rsidR="00B66FCC" w:rsidRDefault="00544B58">
      <w:pPr>
        <w:spacing w:line="259" w:lineRule="auto"/>
      </w:pPr>
      <w:r>
        <w:t xml:space="preserve">Before modelling, the </w:t>
      </w:r>
      <w:r w:rsidR="00EB0933">
        <w:t>Aged Care Financial Report (ACFR) 2020-21</w:t>
      </w:r>
      <w:r>
        <w:t xml:space="preserve"> data is </w:t>
      </w:r>
      <w:r w:rsidR="00E933D4">
        <w:t xml:space="preserve">trimmed to </w:t>
      </w:r>
      <w:r w:rsidR="00F22588">
        <w:t xml:space="preserve">exclude facilities that have </w:t>
      </w:r>
      <w:r w:rsidR="00310CBD">
        <w:t xml:space="preserve">anomalous or </w:t>
      </w:r>
      <w:r w:rsidR="00F22588">
        <w:t>unexpected</w:t>
      </w:r>
      <w:r w:rsidR="00310CBD">
        <w:t xml:space="preserve"> values for fields used in the model</w:t>
      </w:r>
      <w:r w:rsidR="00AD4F81">
        <w:t xml:space="preserve">. </w:t>
      </w:r>
      <w:r w:rsidR="00BE4C37">
        <w:t>The Independent Health and Aged Care Pricing Authority (</w:t>
      </w:r>
      <w:r w:rsidR="00AD4F81">
        <w:t>IHACPA</w:t>
      </w:r>
      <w:r w:rsidR="00BE4C37">
        <w:t>)</w:t>
      </w:r>
      <w:r w:rsidR="00AD4F81">
        <w:t xml:space="preserve"> </w:t>
      </w:r>
      <w:r w:rsidR="176C35DC">
        <w:t xml:space="preserve">has </w:t>
      </w:r>
      <w:r w:rsidR="00AD4F81">
        <w:t>develop</w:t>
      </w:r>
      <w:r w:rsidR="1BE2DB42">
        <w:t>ed</w:t>
      </w:r>
      <w:r w:rsidR="00AD4F81">
        <w:t xml:space="preserve"> a list of </w:t>
      </w:r>
      <w:r w:rsidR="002F7514">
        <w:t>rules which trim out facilities according to a list of reasonably conservative rules</w:t>
      </w:r>
      <w:r w:rsidR="005B5139">
        <w:t xml:space="preserve">. The list of rules and their impact on the ACFR </w:t>
      </w:r>
      <w:r w:rsidR="3A5B8CFE">
        <w:t xml:space="preserve">sample </w:t>
      </w:r>
      <w:r w:rsidR="005B5139">
        <w:t xml:space="preserve">is shown in </w:t>
      </w:r>
      <w:r w:rsidR="005B5139">
        <w:fldChar w:fldCharType="begin"/>
      </w:r>
      <w:r w:rsidR="005B5139">
        <w:instrText xml:space="preserve"> REF _Ref120524514 \h </w:instrText>
      </w:r>
      <w:r w:rsidR="005B5139">
        <w:fldChar w:fldCharType="separate"/>
      </w:r>
      <w:r w:rsidR="00B1072E">
        <w:t>Table </w:t>
      </w:r>
      <w:r w:rsidR="00B1072E">
        <w:rPr>
          <w:noProof/>
        </w:rPr>
        <w:t>3</w:t>
      </w:r>
      <w:r w:rsidR="005B5139">
        <w:fldChar w:fldCharType="end"/>
      </w:r>
      <w:r w:rsidR="005B5139">
        <w:t>.</w:t>
      </w:r>
    </w:p>
    <w:p w14:paraId="7BAF58C6" w14:textId="4C048C47" w:rsidR="00AB403C" w:rsidRDefault="00273B40" w:rsidP="005B5139">
      <w:pPr>
        <w:pStyle w:val="TableFigureheading"/>
      </w:pPr>
      <w:bookmarkStart w:id="18" w:name="_Ref120524514"/>
      <w:r>
        <w:t>Table </w:t>
      </w:r>
      <w:fldSimple w:instr=" SEQ Table \* ARABIC ">
        <w:r w:rsidR="00B1072E">
          <w:rPr>
            <w:noProof/>
          </w:rPr>
          <w:t>3</w:t>
        </w:r>
      </w:fldSimple>
      <w:bookmarkEnd w:id="18"/>
      <w:r w:rsidR="009C082C">
        <w:t xml:space="preserve">: </w:t>
      </w:r>
      <w:r w:rsidR="005B5139">
        <w:t>Trimming rules and their impact on ACFR data</w:t>
      </w:r>
    </w:p>
    <w:tbl>
      <w:tblPr>
        <w:tblStyle w:val="IHPATable"/>
        <w:tblW w:w="5000" w:type="pct"/>
        <w:tblLook w:val="0020" w:firstRow="1" w:lastRow="0" w:firstColumn="0" w:lastColumn="0" w:noHBand="0" w:noVBand="0"/>
        <w:tblCaption w:val="Table 10"/>
        <w:tblDescription w:val="Ongoing seconded employees 2021"/>
      </w:tblPr>
      <w:tblGrid>
        <w:gridCol w:w="7939"/>
        <w:gridCol w:w="1802"/>
      </w:tblGrid>
      <w:tr w:rsidR="002A6C50" w:rsidRPr="005F31F5" w14:paraId="411FE1A2" w14:textId="77777777" w:rsidTr="003634AC">
        <w:trPr>
          <w:cnfStyle w:val="100000000000" w:firstRow="1" w:lastRow="0" w:firstColumn="0" w:lastColumn="0" w:oddVBand="0" w:evenVBand="0" w:oddHBand="0" w:evenHBand="0" w:firstRowFirstColumn="0" w:firstRowLastColumn="0" w:lastRowFirstColumn="0" w:lastRowLastColumn="0"/>
          <w:trHeight w:val="20"/>
        </w:trPr>
        <w:tc>
          <w:tcPr>
            <w:tcW w:w="4075" w:type="pct"/>
            <w:tcBorders>
              <w:top w:val="single" w:sz="4" w:space="0" w:color="D9D9D9" w:themeColor="background2" w:themeShade="D9"/>
              <w:bottom w:val="single" w:sz="4" w:space="0" w:color="D9D9D9" w:themeColor="background2" w:themeShade="D9"/>
              <w:right w:val="single" w:sz="4" w:space="0" w:color="FFFFFF" w:themeColor="background2"/>
            </w:tcBorders>
            <w:shd w:val="clear" w:color="auto" w:fill="15272F" w:themeFill="text1"/>
            <w:vAlign w:val="center"/>
          </w:tcPr>
          <w:p w14:paraId="3A40DF0C" w14:textId="198229E7" w:rsidR="00540978" w:rsidRPr="005F31F5" w:rsidRDefault="003E3C25" w:rsidP="003634AC">
            <w:pPr>
              <w:keepNext/>
              <w:spacing w:before="120" w:after="120"/>
              <w:rPr>
                <w:rFonts w:cs="Arial"/>
                <w:b/>
                <w:bCs/>
                <w:color w:val="FFFFFF" w:themeColor="background2"/>
                <w:szCs w:val="18"/>
                <w:lang w:val="en-US"/>
              </w:rPr>
            </w:pPr>
            <w:r>
              <w:rPr>
                <w:rFonts w:cs="Arial"/>
                <w:b/>
                <w:bCs/>
                <w:color w:val="FFFFFF" w:themeColor="background2"/>
                <w:szCs w:val="18"/>
                <w:lang w:val="en-US"/>
              </w:rPr>
              <w:t>Trimming Rule</w:t>
            </w:r>
          </w:p>
        </w:tc>
        <w:tc>
          <w:tcPr>
            <w:tcW w:w="925" w:type="pct"/>
            <w:tcBorders>
              <w:top w:val="single" w:sz="4" w:space="0" w:color="D9D9D9" w:themeColor="background2" w:themeShade="D9"/>
              <w:left w:val="single" w:sz="4" w:space="0" w:color="FFFFFF" w:themeColor="background2"/>
              <w:bottom w:val="single" w:sz="4" w:space="0" w:color="D9D9D9" w:themeColor="background2" w:themeShade="D9"/>
              <w:right w:val="single" w:sz="4" w:space="0" w:color="FFFFFF" w:themeColor="background2"/>
            </w:tcBorders>
            <w:shd w:val="clear" w:color="auto" w:fill="15272F" w:themeFill="text1"/>
            <w:vAlign w:val="center"/>
          </w:tcPr>
          <w:p w14:paraId="65B9B509" w14:textId="1C4B8609" w:rsidR="00540978" w:rsidRPr="005F31F5" w:rsidRDefault="003E3C25" w:rsidP="003634AC">
            <w:pPr>
              <w:keepNext/>
              <w:spacing w:before="120" w:after="120"/>
              <w:rPr>
                <w:rFonts w:cs="Arial"/>
                <w:b/>
                <w:bCs/>
                <w:color w:val="FFFFFF" w:themeColor="background2"/>
                <w:szCs w:val="18"/>
                <w:lang w:val="en-US"/>
              </w:rPr>
            </w:pPr>
            <w:r>
              <w:rPr>
                <w:rFonts w:cs="Arial"/>
                <w:b/>
                <w:bCs/>
                <w:color w:val="FFFFFF" w:themeColor="background2"/>
                <w:szCs w:val="18"/>
                <w:lang w:val="en-US"/>
              </w:rPr>
              <w:t>Records</w:t>
            </w:r>
          </w:p>
        </w:tc>
      </w:tr>
      <w:tr w:rsidR="002A6C50" w:rsidRPr="00294A1A" w14:paraId="2F1A3142"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shd w:val="clear" w:color="auto" w:fill="DFEBF1" w:themeFill="text2" w:themeFillTint="1A"/>
            <w:vAlign w:val="center"/>
          </w:tcPr>
          <w:p w14:paraId="7F1FE2A2" w14:textId="6DFF43DE" w:rsidR="002A6C50" w:rsidRPr="00294A1A" w:rsidRDefault="002A6C50" w:rsidP="00CD68E0">
            <w:pPr>
              <w:keepNext/>
              <w:spacing w:before="120" w:after="120"/>
              <w:rPr>
                <w:rFonts w:cs="Arial"/>
                <w:b/>
                <w:bCs/>
                <w:color w:val="000000"/>
                <w:sz w:val="16"/>
                <w:szCs w:val="16"/>
                <w:lang w:val="en-US"/>
              </w:rPr>
            </w:pPr>
            <w:r w:rsidRPr="00294A1A">
              <w:rPr>
                <w:rFonts w:cs="Arial"/>
                <w:b/>
                <w:bCs/>
                <w:color w:val="1C1C1C"/>
                <w:sz w:val="16"/>
                <w:szCs w:val="16"/>
              </w:rPr>
              <w:t>ACFR data with duplicates removed</w:t>
            </w:r>
          </w:p>
        </w:tc>
        <w:tc>
          <w:tcPr>
            <w:tcW w:w="925" w:type="pct"/>
            <w:tcBorders>
              <w:left w:val="single" w:sz="4" w:space="0" w:color="FFFFFF" w:themeColor="background2"/>
            </w:tcBorders>
            <w:shd w:val="clear" w:color="auto" w:fill="DFEBF1" w:themeFill="text2" w:themeFillTint="1A"/>
            <w:vAlign w:val="center"/>
          </w:tcPr>
          <w:p w14:paraId="05465871" w14:textId="31AA6CD9" w:rsidR="002A6C50" w:rsidRPr="00294A1A" w:rsidRDefault="001836E8" w:rsidP="00CD68E0">
            <w:pPr>
              <w:keepNext/>
              <w:spacing w:before="120" w:after="120"/>
              <w:jc w:val="right"/>
              <w:rPr>
                <w:rFonts w:cs="Arial"/>
                <w:b/>
                <w:bCs/>
                <w:color w:val="1C1C1C"/>
                <w:sz w:val="16"/>
                <w:szCs w:val="16"/>
              </w:rPr>
            </w:pPr>
            <w:r w:rsidRPr="00294A1A">
              <w:rPr>
                <w:rFonts w:cs="Arial"/>
                <w:b/>
                <w:bCs/>
                <w:color w:val="1C1C1C"/>
                <w:sz w:val="16"/>
                <w:szCs w:val="16"/>
              </w:rPr>
              <w:t>2,466</w:t>
            </w:r>
          </w:p>
        </w:tc>
      </w:tr>
      <w:tr w:rsidR="002A6C50" w:rsidRPr="00294A1A" w14:paraId="3C120AAB"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bottom w:val="single" w:sz="4" w:space="0" w:color="D9D9D9" w:themeColor="background2" w:themeShade="D9"/>
              <w:right w:val="single" w:sz="4" w:space="0" w:color="FFFFFF" w:themeColor="background2"/>
            </w:tcBorders>
            <w:vAlign w:val="center"/>
          </w:tcPr>
          <w:p w14:paraId="1AE07623" w14:textId="30AEC1DB" w:rsidR="002A6C50" w:rsidRPr="00294A1A" w:rsidRDefault="002A6C50" w:rsidP="003E3C25">
            <w:pPr>
              <w:pStyle w:val="ListParagraph"/>
              <w:keepNext/>
              <w:numPr>
                <w:ilvl w:val="0"/>
                <w:numId w:val="35"/>
              </w:numPr>
              <w:spacing w:before="120" w:after="120"/>
              <w:rPr>
                <w:rFonts w:cs="Arial"/>
                <w:color w:val="000000"/>
                <w:sz w:val="16"/>
                <w:szCs w:val="16"/>
                <w:lang w:val="en-US"/>
              </w:rPr>
            </w:pPr>
            <w:r w:rsidRPr="00294A1A">
              <w:rPr>
                <w:rFonts w:cs="Arial"/>
                <w:color w:val="1C1C1C"/>
                <w:sz w:val="16"/>
                <w:szCs w:val="16"/>
              </w:rPr>
              <w:t>Registered Nurse (RN) cost per hour of labour less than the minimum RN award rate</w:t>
            </w:r>
            <w:r w:rsidR="00436198">
              <w:rPr>
                <w:rFonts w:cs="Arial"/>
                <w:color w:val="1C1C1C"/>
                <w:sz w:val="16"/>
                <w:szCs w:val="16"/>
              </w:rPr>
              <w:t xml:space="preserve"> of $42.96</w:t>
            </w:r>
          </w:p>
        </w:tc>
        <w:tc>
          <w:tcPr>
            <w:tcW w:w="925"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3020E94B" w14:textId="108DC6B2" w:rsidR="002A6C50" w:rsidRPr="00294A1A" w:rsidRDefault="001836E8" w:rsidP="00CD68E0">
            <w:pPr>
              <w:keepNext/>
              <w:spacing w:before="120" w:after="120"/>
              <w:jc w:val="right"/>
              <w:rPr>
                <w:rFonts w:cs="Arial"/>
                <w:color w:val="1C1C1C"/>
                <w:sz w:val="16"/>
                <w:szCs w:val="16"/>
              </w:rPr>
            </w:pPr>
            <w:r w:rsidRPr="00294A1A">
              <w:rPr>
                <w:rFonts w:cs="Arial"/>
                <w:color w:val="1C1C1C"/>
                <w:sz w:val="16"/>
                <w:szCs w:val="16"/>
              </w:rPr>
              <w:t>-130</w:t>
            </w:r>
          </w:p>
        </w:tc>
      </w:tr>
      <w:tr w:rsidR="002A6C50" w:rsidRPr="00294A1A" w14:paraId="69736A0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vAlign w:val="center"/>
          </w:tcPr>
          <w:p w14:paraId="1B3010E0" w14:textId="0EE87F55" w:rsidR="002A6C50" w:rsidRPr="00294A1A" w:rsidRDefault="002A6C50" w:rsidP="003E3C25">
            <w:pPr>
              <w:pStyle w:val="ListParagraph"/>
              <w:keepNext/>
              <w:numPr>
                <w:ilvl w:val="0"/>
                <w:numId w:val="35"/>
              </w:numPr>
              <w:spacing w:before="120" w:after="120"/>
              <w:rPr>
                <w:rFonts w:cs="Arial"/>
                <w:color w:val="000000"/>
                <w:sz w:val="16"/>
                <w:szCs w:val="16"/>
                <w:lang w:val="en-US"/>
              </w:rPr>
            </w:pPr>
            <w:r w:rsidRPr="00294A1A">
              <w:rPr>
                <w:rFonts w:cs="Arial"/>
                <w:color w:val="1C1C1C"/>
                <w:sz w:val="16"/>
                <w:szCs w:val="16"/>
              </w:rPr>
              <w:t>Enrolled Nurse (EN) cost per hour of labour less than the minimum EN award rate</w:t>
            </w:r>
            <w:r w:rsidR="00436198">
              <w:rPr>
                <w:rFonts w:cs="Arial"/>
                <w:color w:val="1C1C1C"/>
                <w:sz w:val="16"/>
                <w:szCs w:val="16"/>
              </w:rPr>
              <w:t xml:space="preserve"> of $40.22</w:t>
            </w:r>
          </w:p>
        </w:tc>
        <w:tc>
          <w:tcPr>
            <w:tcW w:w="925" w:type="pct"/>
            <w:tcBorders>
              <w:left w:val="single" w:sz="4" w:space="0" w:color="FFFFFF" w:themeColor="background2"/>
            </w:tcBorders>
            <w:shd w:val="clear" w:color="auto" w:fill="F2F2F2" w:themeFill="accent6" w:themeFillShade="F2"/>
            <w:vAlign w:val="center"/>
          </w:tcPr>
          <w:p w14:paraId="1E04112F" w14:textId="32E30794" w:rsidR="002A6C50" w:rsidRPr="00294A1A" w:rsidRDefault="001836E8" w:rsidP="00CD68E0">
            <w:pPr>
              <w:keepNext/>
              <w:spacing w:before="120" w:after="120"/>
              <w:jc w:val="right"/>
              <w:rPr>
                <w:rFonts w:cs="Arial"/>
                <w:color w:val="1C1C1C"/>
                <w:sz w:val="16"/>
                <w:szCs w:val="16"/>
              </w:rPr>
            </w:pPr>
            <w:r w:rsidRPr="00294A1A">
              <w:rPr>
                <w:rFonts w:cs="Arial"/>
                <w:color w:val="1C1C1C"/>
                <w:sz w:val="16"/>
                <w:szCs w:val="16"/>
              </w:rPr>
              <w:t>-943</w:t>
            </w:r>
          </w:p>
        </w:tc>
      </w:tr>
      <w:tr w:rsidR="002A6C50" w:rsidRPr="00294A1A" w14:paraId="39433D8B"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bottom w:val="single" w:sz="4" w:space="0" w:color="D9D9D9" w:themeColor="background2" w:themeShade="D9"/>
              <w:right w:val="single" w:sz="4" w:space="0" w:color="FFFFFF" w:themeColor="background2"/>
            </w:tcBorders>
            <w:vAlign w:val="center"/>
          </w:tcPr>
          <w:p w14:paraId="0BB7EFEE" w14:textId="483400B2" w:rsidR="002A6C50" w:rsidRPr="00294A1A" w:rsidRDefault="005C3C3F"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Labour costs are reported with zero care hours, or care hours reported with zero cost</w:t>
            </w:r>
          </w:p>
        </w:tc>
        <w:tc>
          <w:tcPr>
            <w:tcW w:w="925"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2A7C3F53" w14:textId="27BAAA4A" w:rsidR="002A6C50" w:rsidRPr="00294A1A" w:rsidRDefault="006E75C3" w:rsidP="00CD68E0">
            <w:pPr>
              <w:keepNext/>
              <w:spacing w:before="120" w:after="120"/>
              <w:jc w:val="right"/>
              <w:rPr>
                <w:rFonts w:cs="Arial"/>
                <w:color w:val="1C1C1C"/>
                <w:sz w:val="16"/>
                <w:szCs w:val="16"/>
              </w:rPr>
            </w:pPr>
            <w:r w:rsidRPr="00294A1A">
              <w:rPr>
                <w:rFonts w:cs="Arial"/>
                <w:color w:val="1C1C1C"/>
                <w:sz w:val="16"/>
                <w:szCs w:val="16"/>
              </w:rPr>
              <w:t>-154</w:t>
            </w:r>
          </w:p>
        </w:tc>
      </w:tr>
      <w:tr w:rsidR="002A6C50" w:rsidRPr="00294A1A" w14:paraId="6E65BB4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vAlign w:val="center"/>
          </w:tcPr>
          <w:p w14:paraId="639CC9B2" w14:textId="64C2FBD1" w:rsidR="002A6C50" w:rsidRPr="00294A1A" w:rsidRDefault="00450BE0"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 xml:space="preserve">Facility had a sanction imposed by the Aged Care Safety and Quality </w:t>
            </w:r>
            <w:r w:rsidR="0026307C" w:rsidRPr="00294A1A">
              <w:rPr>
                <w:rFonts w:cs="Arial"/>
                <w:color w:val="000000"/>
                <w:sz w:val="16"/>
                <w:szCs w:val="16"/>
                <w:lang w:val="en-US"/>
              </w:rPr>
              <w:t>C</w:t>
            </w:r>
            <w:r w:rsidRPr="00294A1A">
              <w:rPr>
                <w:rFonts w:cs="Arial"/>
                <w:color w:val="000000"/>
                <w:sz w:val="16"/>
                <w:szCs w:val="16"/>
                <w:lang w:val="en-US"/>
              </w:rPr>
              <w:t xml:space="preserve">ommission </w:t>
            </w:r>
            <w:r w:rsidR="0026307C" w:rsidRPr="00294A1A">
              <w:rPr>
                <w:rFonts w:cs="Arial"/>
                <w:color w:val="000000"/>
                <w:sz w:val="16"/>
                <w:szCs w:val="16"/>
                <w:lang w:val="en-US"/>
              </w:rPr>
              <w:t xml:space="preserve">(the Commission) </w:t>
            </w:r>
            <w:r w:rsidRPr="00294A1A">
              <w:rPr>
                <w:rFonts w:cs="Arial"/>
                <w:color w:val="000000"/>
                <w:sz w:val="16"/>
                <w:szCs w:val="16"/>
                <w:lang w:val="en-US"/>
              </w:rPr>
              <w:t>in 2020-21</w:t>
            </w:r>
          </w:p>
        </w:tc>
        <w:tc>
          <w:tcPr>
            <w:tcW w:w="925" w:type="pct"/>
            <w:tcBorders>
              <w:left w:val="single" w:sz="4" w:space="0" w:color="FFFFFF" w:themeColor="background2"/>
            </w:tcBorders>
            <w:shd w:val="clear" w:color="auto" w:fill="F2F2F2" w:themeFill="accent6" w:themeFillShade="F2"/>
            <w:vAlign w:val="center"/>
          </w:tcPr>
          <w:p w14:paraId="10F2A774" w14:textId="256D2E2A" w:rsidR="002A6C50" w:rsidRPr="00294A1A" w:rsidRDefault="00450BE0" w:rsidP="00CD68E0">
            <w:pPr>
              <w:keepNext/>
              <w:spacing w:before="120" w:after="120"/>
              <w:jc w:val="right"/>
              <w:rPr>
                <w:rFonts w:cs="Arial"/>
                <w:color w:val="1C1C1C"/>
                <w:sz w:val="16"/>
                <w:szCs w:val="16"/>
              </w:rPr>
            </w:pPr>
            <w:r w:rsidRPr="00294A1A">
              <w:rPr>
                <w:rFonts w:cs="Arial"/>
                <w:color w:val="1C1C1C"/>
                <w:sz w:val="16"/>
                <w:szCs w:val="16"/>
              </w:rPr>
              <w:t>-10</w:t>
            </w:r>
          </w:p>
        </w:tc>
      </w:tr>
      <w:tr w:rsidR="006E75C3" w:rsidRPr="00294A1A" w14:paraId="340314A4"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right w:val="single" w:sz="4" w:space="0" w:color="FFFFFF" w:themeColor="background2"/>
            </w:tcBorders>
            <w:vAlign w:val="center"/>
          </w:tcPr>
          <w:p w14:paraId="701E81B4" w14:textId="54396F4F" w:rsidR="006E75C3" w:rsidRPr="00294A1A" w:rsidRDefault="00450BE0"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 xml:space="preserve">Facility </w:t>
            </w:r>
            <w:r w:rsidR="004C6AC9" w:rsidRPr="00294A1A">
              <w:rPr>
                <w:rFonts w:cs="Arial"/>
                <w:color w:val="000000"/>
                <w:sz w:val="16"/>
                <w:szCs w:val="16"/>
                <w:lang w:val="en-US"/>
              </w:rPr>
              <w:t xml:space="preserve">was non-compliant with one or more aged care responsibilities under the </w:t>
            </w:r>
            <w:r w:rsidR="004C6AC9" w:rsidRPr="00294A1A">
              <w:rPr>
                <w:rFonts w:cs="Arial"/>
                <w:i/>
                <w:iCs/>
                <w:color w:val="000000"/>
                <w:sz w:val="16"/>
                <w:szCs w:val="16"/>
                <w:lang w:val="en-US"/>
              </w:rPr>
              <w:t>Aged Care Act 2017</w:t>
            </w:r>
            <w:r w:rsidR="004C6AC9" w:rsidRPr="00294A1A">
              <w:rPr>
                <w:rFonts w:cs="Arial"/>
                <w:color w:val="000000"/>
                <w:sz w:val="16"/>
                <w:szCs w:val="16"/>
                <w:lang w:val="en-US"/>
              </w:rPr>
              <w:t xml:space="preserve"> </w:t>
            </w:r>
          </w:p>
        </w:tc>
        <w:tc>
          <w:tcPr>
            <w:tcW w:w="925" w:type="pct"/>
            <w:tcBorders>
              <w:left w:val="single" w:sz="4" w:space="0" w:color="FFFFFF" w:themeColor="background2"/>
            </w:tcBorders>
            <w:shd w:val="clear" w:color="auto" w:fill="F2F2F2" w:themeFill="accent6" w:themeFillShade="F2"/>
            <w:vAlign w:val="center"/>
          </w:tcPr>
          <w:p w14:paraId="5D62D7F1" w14:textId="061DDE3F" w:rsidR="006E75C3" w:rsidRPr="00294A1A" w:rsidRDefault="00230904" w:rsidP="00CD68E0">
            <w:pPr>
              <w:keepNext/>
              <w:spacing w:before="120" w:after="120"/>
              <w:jc w:val="right"/>
              <w:rPr>
                <w:rFonts w:cs="Arial"/>
                <w:color w:val="1C1C1C"/>
                <w:sz w:val="16"/>
                <w:szCs w:val="16"/>
              </w:rPr>
            </w:pPr>
            <w:r w:rsidRPr="00294A1A">
              <w:rPr>
                <w:rFonts w:cs="Arial"/>
                <w:color w:val="1C1C1C"/>
                <w:sz w:val="16"/>
                <w:szCs w:val="16"/>
              </w:rPr>
              <w:t>-50</w:t>
            </w:r>
          </w:p>
        </w:tc>
      </w:tr>
      <w:tr w:rsidR="006E75C3" w:rsidRPr="00294A1A" w14:paraId="5469F09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shd w:val="clear" w:color="auto" w:fill="DFEBF1" w:themeFill="text2" w:themeFillTint="1A"/>
            <w:vAlign w:val="center"/>
          </w:tcPr>
          <w:p w14:paraId="6CC5A8A9" w14:textId="5A6DB71A" w:rsidR="006E75C3" w:rsidRPr="00294A1A" w:rsidRDefault="006E75C3" w:rsidP="00CD68E0">
            <w:pPr>
              <w:keepNext/>
              <w:spacing w:before="120" w:after="120"/>
              <w:rPr>
                <w:rFonts w:cs="Arial"/>
                <w:b/>
                <w:bCs/>
                <w:color w:val="000000"/>
                <w:sz w:val="16"/>
                <w:szCs w:val="16"/>
                <w:lang w:val="en-US"/>
              </w:rPr>
            </w:pPr>
            <w:r w:rsidRPr="00294A1A">
              <w:rPr>
                <w:rFonts w:cs="Arial"/>
                <w:b/>
                <w:bCs/>
                <w:color w:val="000000"/>
                <w:sz w:val="16"/>
                <w:szCs w:val="16"/>
                <w:lang w:val="en-US"/>
              </w:rPr>
              <w:t>Trimmed ACFR data</w:t>
            </w:r>
          </w:p>
        </w:tc>
        <w:tc>
          <w:tcPr>
            <w:tcW w:w="925" w:type="pct"/>
            <w:tcBorders>
              <w:left w:val="single" w:sz="4" w:space="0" w:color="FFFFFF" w:themeColor="background2"/>
            </w:tcBorders>
            <w:shd w:val="clear" w:color="auto" w:fill="DFEBF1" w:themeFill="text2" w:themeFillTint="1A"/>
            <w:vAlign w:val="center"/>
          </w:tcPr>
          <w:p w14:paraId="75E45A52" w14:textId="63845730" w:rsidR="006E75C3" w:rsidRPr="00294A1A" w:rsidRDefault="00CD68E0" w:rsidP="00CD68E0">
            <w:pPr>
              <w:keepNext/>
              <w:spacing w:before="120" w:after="120"/>
              <w:jc w:val="right"/>
              <w:rPr>
                <w:rFonts w:cs="Arial"/>
                <w:b/>
                <w:bCs/>
                <w:color w:val="1C1C1C"/>
                <w:sz w:val="16"/>
                <w:szCs w:val="16"/>
              </w:rPr>
            </w:pPr>
            <w:r w:rsidRPr="00294A1A">
              <w:rPr>
                <w:rFonts w:cs="Arial"/>
                <w:b/>
                <w:bCs/>
                <w:color w:val="1C1C1C"/>
                <w:sz w:val="16"/>
                <w:szCs w:val="16"/>
              </w:rPr>
              <w:t>1,179</w:t>
            </w:r>
          </w:p>
        </w:tc>
      </w:tr>
    </w:tbl>
    <w:p w14:paraId="349B05F9" w14:textId="2CCD1214" w:rsidR="006D1E79" w:rsidRDefault="006D1E79">
      <w:pPr>
        <w:spacing w:line="259" w:lineRule="auto"/>
      </w:pPr>
    </w:p>
    <w:p w14:paraId="523B655A" w14:textId="77777777" w:rsidR="006D1E79" w:rsidRDefault="006D1E79">
      <w:pPr>
        <w:spacing w:line="259" w:lineRule="auto"/>
      </w:pPr>
      <w:r>
        <w:br w:type="page"/>
      </w:r>
    </w:p>
    <w:p w14:paraId="00E0337B" w14:textId="63E66395" w:rsidR="001D61B3" w:rsidRDefault="00884F76" w:rsidP="00C073F7">
      <w:pPr>
        <w:pStyle w:val="Heading1"/>
      </w:pPr>
      <w:bookmarkStart w:id="19" w:name="_Toc120801398"/>
      <w:bookmarkStart w:id="20" w:name="_Toc120803697"/>
      <w:bookmarkStart w:id="21" w:name="_Toc120805882"/>
      <w:bookmarkStart w:id="22" w:name="_Toc120801399"/>
      <w:bookmarkStart w:id="23" w:name="_Toc120803698"/>
      <w:bookmarkStart w:id="24" w:name="_Toc120805883"/>
      <w:bookmarkStart w:id="25" w:name="_Toc120797012"/>
      <w:bookmarkStart w:id="26" w:name="_Toc134183600"/>
      <w:bookmarkEnd w:id="19"/>
      <w:bookmarkEnd w:id="20"/>
      <w:bookmarkEnd w:id="21"/>
      <w:bookmarkEnd w:id="22"/>
      <w:bookmarkEnd w:id="23"/>
      <w:bookmarkEnd w:id="24"/>
      <w:r w:rsidRPr="00B61ED7">
        <w:lastRenderedPageBreak/>
        <w:t>A</w:t>
      </w:r>
      <w:r w:rsidR="001D61B3" w:rsidRPr="00B61ED7">
        <w:t>djustments</w:t>
      </w:r>
      <w:bookmarkEnd w:id="25"/>
      <w:bookmarkEnd w:id="26"/>
    </w:p>
    <w:p w14:paraId="2FD4FFED" w14:textId="0863DAC1" w:rsidR="004D3357" w:rsidRDefault="004D3357" w:rsidP="004D3357">
      <w:r>
        <w:t xml:space="preserve">The Residential Aged Care Pricing Advice 2023–24 (RACPA23) </w:t>
      </w:r>
      <w:r w:rsidR="00933FCC">
        <w:t xml:space="preserve">uses </w:t>
      </w:r>
      <w:r>
        <w:t xml:space="preserve">an interim methodology developed by </w:t>
      </w:r>
      <w:r w:rsidR="00BE4C37">
        <w:t xml:space="preserve">the Independent </w:t>
      </w:r>
      <w:r w:rsidR="009E26FC">
        <w:t>Health</w:t>
      </w:r>
      <w:r w:rsidR="00BE4C37">
        <w:t xml:space="preserve"> and Aged Care Pricing Authority (</w:t>
      </w:r>
      <w:r>
        <w:t>IHACPA</w:t>
      </w:r>
      <w:r w:rsidR="00BE4C37">
        <w:t>)</w:t>
      </w:r>
      <w:r>
        <w:t xml:space="preserve"> </w:t>
      </w:r>
      <w:r w:rsidR="00DD2E88">
        <w:t>because of the lack of recent</w:t>
      </w:r>
      <w:r>
        <w:t xml:space="preserve"> cost data and limited activity data following implementation of the </w:t>
      </w:r>
      <w:r w:rsidR="00666E77">
        <w:t>Australian National Aged Care Classification (AN-ACC)</w:t>
      </w:r>
      <w:r>
        <w:t xml:space="preserve"> funding model on 1</w:t>
      </w:r>
      <w:r w:rsidR="00273B40">
        <w:t> </w:t>
      </w:r>
      <w:r>
        <w:t>October 2022. This interim methodology will be reassessed when providing Residential Aged Care Pricing Advice for 2024–25.</w:t>
      </w:r>
      <w:r w:rsidR="00666E77">
        <w:t xml:space="preserve"> </w:t>
      </w:r>
    </w:p>
    <w:p w14:paraId="196B061C" w14:textId="15CACAB3" w:rsidR="004D3357" w:rsidRDefault="004D3357" w:rsidP="004D3357">
      <w:r>
        <w:t xml:space="preserve">The Department of Health and Aged Care’s (the Department’s) initial price of $216.80 </w:t>
      </w:r>
      <w:r w:rsidR="00A47BB7">
        <w:t xml:space="preserve">(ACP22) </w:t>
      </w:r>
      <w:r>
        <w:t>was used as a starting point and was updated based on forecast cost impacts in the delivery of residential aged care and residential respite care services.</w:t>
      </w:r>
    </w:p>
    <w:p w14:paraId="39D61FF0" w14:textId="77777777" w:rsidR="004D3357" w:rsidRDefault="004D3357" w:rsidP="004D3357">
      <w:r>
        <w:t>The key aspects considered in this interim methodology included:</w:t>
      </w:r>
    </w:p>
    <w:p w14:paraId="13DDC1E9" w14:textId="7AE908B6" w:rsidR="00673AD2" w:rsidRDefault="00A5157F" w:rsidP="00673AD2">
      <w:pPr>
        <w:pStyle w:val="ListLevel1"/>
        <w:keepNext/>
        <w:ind w:left="1077" w:hanging="357"/>
      </w:pPr>
      <w:r>
        <w:t xml:space="preserve">Bundling of, and subsequent </w:t>
      </w:r>
      <w:r w:rsidR="00BA0856">
        <w:t xml:space="preserve">Department </w:t>
      </w:r>
      <w:r w:rsidR="0089189F">
        <w:t xml:space="preserve">feedback </w:t>
      </w:r>
      <w:r w:rsidR="00BA0856">
        <w:t xml:space="preserve">on the Government’s proposed </w:t>
      </w:r>
      <w:r>
        <w:t xml:space="preserve">decision to unbundle, </w:t>
      </w:r>
      <w:r w:rsidR="00673AD2">
        <w:t xml:space="preserve">the Basic Daily Fee (BDF) supplement </w:t>
      </w:r>
      <w:r w:rsidR="00BF22B1">
        <w:t xml:space="preserve">from </w:t>
      </w:r>
      <w:r w:rsidR="00673AD2">
        <w:t>the AN-ACC price</w:t>
      </w:r>
    </w:p>
    <w:p w14:paraId="75A8BED4" w14:textId="43E4D587" w:rsidR="00B8388F" w:rsidRDefault="00B8388F" w:rsidP="00B8388F">
      <w:pPr>
        <w:pStyle w:val="ListLevel1"/>
        <w:keepNext/>
        <w:ind w:left="1077" w:hanging="357"/>
      </w:pPr>
      <w:r>
        <w:t xml:space="preserve">Inflation and wage increases in </w:t>
      </w:r>
      <w:r w:rsidR="00A47BB7">
        <w:t xml:space="preserve">2021 and </w:t>
      </w:r>
      <w:r>
        <w:t xml:space="preserve">2022 that were not fully captured in </w:t>
      </w:r>
      <w:r w:rsidR="00690B06">
        <w:t>ACP22</w:t>
      </w:r>
    </w:p>
    <w:p w14:paraId="0FCE2E53" w14:textId="3C78EF16" w:rsidR="004F2DC0" w:rsidRDefault="004F2DC0" w:rsidP="004F2DC0">
      <w:pPr>
        <w:pStyle w:val="ListLevel1"/>
        <w:keepNext/>
        <w:ind w:left="1077" w:hanging="357"/>
      </w:pPr>
      <w:r>
        <w:t>21 February 2023 Stage 2 Fair Work Commission (FWC) interim decision to increase wages for direct care aged care workers and recreation</w:t>
      </w:r>
      <w:r w:rsidR="00A44CCF">
        <w:t>/lifestyle</w:t>
      </w:r>
      <w:r>
        <w:t xml:space="preserve"> officers</w:t>
      </w:r>
    </w:p>
    <w:p w14:paraId="57615E47" w14:textId="60B090DB" w:rsidR="004D3357" w:rsidRDefault="004D3357" w:rsidP="007D6CCE">
      <w:pPr>
        <w:pStyle w:val="ListLevel1"/>
      </w:pPr>
      <w:r>
        <w:t>Superannuation Guarantee increase</w:t>
      </w:r>
    </w:p>
    <w:p w14:paraId="4D6AAF18" w14:textId="70B1FE04" w:rsidR="004D3357" w:rsidRDefault="004D3357" w:rsidP="007D6CCE">
      <w:pPr>
        <w:pStyle w:val="ListLevel1"/>
      </w:pPr>
      <w:r>
        <w:t>Indexation of historical cost data to account for underlying price inflation</w:t>
      </w:r>
    </w:p>
    <w:p w14:paraId="141EB1A5" w14:textId="776AE532" w:rsidR="00C93CF1" w:rsidRDefault="004D3357" w:rsidP="007D6CCE">
      <w:pPr>
        <w:pStyle w:val="ListLevel1"/>
      </w:pPr>
      <w:r>
        <w:t>Analysis of any potential shortfall in funding for hotel costs.</w:t>
      </w:r>
    </w:p>
    <w:p w14:paraId="04A57EFD" w14:textId="27523592" w:rsidR="00C145C1" w:rsidRDefault="00AB5F2A" w:rsidP="00C145C1">
      <w:r>
        <w:t xml:space="preserve">The </w:t>
      </w:r>
      <w:r w:rsidR="00911D85">
        <w:t>FWC</w:t>
      </w:r>
      <w:r>
        <w:t xml:space="preserve"> decision and Superannuation Guarantee increase are both prospective adjustments</w:t>
      </w:r>
      <w:r w:rsidR="000826A8">
        <w:t xml:space="preserve"> </w:t>
      </w:r>
      <w:r w:rsidR="00727600">
        <w:t>Prospective</w:t>
      </w:r>
      <w:r w:rsidR="00BF46BE">
        <w:t xml:space="preserve"> adjustments have been an important </w:t>
      </w:r>
      <w:r w:rsidR="007919FA">
        <w:t>aspect</w:t>
      </w:r>
      <w:r w:rsidR="00BF46BE">
        <w:t xml:space="preserve"> of </w:t>
      </w:r>
      <w:r w:rsidR="00727600">
        <w:t xml:space="preserve">the interim methodology but </w:t>
      </w:r>
      <w:r w:rsidR="007919FA">
        <w:t>as costing data improves</w:t>
      </w:r>
      <w:r w:rsidR="006F47DE">
        <w:t xml:space="preserve"> </w:t>
      </w:r>
      <w:r w:rsidR="00727600">
        <w:t>may</w:t>
      </w:r>
      <w:r w:rsidR="000826A8">
        <w:t xml:space="preserve"> not necessarily </w:t>
      </w:r>
      <w:r w:rsidR="006F47DE">
        <w:t xml:space="preserve">be </w:t>
      </w:r>
      <w:r w:rsidR="000826A8">
        <w:t xml:space="preserve">required on an ongoing basis. These adjustments are </w:t>
      </w:r>
      <w:r w:rsidR="00614D74">
        <w:t xml:space="preserve">discussed further </w:t>
      </w:r>
      <w:r w:rsidR="009A3743">
        <w:t xml:space="preserve">in </w:t>
      </w:r>
      <w:r w:rsidR="00CE232C">
        <w:t>subs</w:t>
      </w:r>
      <w:r w:rsidR="009A3743">
        <w:t xml:space="preserve">ections </w:t>
      </w:r>
      <w:r w:rsidR="009A3743">
        <w:fldChar w:fldCharType="begin"/>
      </w:r>
      <w:r w:rsidR="009A3743">
        <w:instrText xml:space="preserve"> REF _Ref120602422 \r \h </w:instrText>
      </w:r>
      <w:r w:rsidR="009A3743">
        <w:fldChar w:fldCharType="separate"/>
      </w:r>
      <w:r w:rsidR="00B1072E">
        <w:t>4.4</w:t>
      </w:r>
      <w:r w:rsidR="009A3743">
        <w:fldChar w:fldCharType="end"/>
      </w:r>
      <w:r w:rsidR="009A3743">
        <w:t xml:space="preserve"> and </w:t>
      </w:r>
      <w:r w:rsidR="009A3743">
        <w:fldChar w:fldCharType="begin"/>
      </w:r>
      <w:r w:rsidR="009A3743">
        <w:instrText xml:space="preserve"> REF _Ref120602428 \r \h </w:instrText>
      </w:r>
      <w:r w:rsidR="009A3743">
        <w:fldChar w:fldCharType="separate"/>
      </w:r>
      <w:r w:rsidR="00B1072E">
        <w:t>4.5</w:t>
      </w:r>
      <w:r w:rsidR="009A3743">
        <w:fldChar w:fldCharType="end"/>
      </w:r>
      <w:r w:rsidR="009A3743">
        <w:t xml:space="preserve"> below.</w:t>
      </w:r>
      <w:r w:rsidR="004B6EF8">
        <w:t xml:space="preserve"> </w:t>
      </w:r>
      <w:r w:rsidR="009A3743">
        <w:t>Indexation</w:t>
      </w:r>
      <w:r w:rsidR="000826A8">
        <w:t xml:space="preserve"> and the analysis of hotel costs are prese</w:t>
      </w:r>
      <w:r w:rsidR="00CE232C">
        <w:t xml:space="preserve">nted in their own sections (sections </w:t>
      </w:r>
      <w:r w:rsidR="00CE232C">
        <w:fldChar w:fldCharType="begin"/>
      </w:r>
      <w:r w:rsidR="00CE232C">
        <w:instrText xml:space="preserve"> REF _Ref120602522 \r \h </w:instrText>
      </w:r>
      <w:r w:rsidR="00CE232C">
        <w:fldChar w:fldCharType="separate"/>
      </w:r>
      <w:r w:rsidR="00B1072E">
        <w:t>5</w:t>
      </w:r>
      <w:r w:rsidR="00CE232C">
        <w:fldChar w:fldCharType="end"/>
      </w:r>
      <w:r w:rsidR="001E0C10">
        <w:t xml:space="preserve"> and </w:t>
      </w:r>
      <w:r w:rsidR="001E0C10">
        <w:fldChar w:fldCharType="begin"/>
      </w:r>
      <w:r w:rsidR="001E0C10">
        <w:instrText xml:space="preserve"> REF _Ref120602553 \r \h </w:instrText>
      </w:r>
      <w:r w:rsidR="001E0C10">
        <w:fldChar w:fldCharType="separate"/>
      </w:r>
      <w:r w:rsidR="00B1072E">
        <w:t>6</w:t>
      </w:r>
      <w:r w:rsidR="001E0C10">
        <w:fldChar w:fldCharType="end"/>
      </w:r>
      <w:r w:rsidR="001E0C10">
        <w:t xml:space="preserve"> respectively).</w:t>
      </w:r>
    </w:p>
    <w:p w14:paraId="5D6A7D37" w14:textId="72AA664E" w:rsidR="00197656" w:rsidRDefault="00197656" w:rsidP="00C145C1">
      <w:r>
        <w:t xml:space="preserve">Before </w:t>
      </w:r>
      <w:r w:rsidR="00C1060F">
        <w:t xml:space="preserve">making any of the prospective adjustments, </w:t>
      </w:r>
      <w:r w:rsidR="00690B06">
        <w:t xml:space="preserve">ACP22 </w:t>
      </w:r>
      <w:r w:rsidR="00C1060F">
        <w:t xml:space="preserve">is </w:t>
      </w:r>
      <w:r w:rsidR="00F5286C">
        <w:t xml:space="preserve">adjusted to </w:t>
      </w:r>
      <w:r w:rsidR="00ED1576">
        <w:t xml:space="preserve">unbundle the BDF </w:t>
      </w:r>
      <w:r w:rsidR="00B8388F">
        <w:t>Supplement</w:t>
      </w:r>
      <w:r w:rsidR="00A47BB7">
        <w:t xml:space="preserve"> and account for inflation and wage increases in </w:t>
      </w:r>
      <w:r w:rsidR="00690B06">
        <w:t xml:space="preserve">2021 and </w:t>
      </w:r>
      <w:r w:rsidR="00A47BB7">
        <w:t>2022</w:t>
      </w:r>
      <w:r w:rsidR="00690B06">
        <w:t xml:space="preserve">. The result is then </w:t>
      </w:r>
      <w:r w:rsidR="00C1060F">
        <w:t xml:space="preserve">disaggregated into </w:t>
      </w:r>
      <w:r w:rsidR="008B059F">
        <w:t>labour and non-labour components which can then be adjusted separately.</w:t>
      </w:r>
    </w:p>
    <w:p w14:paraId="7841DEDA" w14:textId="246BBF68" w:rsidR="00690B06" w:rsidRDefault="00B26ECB" w:rsidP="005B4443">
      <w:pPr>
        <w:pStyle w:val="Heading2"/>
      </w:pPr>
      <w:bookmarkStart w:id="27" w:name="_Toc134183601"/>
      <w:r>
        <w:t>Unbundling of BDF Supplement</w:t>
      </w:r>
      <w:bookmarkEnd w:id="27"/>
    </w:p>
    <w:p w14:paraId="276F2FA7" w14:textId="30788AAD" w:rsidR="00F743F5" w:rsidRDefault="00F743F5" w:rsidP="00F743F5">
      <w:r>
        <w:t xml:space="preserve">On 1 July 2021, the Government introduced a BDF Supplement of $10 per occupied bed day (OBD) to account for </w:t>
      </w:r>
      <w:r w:rsidR="004C39B1">
        <w:t>reports of</w:t>
      </w:r>
      <w:r w:rsidR="00F7070E">
        <w:t xml:space="preserve"> a shortfall in funding for hotel related costs. The BDF supplement was bundled into the AN-ACC funding model from 1 October 2022, </w:t>
      </w:r>
      <w:r w:rsidR="00ED1BB6">
        <w:t xml:space="preserve">so that ACP22 effectively </w:t>
      </w:r>
      <w:r w:rsidR="000C64DA">
        <w:t xml:space="preserve">included </w:t>
      </w:r>
      <w:r w:rsidR="00583BAC">
        <w:t xml:space="preserve">some proportion of funding </w:t>
      </w:r>
      <w:r w:rsidR="00254811">
        <w:t xml:space="preserve">to cover hotel related costs. </w:t>
      </w:r>
      <w:r w:rsidR="0089189F">
        <w:t>Department feedback</w:t>
      </w:r>
      <w:r w:rsidR="00254811">
        <w:t xml:space="preserve"> received in </w:t>
      </w:r>
      <w:r w:rsidR="00304FBC">
        <w:t>the</w:t>
      </w:r>
      <w:r w:rsidR="00254811">
        <w:t xml:space="preserve"> development of RACPA23 </w:t>
      </w:r>
      <w:r w:rsidR="00093C14">
        <w:t xml:space="preserve">indicated that the BDF Supplement will be </w:t>
      </w:r>
      <w:r w:rsidR="004B2170">
        <w:t xml:space="preserve">removed from the AN-ACC funding model, and instead paid as a separate supplement per OBD </w:t>
      </w:r>
      <w:r w:rsidR="0068440D">
        <w:t>from 1 July 2023.</w:t>
      </w:r>
    </w:p>
    <w:p w14:paraId="52D67E97" w14:textId="59B969FE" w:rsidR="0068440D" w:rsidRPr="00662FBE" w:rsidRDefault="0068440D" w:rsidP="00263B20">
      <w:r>
        <w:t>To account for this change, the ACP22 is adjusted by removing $10 per OBD</w:t>
      </w:r>
      <w:r w:rsidR="00321879">
        <w:t>, resulting in a restated ACP22 excluding the BDF Supplement of $206.80.</w:t>
      </w:r>
    </w:p>
    <w:p w14:paraId="6D656DD2" w14:textId="38F42B3B" w:rsidR="00690B06" w:rsidRDefault="00F743F5" w:rsidP="005B4443">
      <w:pPr>
        <w:pStyle w:val="Heading2"/>
      </w:pPr>
      <w:bookmarkStart w:id="28" w:name="_Toc134183602"/>
      <w:r>
        <w:lastRenderedPageBreak/>
        <w:t>Adj</w:t>
      </w:r>
      <w:r w:rsidR="00321879">
        <w:t>u</w:t>
      </w:r>
      <w:r>
        <w:t>sting</w:t>
      </w:r>
      <w:r w:rsidR="00B26ECB">
        <w:t xml:space="preserve"> for historical inflation and wage increases</w:t>
      </w:r>
      <w:bookmarkEnd w:id="28"/>
    </w:p>
    <w:p w14:paraId="390231EC" w14:textId="3D358308" w:rsidR="00B26ECB" w:rsidRDefault="008A5379" w:rsidP="00B26ECB">
      <w:r>
        <w:t xml:space="preserve">In setting ACP22, the Department </w:t>
      </w:r>
      <w:r w:rsidR="00DE26AF">
        <w:t xml:space="preserve">indexed 2020-21 </w:t>
      </w:r>
      <w:r w:rsidR="00812D4F">
        <w:t xml:space="preserve">costs to 2022-23 </w:t>
      </w:r>
      <w:r w:rsidR="00DE26AF">
        <w:t>based on Wage Cost Index 9 (WCI-9)</w:t>
      </w:r>
      <w:r w:rsidR="00812D4F">
        <w:t>. This gave</w:t>
      </w:r>
      <w:r w:rsidR="00A26B5F">
        <w:t xml:space="preserve"> a total inflation of the two</w:t>
      </w:r>
      <w:r w:rsidR="00304FBC">
        <w:t>-</w:t>
      </w:r>
      <w:r w:rsidR="00A26B5F">
        <w:t>year period of 2.82 per cent.</w:t>
      </w:r>
    </w:p>
    <w:p w14:paraId="55AE4921" w14:textId="357D0D4E" w:rsidR="006E068A" w:rsidRDefault="00AA7391" w:rsidP="00B26ECB">
      <w:r>
        <w:t xml:space="preserve">IHACPA has constructed specific indexes based on Australian Bureau of Statistics Wage Price Index (WPI) and Consumer Price Index (CPI) </w:t>
      </w:r>
      <w:r w:rsidR="00550094">
        <w:t xml:space="preserve">expenditure subgroups. These are discussed in detail in </w:t>
      </w:r>
      <w:r w:rsidR="002A531D">
        <w:t xml:space="preserve">section </w:t>
      </w:r>
      <w:r w:rsidR="002A531D">
        <w:fldChar w:fldCharType="begin"/>
      </w:r>
      <w:r w:rsidR="002A531D">
        <w:instrText xml:space="preserve"> REF _Ref120602522 \r \h </w:instrText>
      </w:r>
      <w:r w:rsidR="002A531D">
        <w:fldChar w:fldCharType="separate"/>
      </w:r>
      <w:r w:rsidR="00B1072E">
        <w:t>5</w:t>
      </w:r>
      <w:r w:rsidR="002A531D">
        <w:fldChar w:fldCharType="end"/>
      </w:r>
      <w:r w:rsidR="002A531D">
        <w:t xml:space="preserve">. Using these indexes, </w:t>
      </w:r>
      <w:r w:rsidR="00A75747">
        <w:t>growth in labour and non-labour care from 2020-21 and 2022-23 can be calculated</w:t>
      </w:r>
      <w:r w:rsidR="00765F3F">
        <w:t>.</w:t>
      </w:r>
    </w:p>
    <w:p w14:paraId="037BC692" w14:textId="48F0AEE9" w:rsidR="00765F3F" w:rsidRDefault="00765F3F" w:rsidP="00B26ECB">
      <w:r>
        <w:t>Using the labour cost index,</w:t>
      </w:r>
      <w:r w:rsidR="00D0391B">
        <w:t xml:space="preserve"> the two</w:t>
      </w:r>
      <w:r w:rsidR="00055D02">
        <w:t>-</w:t>
      </w:r>
      <w:r w:rsidR="00D0391B">
        <w:t xml:space="preserve">year growth </w:t>
      </w:r>
      <w:r w:rsidR="00A02465">
        <w:t xml:space="preserve">in labour costs </w:t>
      </w:r>
      <w:r w:rsidR="00D0391B">
        <w:t>to the September 2022 quarter is equal to 5.93 per cent</w:t>
      </w:r>
      <w:r w:rsidR="00A02465">
        <w:t>.</w:t>
      </w:r>
      <w:r w:rsidR="00D40CCD">
        <w:t xml:space="preserve"> </w:t>
      </w:r>
      <w:r w:rsidR="00A02465">
        <w:t xml:space="preserve">Similarly, </w:t>
      </w:r>
      <w:r w:rsidR="00D40CCD">
        <w:t xml:space="preserve">non-labour </w:t>
      </w:r>
      <w:r w:rsidR="00A02465">
        <w:t xml:space="preserve">cost </w:t>
      </w:r>
      <w:r w:rsidR="001D14A8">
        <w:t xml:space="preserve">growth to the December 2022 quarter is estimated at </w:t>
      </w:r>
      <w:r w:rsidR="004627E1">
        <w:t>6.84 per cent.</w:t>
      </w:r>
      <w:r w:rsidR="00087591">
        <w:t xml:space="preserve"> Different quarters are used as these indexes are based on the latest available ABS index data, which at the time of development was September 2022 for WPI and December 2022 for CPI.</w:t>
      </w:r>
    </w:p>
    <w:p w14:paraId="4CA1BFCB" w14:textId="76F8B31B" w:rsidR="00087591" w:rsidRDefault="00C73755" w:rsidP="00B26ECB">
      <w:r>
        <w:t>Accounting for the 2.82 per cent growth already reflected in ACP22</w:t>
      </w:r>
      <w:r w:rsidR="0098235D">
        <w:t xml:space="preserve">, IHACPA has made a further adjustment of </w:t>
      </w:r>
      <w:r w:rsidR="009632B5">
        <w:t>3.03 per cent for labour costs and 3.93 per cent for non-labour costs.</w:t>
      </w:r>
      <w:r w:rsidR="00190CDF">
        <w:t xml:space="preserve"> The effect of this adjustment is shown in </w:t>
      </w:r>
      <w:r w:rsidR="00190CDF">
        <w:fldChar w:fldCharType="begin"/>
      </w:r>
      <w:r w:rsidR="00190CDF">
        <w:instrText xml:space="preserve"> REF _Ref128042633 \h </w:instrText>
      </w:r>
      <w:r w:rsidR="00190CDF">
        <w:fldChar w:fldCharType="separate"/>
      </w:r>
      <w:r w:rsidR="00B1072E">
        <w:t>Table </w:t>
      </w:r>
      <w:r w:rsidR="00B1072E">
        <w:rPr>
          <w:noProof/>
        </w:rPr>
        <w:t>4</w:t>
      </w:r>
      <w:r w:rsidR="00190CDF">
        <w:fldChar w:fldCharType="end"/>
      </w:r>
      <w:r w:rsidR="00190CDF">
        <w:t>.</w:t>
      </w:r>
    </w:p>
    <w:p w14:paraId="777C487B" w14:textId="23647B93" w:rsidR="00190CDF" w:rsidRDefault="00190CDF" w:rsidP="00190CDF">
      <w:pPr>
        <w:pStyle w:val="TableFigureheading"/>
      </w:pPr>
      <w:bookmarkStart w:id="29" w:name="_Ref128042633"/>
      <w:r>
        <w:t>Table </w:t>
      </w:r>
      <w:fldSimple w:instr=" SEQ Table \* ARABIC ">
        <w:r w:rsidR="00B1072E">
          <w:rPr>
            <w:noProof/>
          </w:rPr>
          <w:t>4</w:t>
        </w:r>
      </w:fldSimple>
      <w:bookmarkEnd w:id="29"/>
      <w:r>
        <w:t>: Adjusting ACP22 for historical inflation and wage increases</w:t>
      </w:r>
    </w:p>
    <w:tbl>
      <w:tblPr>
        <w:tblStyle w:val="IHPATable"/>
        <w:tblW w:w="4933" w:type="pct"/>
        <w:tblLook w:val="0020" w:firstRow="1" w:lastRow="0" w:firstColumn="0" w:lastColumn="0" w:noHBand="0" w:noVBand="0"/>
        <w:tblCaption w:val="Table 10"/>
        <w:tblDescription w:val="Ongoing seconded employees 2021"/>
      </w:tblPr>
      <w:tblGrid>
        <w:gridCol w:w="1912"/>
        <w:gridCol w:w="1586"/>
        <w:gridCol w:w="1471"/>
        <w:gridCol w:w="1700"/>
        <w:gridCol w:w="1246"/>
        <w:gridCol w:w="1700"/>
      </w:tblGrid>
      <w:tr w:rsidR="000232A3" w:rsidRPr="00733486" w14:paraId="688EB614" w14:textId="77777777" w:rsidTr="7C249E17">
        <w:trPr>
          <w:cnfStyle w:val="100000000000" w:firstRow="1" w:lastRow="0" w:firstColumn="0" w:lastColumn="0" w:oddVBand="0" w:evenVBand="0" w:oddHBand="0" w:evenHBand="0" w:firstRowFirstColumn="0" w:firstRowLastColumn="0" w:lastRowFirstColumn="0" w:lastRowLastColumn="0"/>
          <w:trHeight w:val="20"/>
        </w:trPr>
        <w:tc>
          <w:tcPr>
            <w:tcW w:w="994" w:type="pct"/>
            <w:tcBorders>
              <w:right w:val="single" w:sz="4" w:space="0" w:color="FFFFFF" w:themeColor="accent6"/>
            </w:tcBorders>
            <w:shd w:val="clear" w:color="auto" w:fill="15272F" w:themeFill="accent1"/>
            <w:vAlign w:val="center"/>
          </w:tcPr>
          <w:p w14:paraId="61641301" w14:textId="77777777" w:rsidR="000B3B8B" w:rsidRPr="00733486" w:rsidRDefault="000B3B8B" w:rsidP="00C31B44">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0" w:type="pct"/>
            <w:tcBorders>
              <w:left w:val="single" w:sz="4" w:space="0" w:color="FFFFFF" w:themeColor="accent6"/>
            </w:tcBorders>
            <w:shd w:val="clear" w:color="auto" w:fill="15272F" w:themeFill="accent1"/>
            <w:vAlign w:val="center"/>
          </w:tcPr>
          <w:p w14:paraId="573A05B2" w14:textId="3AEEE526" w:rsidR="000B3B8B" w:rsidRPr="00733486" w:rsidRDefault="000B3B8B">
            <w:pPr>
              <w:keepNext/>
              <w:spacing w:before="120" w:after="120"/>
              <w:rPr>
                <w:rFonts w:cs="Arial"/>
                <w:b/>
                <w:bCs/>
                <w:color w:val="FFFFFF" w:themeColor="background2"/>
                <w:szCs w:val="18"/>
              </w:rPr>
            </w:pPr>
            <w:r w:rsidRPr="00733486">
              <w:rPr>
                <w:rFonts w:cs="Arial"/>
                <w:b/>
                <w:bCs/>
                <w:color w:val="FFFFFF" w:themeColor="background2"/>
                <w:szCs w:val="18"/>
              </w:rPr>
              <w:t>Total</w:t>
            </w:r>
            <w:r w:rsidR="003C08B7">
              <w:rPr>
                <w:rFonts w:cs="Arial"/>
                <w:b/>
                <w:bCs/>
                <w:color w:val="FFFFFF" w:themeColor="background2"/>
                <w:szCs w:val="18"/>
              </w:rPr>
              <w:br/>
            </w:r>
            <w:r>
              <w:rPr>
                <w:rFonts w:cs="Arial"/>
                <w:b/>
                <w:bCs/>
                <w:color w:val="FFFFFF" w:themeColor="background2"/>
                <w:szCs w:val="18"/>
              </w:rPr>
              <w:t>(ACFR 2020-21)</w:t>
            </w:r>
          </w:p>
        </w:tc>
        <w:tc>
          <w:tcPr>
            <w:tcW w:w="0" w:type="pct"/>
            <w:tcBorders>
              <w:left w:val="single" w:sz="4" w:space="0" w:color="FFFFFF" w:themeColor="accent6"/>
            </w:tcBorders>
            <w:shd w:val="clear" w:color="auto" w:fill="15272F" w:themeFill="accent1"/>
            <w:vAlign w:val="center"/>
          </w:tcPr>
          <w:p w14:paraId="67F972ED" w14:textId="77777777" w:rsidR="000B3B8B" w:rsidRPr="00733486" w:rsidRDefault="000B3B8B">
            <w:pPr>
              <w:keepNext/>
              <w:spacing w:before="120" w:after="120"/>
              <w:rPr>
                <w:rFonts w:cs="Arial"/>
                <w:b/>
                <w:bCs/>
                <w:color w:val="FFFFFF" w:themeColor="background2"/>
                <w:szCs w:val="18"/>
              </w:rPr>
            </w:pPr>
            <w:r w:rsidRPr="00733486">
              <w:rPr>
                <w:rFonts w:cs="Arial"/>
                <w:b/>
                <w:bCs/>
                <w:color w:val="FFFFFF" w:themeColor="background2"/>
                <w:szCs w:val="18"/>
              </w:rPr>
              <w:t>Proportion</w:t>
            </w:r>
          </w:p>
        </w:tc>
        <w:tc>
          <w:tcPr>
            <w:tcW w:w="0" w:type="pct"/>
            <w:tcBorders>
              <w:left w:val="single" w:sz="4" w:space="0" w:color="FFFFFF" w:themeColor="accent6"/>
            </w:tcBorders>
            <w:shd w:val="clear" w:color="auto" w:fill="15272F" w:themeFill="accent1"/>
            <w:vAlign w:val="center"/>
          </w:tcPr>
          <w:p w14:paraId="67BAD233" w14:textId="72A2F5CA" w:rsidR="000B3B8B" w:rsidRPr="00733486" w:rsidRDefault="003C08B7">
            <w:pPr>
              <w:keepNext/>
              <w:spacing w:before="120" w:after="120"/>
              <w:rPr>
                <w:rFonts w:cs="Arial"/>
                <w:b/>
                <w:bCs/>
                <w:color w:val="FFFFFF" w:themeColor="background2"/>
                <w:szCs w:val="18"/>
              </w:rPr>
            </w:pPr>
            <w:r>
              <w:rPr>
                <w:rFonts w:cs="Arial"/>
                <w:b/>
                <w:bCs/>
                <w:color w:val="FFFFFF" w:themeColor="background2"/>
                <w:szCs w:val="18"/>
              </w:rPr>
              <w:t>ACP22</w:t>
            </w:r>
            <w:r>
              <w:rPr>
                <w:rFonts w:cs="Arial"/>
                <w:b/>
                <w:bCs/>
                <w:color w:val="FFFFFF" w:themeColor="background2"/>
                <w:szCs w:val="18"/>
              </w:rPr>
              <w:br/>
            </w:r>
            <w:r w:rsidR="000B3B8B">
              <w:rPr>
                <w:rFonts w:cs="Arial"/>
                <w:b/>
                <w:bCs/>
                <w:color w:val="FFFFFF" w:themeColor="background2"/>
                <w:szCs w:val="18"/>
              </w:rPr>
              <w:t>(2022-23 dollars)</w:t>
            </w:r>
          </w:p>
        </w:tc>
        <w:tc>
          <w:tcPr>
            <w:tcW w:w="0" w:type="pct"/>
            <w:tcBorders>
              <w:left w:val="single" w:sz="4" w:space="0" w:color="FFFFFF" w:themeColor="accent6"/>
            </w:tcBorders>
            <w:shd w:val="clear" w:color="auto" w:fill="15272F" w:themeFill="accent1"/>
            <w:vAlign w:val="center"/>
          </w:tcPr>
          <w:p w14:paraId="713AC212" w14:textId="3EA43DF4" w:rsidR="000B3B8B" w:rsidRPr="00733486" w:rsidRDefault="000B3B8B">
            <w:pPr>
              <w:keepNext/>
              <w:spacing w:before="120" w:after="120"/>
              <w:rPr>
                <w:rFonts w:cs="Arial"/>
                <w:b/>
                <w:bCs/>
                <w:color w:val="FFFFFF" w:themeColor="background2"/>
                <w:szCs w:val="18"/>
              </w:rPr>
            </w:pPr>
            <w:r>
              <w:rPr>
                <w:rFonts w:cs="Arial"/>
                <w:b/>
                <w:bCs/>
                <w:color w:val="FFFFFF" w:themeColor="background2"/>
                <w:szCs w:val="18"/>
              </w:rPr>
              <w:t>Adjustment</w:t>
            </w:r>
          </w:p>
        </w:tc>
        <w:tc>
          <w:tcPr>
            <w:tcW w:w="0" w:type="pct"/>
            <w:tcBorders>
              <w:left w:val="single" w:sz="4" w:space="0" w:color="FFFFFF" w:themeColor="accent6"/>
            </w:tcBorders>
            <w:shd w:val="clear" w:color="auto" w:fill="15272F" w:themeFill="accent1"/>
            <w:vAlign w:val="center"/>
          </w:tcPr>
          <w:p w14:paraId="7E6075F6" w14:textId="6D24E885" w:rsidR="000B3B8B" w:rsidRPr="00733486" w:rsidRDefault="000B3B8B">
            <w:pPr>
              <w:keepNext/>
              <w:spacing w:before="120" w:after="120"/>
              <w:rPr>
                <w:rFonts w:cs="Arial"/>
                <w:b/>
                <w:bCs/>
                <w:color w:val="FFFFFF" w:themeColor="background2"/>
                <w:szCs w:val="18"/>
              </w:rPr>
            </w:pPr>
            <w:r>
              <w:rPr>
                <w:rFonts w:cs="Arial"/>
                <w:b/>
                <w:bCs/>
                <w:color w:val="FFFFFF" w:themeColor="background2"/>
                <w:szCs w:val="18"/>
              </w:rPr>
              <w:t>Adjusted ACP22</w:t>
            </w:r>
            <w:r w:rsidR="003C08B7">
              <w:rPr>
                <w:rFonts w:cs="Arial"/>
                <w:b/>
                <w:bCs/>
                <w:color w:val="FFFFFF" w:themeColor="background2"/>
                <w:szCs w:val="18"/>
              </w:rPr>
              <w:br/>
              <w:t>(2022-23 dollars)</w:t>
            </w:r>
          </w:p>
        </w:tc>
      </w:tr>
      <w:tr w:rsidR="003C08B7" w:rsidRPr="00294A1A" w14:paraId="00AF98F0" w14:textId="77777777" w:rsidTr="7C249E17">
        <w:trPr>
          <w:cnfStyle w:val="000000100000" w:firstRow="0" w:lastRow="0" w:firstColumn="0" w:lastColumn="0" w:oddVBand="0" w:evenVBand="0" w:oddHBand="1" w:evenHBand="0" w:firstRowFirstColumn="0" w:firstRowLastColumn="0" w:lastRowFirstColumn="0" w:lastRowLastColumn="0"/>
          <w:trHeight w:val="20"/>
        </w:trPr>
        <w:tc>
          <w:tcPr>
            <w:tcW w:w="994" w:type="pct"/>
            <w:tcBorders>
              <w:right w:val="single" w:sz="4" w:space="0" w:color="FFFFFF" w:themeColor="accent6"/>
            </w:tcBorders>
            <w:vAlign w:val="center"/>
          </w:tcPr>
          <w:p w14:paraId="0CD66356" w14:textId="50C370BE" w:rsidR="003C08B7" w:rsidRPr="00294A1A" w:rsidRDefault="003C08B7" w:rsidP="003C08B7">
            <w:pPr>
              <w:keepNext/>
              <w:spacing w:before="120" w:after="120"/>
              <w:rPr>
                <w:rFonts w:cs="Arial"/>
                <w:color w:val="000000"/>
                <w:sz w:val="16"/>
                <w:szCs w:val="16"/>
                <w:lang w:val="en-US"/>
              </w:rPr>
            </w:pPr>
            <w:r>
              <w:rPr>
                <w:rFonts w:cs="Arial"/>
                <w:color w:val="000000"/>
                <w:sz w:val="16"/>
                <w:szCs w:val="16"/>
                <w:lang w:val="en-US"/>
              </w:rPr>
              <w:t>Total labour costs (imputed)</w:t>
            </w:r>
          </w:p>
        </w:tc>
        <w:tc>
          <w:tcPr>
            <w:tcW w:w="825" w:type="pct"/>
            <w:tcBorders>
              <w:left w:val="single" w:sz="4" w:space="0" w:color="FFFFFF" w:themeColor="accent6"/>
            </w:tcBorders>
            <w:shd w:val="clear" w:color="auto" w:fill="F2F2F2" w:themeFill="accent6" w:themeFillShade="F2"/>
            <w:vAlign w:val="center"/>
          </w:tcPr>
          <w:p w14:paraId="17AD8F12" w14:textId="0ABAC1E4" w:rsidR="003C08B7" w:rsidRPr="00294A1A" w:rsidRDefault="753AF7A4" w:rsidP="003C08B7">
            <w:pPr>
              <w:keepNext/>
              <w:spacing w:before="120" w:after="120"/>
              <w:jc w:val="right"/>
              <w:rPr>
                <w:rFonts w:cs="Arial"/>
                <w:color w:val="1C1C1C"/>
                <w:sz w:val="16"/>
                <w:szCs w:val="16"/>
              </w:rPr>
            </w:pPr>
            <w:r w:rsidRPr="2DA2C24D">
              <w:rPr>
                <w:rFonts w:cs="Arial"/>
                <w:color w:val="1C1C1C"/>
                <w:sz w:val="16"/>
                <w:szCs w:val="16"/>
              </w:rPr>
              <w:t>$5,932.2m</w:t>
            </w:r>
          </w:p>
        </w:tc>
        <w:tc>
          <w:tcPr>
            <w:tcW w:w="765" w:type="pct"/>
            <w:tcBorders>
              <w:left w:val="single" w:sz="4" w:space="0" w:color="FFFFFF" w:themeColor="accent6"/>
            </w:tcBorders>
            <w:shd w:val="clear" w:color="auto" w:fill="F2F2F2" w:themeFill="accent6" w:themeFillShade="F2"/>
            <w:vAlign w:val="center"/>
          </w:tcPr>
          <w:p w14:paraId="78565B2F" w14:textId="223EC223" w:rsidR="003C08B7" w:rsidRPr="003C08B7" w:rsidRDefault="003C08B7">
            <w:pPr>
              <w:keepNext/>
              <w:spacing w:before="120" w:after="120"/>
              <w:jc w:val="right"/>
              <w:rPr>
                <w:rFonts w:cs="Arial"/>
                <w:color w:val="1C1C1C"/>
                <w:sz w:val="16"/>
                <w:szCs w:val="16"/>
              </w:rPr>
            </w:pPr>
            <w:r w:rsidRPr="00263B20">
              <w:rPr>
                <w:rFonts w:cs="Arial"/>
                <w:color w:val="000000"/>
                <w:sz w:val="16"/>
                <w:szCs w:val="16"/>
              </w:rPr>
              <w:t>87.4%</w:t>
            </w:r>
          </w:p>
        </w:tc>
        <w:tc>
          <w:tcPr>
            <w:tcW w:w="884" w:type="pct"/>
            <w:tcBorders>
              <w:left w:val="single" w:sz="4" w:space="0" w:color="FFFFFF" w:themeColor="accent6"/>
            </w:tcBorders>
            <w:shd w:val="clear" w:color="auto" w:fill="F2F2F2" w:themeFill="accent6" w:themeFillShade="F2"/>
            <w:vAlign w:val="center"/>
          </w:tcPr>
          <w:p w14:paraId="23F51C60" w14:textId="166367A8"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180.69</w:t>
            </w:r>
          </w:p>
        </w:tc>
        <w:tc>
          <w:tcPr>
            <w:tcW w:w="648" w:type="pct"/>
            <w:tcBorders>
              <w:left w:val="single" w:sz="4" w:space="0" w:color="FFFFFF" w:themeColor="accent6"/>
            </w:tcBorders>
            <w:shd w:val="clear" w:color="auto" w:fill="F2F2F2" w:themeFill="accent6" w:themeFillShade="F2"/>
            <w:vAlign w:val="center"/>
          </w:tcPr>
          <w:p w14:paraId="6BB07A4E" w14:textId="7E8C6414" w:rsidR="003C08B7" w:rsidRPr="003C08B7" w:rsidRDefault="003C08B7">
            <w:pPr>
              <w:keepNext/>
              <w:spacing w:before="120" w:after="120"/>
              <w:jc w:val="right"/>
              <w:rPr>
                <w:rFonts w:cs="Arial"/>
                <w:color w:val="1C1C1C"/>
                <w:sz w:val="16"/>
                <w:szCs w:val="16"/>
              </w:rPr>
            </w:pPr>
            <w:r w:rsidRPr="00263B20">
              <w:rPr>
                <w:rFonts w:cs="Arial"/>
                <w:color w:val="000000"/>
                <w:sz w:val="16"/>
                <w:szCs w:val="16"/>
              </w:rPr>
              <w:t>3.03%</w:t>
            </w:r>
          </w:p>
        </w:tc>
        <w:tc>
          <w:tcPr>
            <w:tcW w:w="884" w:type="pct"/>
            <w:tcBorders>
              <w:left w:val="single" w:sz="4" w:space="0" w:color="FFFFFF" w:themeColor="accent6"/>
            </w:tcBorders>
            <w:shd w:val="clear" w:color="auto" w:fill="F2F2F2" w:themeFill="accent6" w:themeFillShade="F2"/>
            <w:vAlign w:val="center"/>
          </w:tcPr>
          <w:p w14:paraId="6C65F7AB" w14:textId="6AE8617A"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186.17</w:t>
            </w:r>
          </w:p>
        </w:tc>
      </w:tr>
      <w:tr w:rsidR="003C08B7" w:rsidRPr="00294A1A" w14:paraId="326F7214" w14:textId="77777777" w:rsidTr="7C249E17">
        <w:trPr>
          <w:cnfStyle w:val="000000010000" w:firstRow="0" w:lastRow="0" w:firstColumn="0" w:lastColumn="0" w:oddVBand="0" w:evenVBand="0" w:oddHBand="0" w:evenHBand="1" w:firstRowFirstColumn="0" w:firstRowLastColumn="0" w:lastRowFirstColumn="0" w:lastRowLastColumn="0"/>
          <w:trHeight w:val="20"/>
        </w:trPr>
        <w:tc>
          <w:tcPr>
            <w:tcW w:w="994" w:type="pct"/>
            <w:tcBorders>
              <w:right w:val="single" w:sz="4" w:space="0" w:color="FFFFFF" w:themeColor="accent6"/>
            </w:tcBorders>
            <w:vAlign w:val="center"/>
          </w:tcPr>
          <w:p w14:paraId="135C0E6F" w14:textId="7D5BF0AB" w:rsidR="003C08B7" w:rsidRPr="00294A1A" w:rsidRDefault="003C08B7" w:rsidP="003C08B7">
            <w:pPr>
              <w:keepNext/>
              <w:spacing w:before="120" w:after="120"/>
              <w:rPr>
                <w:rFonts w:cs="Arial"/>
                <w:color w:val="000000"/>
                <w:sz w:val="16"/>
                <w:szCs w:val="16"/>
                <w:lang w:val="en-US"/>
              </w:rPr>
            </w:pPr>
            <w:r>
              <w:rPr>
                <w:rFonts w:cs="Arial"/>
                <w:color w:val="000000"/>
                <w:sz w:val="16"/>
                <w:szCs w:val="16"/>
                <w:lang w:val="en-US"/>
              </w:rPr>
              <w:t>Total non-labour costs</w:t>
            </w:r>
          </w:p>
        </w:tc>
        <w:tc>
          <w:tcPr>
            <w:tcW w:w="825" w:type="pct"/>
            <w:tcBorders>
              <w:left w:val="single" w:sz="4" w:space="0" w:color="FFFFFF" w:themeColor="accent6"/>
            </w:tcBorders>
            <w:shd w:val="clear" w:color="auto" w:fill="F2F2F2" w:themeFill="accent6" w:themeFillShade="F2"/>
            <w:vAlign w:val="center"/>
          </w:tcPr>
          <w:p w14:paraId="4DA2668E" w14:textId="460F8F17" w:rsidR="003C08B7" w:rsidRPr="00294A1A" w:rsidRDefault="5A80FA43" w:rsidP="003C08B7">
            <w:pPr>
              <w:keepNext/>
              <w:spacing w:before="120" w:after="120"/>
              <w:jc w:val="right"/>
              <w:rPr>
                <w:rFonts w:cs="Arial"/>
                <w:color w:val="1C1C1C"/>
                <w:sz w:val="16"/>
                <w:szCs w:val="16"/>
              </w:rPr>
            </w:pPr>
            <w:r w:rsidRPr="537D486B">
              <w:rPr>
                <w:rFonts w:cs="Arial"/>
                <w:color w:val="1C1C1C"/>
                <w:sz w:val="16"/>
                <w:szCs w:val="16"/>
              </w:rPr>
              <w:t>$857.2m</w:t>
            </w:r>
          </w:p>
        </w:tc>
        <w:tc>
          <w:tcPr>
            <w:tcW w:w="765" w:type="pct"/>
            <w:tcBorders>
              <w:left w:val="single" w:sz="4" w:space="0" w:color="FFFFFF" w:themeColor="accent6"/>
            </w:tcBorders>
            <w:shd w:val="clear" w:color="auto" w:fill="F2F2F2" w:themeFill="accent6" w:themeFillShade="F2"/>
            <w:vAlign w:val="center"/>
          </w:tcPr>
          <w:p w14:paraId="6A453232" w14:textId="77DAC776"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12.6%</w:t>
            </w:r>
          </w:p>
        </w:tc>
        <w:tc>
          <w:tcPr>
            <w:tcW w:w="884" w:type="pct"/>
            <w:tcBorders>
              <w:left w:val="single" w:sz="4" w:space="0" w:color="FFFFFF" w:themeColor="accent6"/>
            </w:tcBorders>
            <w:shd w:val="clear" w:color="auto" w:fill="F2F2F2" w:themeFill="accent6" w:themeFillShade="F2"/>
            <w:vAlign w:val="center"/>
          </w:tcPr>
          <w:p w14:paraId="7BA3957B" w14:textId="18F4F7EA" w:rsidR="003C08B7" w:rsidRPr="003C08B7" w:rsidRDefault="003C08B7">
            <w:pPr>
              <w:keepNext/>
              <w:spacing w:before="120" w:after="120"/>
              <w:jc w:val="right"/>
              <w:rPr>
                <w:rFonts w:cs="Arial"/>
                <w:color w:val="1C1C1C"/>
                <w:sz w:val="16"/>
                <w:szCs w:val="16"/>
              </w:rPr>
            </w:pPr>
            <w:r w:rsidRPr="00263B20">
              <w:rPr>
                <w:rFonts w:cs="Arial"/>
                <w:color w:val="000000"/>
                <w:sz w:val="16"/>
                <w:szCs w:val="16"/>
              </w:rPr>
              <w:t>26.11</w:t>
            </w:r>
          </w:p>
        </w:tc>
        <w:tc>
          <w:tcPr>
            <w:tcW w:w="648" w:type="pct"/>
            <w:tcBorders>
              <w:left w:val="single" w:sz="4" w:space="0" w:color="FFFFFF" w:themeColor="accent6"/>
            </w:tcBorders>
            <w:shd w:val="clear" w:color="auto" w:fill="F2F2F2" w:themeFill="accent6" w:themeFillShade="F2"/>
            <w:vAlign w:val="center"/>
          </w:tcPr>
          <w:p w14:paraId="70B59E09" w14:textId="08D7834F" w:rsidR="003C08B7" w:rsidRPr="003C08B7" w:rsidRDefault="003C08B7">
            <w:pPr>
              <w:keepNext/>
              <w:spacing w:before="120" w:after="120"/>
              <w:jc w:val="right"/>
              <w:rPr>
                <w:rFonts w:cs="Arial"/>
                <w:color w:val="1C1C1C"/>
                <w:sz w:val="16"/>
                <w:szCs w:val="16"/>
              </w:rPr>
            </w:pPr>
            <w:r w:rsidRPr="00263B20">
              <w:rPr>
                <w:rFonts w:cs="Arial"/>
                <w:color w:val="000000"/>
                <w:sz w:val="16"/>
                <w:szCs w:val="16"/>
              </w:rPr>
              <w:t>3.91%</w:t>
            </w:r>
          </w:p>
        </w:tc>
        <w:tc>
          <w:tcPr>
            <w:tcW w:w="884" w:type="pct"/>
            <w:tcBorders>
              <w:left w:val="single" w:sz="4" w:space="0" w:color="FFFFFF" w:themeColor="accent6"/>
            </w:tcBorders>
            <w:shd w:val="clear" w:color="auto" w:fill="F2F2F2" w:themeFill="accent6" w:themeFillShade="F2"/>
            <w:vAlign w:val="center"/>
          </w:tcPr>
          <w:p w14:paraId="023BA3C9" w14:textId="4ED5231F" w:rsidR="003C08B7" w:rsidRPr="003C08B7" w:rsidRDefault="003C08B7">
            <w:pPr>
              <w:keepNext/>
              <w:spacing w:before="120" w:after="120"/>
              <w:jc w:val="right"/>
              <w:rPr>
                <w:rFonts w:cs="Arial"/>
                <w:color w:val="1C1C1C"/>
                <w:sz w:val="16"/>
                <w:szCs w:val="16"/>
              </w:rPr>
            </w:pPr>
            <w:r w:rsidRPr="00263B20">
              <w:rPr>
                <w:rFonts w:cs="Arial"/>
                <w:color w:val="000000"/>
                <w:sz w:val="16"/>
                <w:szCs w:val="16"/>
              </w:rPr>
              <w:t>27.13</w:t>
            </w:r>
          </w:p>
        </w:tc>
      </w:tr>
      <w:tr w:rsidR="003C08B7" w:rsidRPr="00294A1A" w14:paraId="2D97EDB9" w14:textId="77777777" w:rsidTr="7C249E17">
        <w:trPr>
          <w:cnfStyle w:val="000000100000" w:firstRow="0" w:lastRow="0" w:firstColumn="0" w:lastColumn="0" w:oddVBand="0" w:evenVBand="0" w:oddHBand="1" w:evenHBand="0" w:firstRowFirstColumn="0" w:firstRowLastColumn="0" w:lastRowFirstColumn="0" w:lastRowLastColumn="0"/>
          <w:trHeight w:val="20"/>
        </w:trPr>
        <w:tc>
          <w:tcPr>
            <w:tcW w:w="994" w:type="pct"/>
            <w:tcBorders>
              <w:right w:val="single" w:sz="4" w:space="0" w:color="FFFFFF" w:themeColor="accent6"/>
            </w:tcBorders>
            <w:shd w:val="clear" w:color="auto" w:fill="DFEBF1" w:themeFill="accent1" w:themeFillTint="1A"/>
            <w:vAlign w:val="center"/>
          </w:tcPr>
          <w:p w14:paraId="7D45613D" w14:textId="404C78CF" w:rsidR="003C08B7" w:rsidRPr="00263B20" w:rsidRDefault="003C08B7" w:rsidP="003C08B7">
            <w:pPr>
              <w:keepNext/>
              <w:spacing w:before="120" w:after="120"/>
              <w:rPr>
                <w:rFonts w:cs="Arial"/>
                <w:b/>
                <w:bCs/>
                <w:color w:val="000000"/>
                <w:sz w:val="16"/>
                <w:szCs w:val="16"/>
                <w:lang w:val="en-US"/>
              </w:rPr>
            </w:pPr>
            <w:r w:rsidRPr="00263B20">
              <w:rPr>
                <w:rFonts w:cs="Arial"/>
                <w:b/>
                <w:bCs/>
                <w:color w:val="000000"/>
                <w:sz w:val="16"/>
                <w:szCs w:val="16"/>
                <w:lang w:val="en-US"/>
              </w:rPr>
              <w:t>Total</w:t>
            </w:r>
          </w:p>
        </w:tc>
        <w:tc>
          <w:tcPr>
            <w:tcW w:w="825" w:type="pct"/>
            <w:tcBorders>
              <w:left w:val="single" w:sz="4" w:space="0" w:color="FFFFFF" w:themeColor="accent6"/>
            </w:tcBorders>
            <w:shd w:val="clear" w:color="auto" w:fill="DFEBF1" w:themeFill="accent1" w:themeFillTint="1A"/>
            <w:vAlign w:val="center"/>
          </w:tcPr>
          <w:p w14:paraId="69B04C4E" w14:textId="29ABBC39" w:rsidR="003C08B7" w:rsidRPr="00263B20" w:rsidRDefault="267356C2" w:rsidP="003C08B7">
            <w:pPr>
              <w:keepNext/>
              <w:spacing w:before="120" w:after="120"/>
              <w:jc w:val="right"/>
              <w:rPr>
                <w:rFonts w:cs="Arial"/>
                <w:b/>
                <w:bCs/>
                <w:color w:val="1C1C1C"/>
                <w:sz w:val="16"/>
                <w:szCs w:val="16"/>
              </w:rPr>
            </w:pPr>
            <w:r w:rsidRPr="00263B20">
              <w:rPr>
                <w:rFonts w:cs="Arial"/>
                <w:b/>
                <w:bCs/>
                <w:color w:val="1C1C1C"/>
                <w:sz w:val="16"/>
                <w:szCs w:val="16"/>
              </w:rPr>
              <w:t>$6,789.4m</w:t>
            </w:r>
          </w:p>
        </w:tc>
        <w:tc>
          <w:tcPr>
            <w:tcW w:w="765" w:type="pct"/>
            <w:tcBorders>
              <w:left w:val="single" w:sz="4" w:space="0" w:color="FFFFFF" w:themeColor="accent6"/>
            </w:tcBorders>
            <w:shd w:val="clear" w:color="auto" w:fill="DFEBF1" w:themeFill="accent1" w:themeFillTint="1A"/>
            <w:vAlign w:val="center"/>
          </w:tcPr>
          <w:p w14:paraId="2B6C42F3" w14:textId="61B149A8" w:rsidR="003C08B7" w:rsidRPr="00263B20" w:rsidRDefault="003C08B7">
            <w:pPr>
              <w:keepNext/>
              <w:spacing w:before="120" w:after="120"/>
              <w:jc w:val="right"/>
              <w:rPr>
                <w:rFonts w:cs="Arial"/>
                <w:b/>
                <w:bCs/>
                <w:color w:val="1C1C1C"/>
                <w:sz w:val="16"/>
                <w:szCs w:val="16"/>
              </w:rPr>
            </w:pPr>
            <w:r w:rsidRPr="00263B20">
              <w:rPr>
                <w:b/>
                <w:bCs/>
                <w:sz w:val="16"/>
                <w:szCs w:val="16"/>
              </w:rPr>
              <w:t>100%</w:t>
            </w:r>
          </w:p>
        </w:tc>
        <w:tc>
          <w:tcPr>
            <w:tcW w:w="884" w:type="pct"/>
            <w:tcBorders>
              <w:left w:val="single" w:sz="4" w:space="0" w:color="FFFFFF" w:themeColor="accent6"/>
            </w:tcBorders>
            <w:shd w:val="clear" w:color="auto" w:fill="DFEBF1" w:themeFill="accent1" w:themeFillTint="1A"/>
            <w:vAlign w:val="center"/>
          </w:tcPr>
          <w:p w14:paraId="73512C5B" w14:textId="6963935C" w:rsidR="003C08B7" w:rsidRPr="003C08B7" w:rsidRDefault="003C08B7">
            <w:pPr>
              <w:keepNext/>
              <w:spacing w:before="120" w:after="120"/>
              <w:jc w:val="right"/>
              <w:rPr>
                <w:rFonts w:cs="Arial"/>
                <w:color w:val="1C1C1C"/>
                <w:sz w:val="16"/>
                <w:szCs w:val="16"/>
              </w:rPr>
            </w:pPr>
            <w:r w:rsidRPr="00263B20">
              <w:rPr>
                <w:b/>
                <w:bCs/>
                <w:sz w:val="16"/>
                <w:szCs w:val="16"/>
              </w:rPr>
              <w:t>206.80</w:t>
            </w:r>
          </w:p>
        </w:tc>
        <w:tc>
          <w:tcPr>
            <w:tcW w:w="648" w:type="pct"/>
            <w:tcBorders>
              <w:left w:val="single" w:sz="4" w:space="0" w:color="FFFFFF" w:themeColor="accent6"/>
            </w:tcBorders>
            <w:shd w:val="clear" w:color="auto" w:fill="DFEBF1" w:themeFill="accent1" w:themeFillTint="1A"/>
            <w:vAlign w:val="center"/>
          </w:tcPr>
          <w:p w14:paraId="3493ADD7" w14:textId="2C192EC1" w:rsidR="003C08B7" w:rsidRPr="003C08B7" w:rsidRDefault="003C08B7">
            <w:pPr>
              <w:keepNext/>
              <w:spacing w:before="120" w:after="120"/>
              <w:jc w:val="right"/>
              <w:rPr>
                <w:rFonts w:cs="Arial"/>
                <w:color w:val="1C1C1C"/>
                <w:sz w:val="16"/>
                <w:szCs w:val="16"/>
              </w:rPr>
            </w:pPr>
            <w:r w:rsidRPr="00263B20">
              <w:rPr>
                <w:b/>
                <w:bCs/>
                <w:sz w:val="16"/>
                <w:szCs w:val="16"/>
              </w:rPr>
              <w:t>3.14%</w:t>
            </w:r>
          </w:p>
        </w:tc>
        <w:tc>
          <w:tcPr>
            <w:tcW w:w="884" w:type="pct"/>
            <w:tcBorders>
              <w:left w:val="single" w:sz="4" w:space="0" w:color="FFFFFF" w:themeColor="accent6"/>
            </w:tcBorders>
            <w:shd w:val="clear" w:color="auto" w:fill="DFEBF1" w:themeFill="accent1" w:themeFillTint="1A"/>
            <w:vAlign w:val="center"/>
          </w:tcPr>
          <w:p w14:paraId="6C09A2A8" w14:textId="5D235F07" w:rsidR="003C08B7" w:rsidRPr="003C08B7" w:rsidRDefault="003C08B7">
            <w:pPr>
              <w:keepNext/>
              <w:spacing w:before="120" w:after="120"/>
              <w:jc w:val="right"/>
              <w:rPr>
                <w:rFonts w:cs="Arial"/>
                <w:color w:val="1C1C1C"/>
                <w:sz w:val="16"/>
                <w:szCs w:val="16"/>
              </w:rPr>
            </w:pPr>
            <w:r w:rsidRPr="00263B20">
              <w:rPr>
                <w:b/>
                <w:bCs/>
                <w:sz w:val="16"/>
                <w:szCs w:val="16"/>
              </w:rPr>
              <w:t>213.30</w:t>
            </w:r>
          </w:p>
        </w:tc>
      </w:tr>
    </w:tbl>
    <w:p w14:paraId="6B2A73C4" w14:textId="77777777" w:rsidR="00747E46" w:rsidRPr="00BB5A75" w:rsidRDefault="00747E46" w:rsidP="00747E46">
      <w:pPr>
        <w:rPr>
          <w:sz w:val="18"/>
          <w:szCs w:val="18"/>
        </w:rPr>
      </w:pPr>
      <w:r w:rsidRPr="00BB5A75">
        <w:rPr>
          <w:sz w:val="18"/>
          <w:szCs w:val="18"/>
        </w:rPr>
        <w:t>*Components may not add to total due to rounding</w:t>
      </w:r>
    </w:p>
    <w:p w14:paraId="6D1CF34D" w14:textId="120F3B5F" w:rsidR="004B6EF8" w:rsidRDefault="00197656" w:rsidP="005B4443">
      <w:pPr>
        <w:pStyle w:val="Heading2"/>
      </w:pPr>
      <w:bookmarkStart w:id="30" w:name="_Toc134183603"/>
      <w:r>
        <w:t>Identifying cost proportions</w:t>
      </w:r>
      <w:bookmarkEnd w:id="30"/>
    </w:p>
    <w:p w14:paraId="3018CD7F" w14:textId="648E8323" w:rsidR="00813229" w:rsidRDefault="008B059F" w:rsidP="00C145C1">
      <w:r>
        <w:t xml:space="preserve">To apportion the </w:t>
      </w:r>
      <w:r w:rsidR="00747E46">
        <w:t>adjusted ACP22 of $213.30</w:t>
      </w:r>
      <w:r>
        <w:t xml:space="preserve"> into </w:t>
      </w:r>
      <w:r w:rsidR="00747E46">
        <w:t>relevant</w:t>
      </w:r>
      <w:r>
        <w:t xml:space="preserve"> components</w:t>
      </w:r>
      <w:r w:rsidR="007A0E35">
        <w:t xml:space="preserve">, the proportion of </w:t>
      </w:r>
      <w:r w:rsidR="00813229">
        <w:t xml:space="preserve">relevant </w:t>
      </w:r>
      <w:r w:rsidR="007A0E35">
        <w:t xml:space="preserve">expense items are calculated using the </w:t>
      </w:r>
      <w:r w:rsidR="00330BA6" w:rsidRPr="00330BA6">
        <w:t xml:space="preserve">Aged Care Financial Report </w:t>
      </w:r>
      <w:r w:rsidR="00330BA6">
        <w:t>(</w:t>
      </w:r>
      <w:r w:rsidR="007A0E35">
        <w:t>ACFR</w:t>
      </w:r>
      <w:r w:rsidR="00330BA6">
        <w:t>)</w:t>
      </w:r>
      <w:r w:rsidR="00553845">
        <w:t>, adjusted to reflect</w:t>
      </w:r>
      <w:r w:rsidR="00085BEF">
        <w:t xml:space="preserve"> the cost of meeting the Department’s care minute targets</w:t>
      </w:r>
      <w:r w:rsidR="00553845">
        <w:t xml:space="preserve"> as described in section</w:t>
      </w:r>
      <w:r w:rsidR="00085BEF">
        <w:t xml:space="preserve"> </w:t>
      </w:r>
      <w:r w:rsidR="00085BEF">
        <w:fldChar w:fldCharType="begin"/>
      </w:r>
      <w:r w:rsidR="00085BEF">
        <w:instrText xml:space="preserve"> REF _Ref120603704 \r \h </w:instrText>
      </w:r>
      <w:r w:rsidR="00085BEF">
        <w:fldChar w:fldCharType="separate"/>
      </w:r>
      <w:r w:rsidR="00B1072E">
        <w:t>2.2</w:t>
      </w:r>
      <w:r w:rsidR="00085BEF">
        <w:fldChar w:fldCharType="end"/>
      </w:r>
      <w:r w:rsidR="00085BEF">
        <w:t>, and trimmed to</w:t>
      </w:r>
      <w:r w:rsidR="00D77C47">
        <w:t xml:space="preserve"> a more robust sample of data as described in section </w:t>
      </w:r>
      <w:r w:rsidR="00D77C47">
        <w:fldChar w:fldCharType="begin"/>
      </w:r>
      <w:r w:rsidR="00D77C47">
        <w:instrText xml:space="preserve"> REF _Ref120603763 \r \h </w:instrText>
      </w:r>
      <w:r w:rsidR="00D77C47">
        <w:fldChar w:fldCharType="separate"/>
      </w:r>
      <w:r w:rsidR="00B1072E">
        <w:t>3.1</w:t>
      </w:r>
      <w:r w:rsidR="00D77C47">
        <w:fldChar w:fldCharType="end"/>
      </w:r>
      <w:r w:rsidR="00D77C47">
        <w:t>.</w:t>
      </w:r>
      <w:r w:rsidR="00813229">
        <w:t xml:space="preserve"> The </w:t>
      </w:r>
      <w:r w:rsidR="00A83228">
        <w:t xml:space="preserve">expenditure </w:t>
      </w:r>
      <w:r w:rsidR="00813229">
        <w:t>components needed for the adjustment</w:t>
      </w:r>
      <w:r w:rsidR="00E51D1E">
        <w:t>s</w:t>
      </w:r>
      <w:r w:rsidR="00813229">
        <w:t xml:space="preserve"> are:</w:t>
      </w:r>
    </w:p>
    <w:p w14:paraId="72848CE4" w14:textId="77777777" w:rsidR="00813229" w:rsidRDefault="00813229" w:rsidP="00813229">
      <w:pPr>
        <w:pStyle w:val="ListParagraph"/>
        <w:numPr>
          <w:ilvl w:val="0"/>
          <w:numId w:val="48"/>
        </w:numPr>
      </w:pPr>
      <w:r>
        <w:t>Nursing (registered and enrolled)</w:t>
      </w:r>
    </w:p>
    <w:p w14:paraId="3956CD8F" w14:textId="02258FE9" w:rsidR="00B20D93" w:rsidRDefault="00813229" w:rsidP="00813229">
      <w:pPr>
        <w:pStyle w:val="ListParagraph"/>
        <w:numPr>
          <w:ilvl w:val="0"/>
          <w:numId w:val="48"/>
        </w:numPr>
      </w:pPr>
      <w:r>
        <w:t>Personal care worker (</w:t>
      </w:r>
      <w:r w:rsidR="00E51D1E">
        <w:t>PCW</w:t>
      </w:r>
      <w:r>
        <w:t xml:space="preserve">) and </w:t>
      </w:r>
      <w:r w:rsidR="00FF7241">
        <w:t>recreatio</w:t>
      </w:r>
      <w:r w:rsidR="00A44CCF">
        <w:t>n</w:t>
      </w:r>
      <w:r w:rsidR="00FF7241">
        <w:t>/lifestyle officer</w:t>
      </w:r>
      <w:r w:rsidR="00371059">
        <w:t>s</w:t>
      </w:r>
      <w:r w:rsidR="00FF7241">
        <w:t xml:space="preserve"> (Rec)</w:t>
      </w:r>
    </w:p>
    <w:p w14:paraId="78C43A35" w14:textId="00E43B2E" w:rsidR="00FF7241" w:rsidRDefault="00FF7241" w:rsidP="00813229">
      <w:pPr>
        <w:pStyle w:val="ListParagraph"/>
        <w:numPr>
          <w:ilvl w:val="0"/>
          <w:numId w:val="48"/>
        </w:numPr>
      </w:pPr>
      <w:r>
        <w:t>Other labour</w:t>
      </w:r>
    </w:p>
    <w:p w14:paraId="287F97D3" w14:textId="53D695C1" w:rsidR="00E51D1E" w:rsidRDefault="00E51D1E" w:rsidP="00263B20">
      <w:pPr>
        <w:pStyle w:val="ListParagraph"/>
        <w:numPr>
          <w:ilvl w:val="0"/>
          <w:numId w:val="48"/>
        </w:numPr>
      </w:pPr>
      <w:r>
        <w:t>Other direct care</w:t>
      </w:r>
    </w:p>
    <w:p w14:paraId="67887D43" w14:textId="0CEB5232" w:rsidR="006D6580" w:rsidRDefault="006D6580" w:rsidP="006D6580">
      <w:r>
        <w:t xml:space="preserve">As discussed in subsection </w:t>
      </w:r>
      <w:r>
        <w:fldChar w:fldCharType="begin"/>
      </w:r>
      <w:r>
        <w:instrText xml:space="preserve"> REF _Ref120604323 \r \h </w:instrText>
      </w:r>
      <w:r>
        <w:fldChar w:fldCharType="separate"/>
      </w:r>
      <w:r w:rsidR="00B1072E">
        <w:t>1.3.2</w:t>
      </w:r>
      <w:r>
        <w:fldChar w:fldCharType="end"/>
      </w:r>
      <w:r>
        <w:t>, all care expense items in the ACFR have been considered in scope in RACPA23.</w:t>
      </w:r>
    </w:p>
    <w:p w14:paraId="19D7570E" w14:textId="1E87BC7B" w:rsidR="00ED6041" w:rsidRDefault="00ED6041" w:rsidP="006D6580">
      <w:r>
        <w:t xml:space="preserve">The total of each in scope component from the </w:t>
      </w:r>
      <w:r w:rsidR="00EB0933">
        <w:t>ACFR 2020-21</w:t>
      </w:r>
      <w:r>
        <w:t xml:space="preserve"> </w:t>
      </w:r>
      <w:r w:rsidR="001040C7">
        <w:t xml:space="preserve">is shown in </w:t>
      </w:r>
      <w:r w:rsidR="00844EF1">
        <w:fldChar w:fldCharType="begin"/>
      </w:r>
      <w:r w:rsidR="00844EF1">
        <w:instrText xml:space="preserve"> REF _Ref120604761 \h </w:instrText>
      </w:r>
      <w:r w:rsidR="00844EF1">
        <w:fldChar w:fldCharType="separate"/>
      </w:r>
      <w:r w:rsidR="00B1072E">
        <w:t>Table </w:t>
      </w:r>
      <w:r w:rsidR="00B1072E">
        <w:rPr>
          <w:noProof/>
        </w:rPr>
        <w:t>5</w:t>
      </w:r>
      <w:r w:rsidR="00844EF1">
        <w:fldChar w:fldCharType="end"/>
      </w:r>
      <w:r w:rsidR="00844EF1">
        <w:t>.</w:t>
      </w:r>
    </w:p>
    <w:p w14:paraId="151DC853" w14:textId="1C5F1C76" w:rsidR="006D6580" w:rsidRDefault="00273B40" w:rsidP="00BE5E19">
      <w:pPr>
        <w:pStyle w:val="TableFigureheading"/>
      </w:pPr>
      <w:bookmarkStart w:id="31" w:name="_Ref120604761"/>
      <w:r>
        <w:lastRenderedPageBreak/>
        <w:t>Table </w:t>
      </w:r>
      <w:fldSimple w:instr=" SEQ Table \* ARABIC ">
        <w:r w:rsidR="00B1072E">
          <w:rPr>
            <w:noProof/>
          </w:rPr>
          <w:t>5</w:t>
        </w:r>
      </w:fldSimple>
      <w:bookmarkEnd w:id="31"/>
      <w:r w:rsidR="00844EF1">
        <w:t xml:space="preserve">: Proportion of in scope costs from the trimmed and adjusted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2872"/>
        <w:gridCol w:w="2216"/>
        <w:gridCol w:w="2214"/>
        <w:gridCol w:w="2444"/>
      </w:tblGrid>
      <w:tr w:rsidR="003634AC" w:rsidRPr="00733486" w14:paraId="2CE01E0F" w14:textId="13A187F7" w:rsidTr="564D0D51">
        <w:trPr>
          <w:cnfStyle w:val="100000000000" w:firstRow="1" w:lastRow="0" w:firstColumn="0" w:lastColumn="0" w:oddVBand="0" w:evenVBand="0" w:oddHBand="0" w:evenHBand="0" w:firstRowFirstColumn="0" w:firstRowLastColumn="0" w:lastRowFirstColumn="0" w:lastRowLastColumn="0"/>
          <w:trHeight w:val="20"/>
        </w:trPr>
        <w:tc>
          <w:tcPr>
            <w:tcW w:w="1473" w:type="pct"/>
            <w:tcBorders>
              <w:right w:val="single" w:sz="4" w:space="0" w:color="FFFFFF" w:themeColor="accent6"/>
            </w:tcBorders>
            <w:shd w:val="clear" w:color="auto" w:fill="15272F" w:themeFill="accent1"/>
            <w:vAlign w:val="center"/>
          </w:tcPr>
          <w:p w14:paraId="039507BF" w14:textId="15D30BDB" w:rsidR="003634AC" w:rsidRPr="00733486" w:rsidRDefault="003634AC" w:rsidP="003634AC">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1137" w:type="pct"/>
            <w:tcBorders>
              <w:left w:val="single" w:sz="4" w:space="0" w:color="FFFFFF" w:themeColor="accent6"/>
            </w:tcBorders>
            <w:shd w:val="clear" w:color="auto" w:fill="15272F" w:themeFill="accent1"/>
            <w:vAlign w:val="center"/>
          </w:tcPr>
          <w:p w14:paraId="0756ED74" w14:textId="55DFCE4C" w:rsidR="003634AC" w:rsidRPr="00733486" w:rsidRDefault="003634AC" w:rsidP="003634AC">
            <w:pPr>
              <w:keepNext/>
              <w:spacing w:before="120" w:after="120"/>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Pr>
                <w:rFonts w:cs="Arial"/>
                <w:b/>
                <w:bCs/>
                <w:color w:val="FFFFFF" w:themeColor="background2"/>
                <w:szCs w:val="18"/>
              </w:rPr>
              <w:t>)</w:t>
            </w:r>
          </w:p>
        </w:tc>
        <w:tc>
          <w:tcPr>
            <w:tcW w:w="1136" w:type="pct"/>
            <w:tcBorders>
              <w:left w:val="single" w:sz="4" w:space="0" w:color="FFFFFF" w:themeColor="accent6"/>
            </w:tcBorders>
            <w:shd w:val="clear" w:color="auto" w:fill="15272F" w:themeFill="accent1"/>
            <w:vAlign w:val="center"/>
          </w:tcPr>
          <w:p w14:paraId="2EB99032" w14:textId="191B52FE" w:rsidR="003634AC" w:rsidRPr="00733486" w:rsidRDefault="003634AC" w:rsidP="003634AC">
            <w:pPr>
              <w:keepNext/>
              <w:spacing w:before="120" w:after="120"/>
              <w:rPr>
                <w:rFonts w:cs="Arial"/>
                <w:b/>
                <w:bCs/>
                <w:color w:val="FFFFFF" w:themeColor="background2"/>
                <w:szCs w:val="18"/>
              </w:rPr>
            </w:pPr>
            <w:r w:rsidRPr="00733486">
              <w:rPr>
                <w:rFonts w:cs="Arial"/>
                <w:b/>
                <w:bCs/>
                <w:color w:val="FFFFFF" w:themeColor="background2"/>
                <w:szCs w:val="18"/>
              </w:rPr>
              <w:t>Proportion</w:t>
            </w:r>
          </w:p>
        </w:tc>
        <w:tc>
          <w:tcPr>
            <w:tcW w:w="1254" w:type="pct"/>
            <w:tcBorders>
              <w:left w:val="single" w:sz="4" w:space="0" w:color="FFFFFF" w:themeColor="accent6"/>
            </w:tcBorders>
            <w:shd w:val="clear" w:color="auto" w:fill="15272F" w:themeFill="accent1"/>
            <w:vAlign w:val="center"/>
          </w:tcPr>
          <w:p w14:paraId="36E9D2FE" w14:textId="037EC09C" w:rsidR="003634AC" w:rsidRPr="00733486" w:rsidRDefault="00E51D1E" w:rsidP="003634AC">
            <w:pPr>
              <w:keepNext/>
              <w:spacing w:before="120" w:after="120"/>
              <w:rPr>
                <w:rFonts w:cs="Arial"/>
                <w:b/>
                <w:bCs/>
                <w:color w:val="FFFFFF" w:themeColor="background2"/>
                <w:szCs w:val="18"/>
              </w:rPr>
            </w:pPr>
            <w:r>
              <w:rPr>
                <w:rFonts w:cs="Arial"/>
                <w:b/>
                <w:bCs/>
                <w:color w:val="FFFFFF" w:themeColor="background2"/>
                <w:szCs w:val="18"/>
              </w:rPr>
              <w:t>Adjusted ACP22</w:t>
            </w:r>
            <w:r>
              <w:rPr>
                <w:rFonts w:cs="Arial"/>
                <w:b/>
                <w:bCs/>
                <w:color w:val="FFFFFF" w:themeColor="background2"/>
                <w:szCs w:val="18"/>
              </w:rPr>
              <w:br/>
            </w:r>
            <w:r w:rsidR="003634AC">
              <w:rPr>
                <w:rFonts w:cs="Arial"/>
                <w:b/>
                <w:bCs/>
                <w:color w:val="FFFFFF" w:themeColor="background2"/>
                <w:szCs w:val="18"/>
              </w:rPr>
              <w:t>(2022-23 dollars)</w:t>
            </w:r>
          </w:p>
        </w:tc>
      </w:tr>
      <w:tr w:rsidR="00733486" w:rsidRPr="00294A1A" w14:paraId="12C4138B" w14:textId="31892F6C" w:rsidTr="564D0D51">
        <w:trPr>
          <w:cnfStyle w:val="000000100000" w:firstRow="0" w:lastRow="0" w:firstColumn="0" w:lastColumn="0" w:oddVBand="0" w:evenVBand="0" w:oddHBand="1" w:evenHBand="0" w:firstRowFirstColumn="0" w:firstRowLastColumn="0" w:lastRowFirstColumn="0" w:lastRowLastColumn="0"/>
          <w:trHeight w:val="20"/>
        </w:trPr>
        <w:tc>
          <w:tcPr>
            <w:tcW w:w="1473" w:type="pct"/>
            <w:tcBorders>
              <w:right w:val="single" w:sz="4" w:space="0" w:color="FFFFFF" w:themeColor="accent6"/>
            </w:tcBorders>
            <w:vAlign w:val="center"/>
          </w:tcPr>
          <w:p w14:paraId="30020325" w14:textId="23906B31"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Nursing</w:t>
            </w:r>
          </w:p>
        </w:tc>
        <w:tc>
          <w:tcPr>
            <w:tcW w:w="1137" w:type="pct"/>
            <w:tcBorders>
              <w:left w:val="single" w:sz="4" w:space="0" w:color="FFFFFF" w:themeColor="accent6"/>
            </w:tcBorders>
            <w:shd w:val="clear" w:color="auto" w:fill="F2F2F2" w:themeFill="accent6" w:themeFillShade="F2"/>
            <w:vAlign w:val="center"/>
          </w:tcPr>
          <w:p w14:paraId="583F62F4" w14:textId="18D1BEE2" w:rsidR="00B158D3" w:rsidRPr="00294A1A" w:rsidRDefault="585A7F54" w:rsidP="00B622B2">
            <w:pPr>
              <w:keepNext/>
              <w:spacing w:before="120" w:after="120"/>
              <w:jc w:val="right"/>
              <w:rPr>
                <w:rFonts w:cs="Arial"/>
                <w:color w:val="1C1C1C"/>
                <w:sz w:val="16"/>
                <w:szCs w:val="16"/>
              </w:rPr>
            </w:pPr>
            <w:r w:rsidRPr="095F4733">
              <w:rPr>
                <w:rFonts w:cs="Arial"/>
                <w:color w:val="1C1C1C"/>
                <w:sz w:val="16"/>
                <w:szCs w:val="16"/>
              </w:rPr>
              <w:t>$2,044.7</w:t>
            </w:r>
            <w:r w:rsidR="0984E0F5" w:rsidRPr="095F4733">
              <w:rPr>
                <w:rFonts w:cs="Arial"/>
                <w:color w:val="1C1C1C"/>
                <w:sz w:val="16"/>
                <w:szCs w:val="16"/>
              </w:rPr>
              <w:t>m</w:t>
            </w:r>
          </w:p>
        </w:tc>
        <w:tc>
          <w:tcPr>
            <w:tcW w:w="1136" w:type="pct"/>
            <w:tcBorders>
              <w:left w:val="single" w:sz="4" w:space="0" w:color="FFFFFF" w:themeColor="accent6"/>
            </w:tcBorders>
            <w:shd w:val="clear" w:color="auto" w:fill="F2F2F2" w:themeFill="accent6" w:themeFillShade="F2"/>
          </w:tcPr>
          <w:p w14:paraId="1167F76C" w14:textId="30AFCCA8" w:rsidR="00B158D3" w:rsidRPr="00294A1A" w:rsidRDefault="27C79A74" w:rsidP="00420A16">
            <w:pPr>
              <w:keepNext/>
              <w:spacing w:before="120" w:after="120"/>
              <w:jc w:val="right"/>
              <w:rPr>
                <w:rFonts w:cs="Arial"/>
                <w:color w:val="1C1C1C"/>
                <w:sz w:val="16"/>
                <w:szCs w:val="16"/>
              </w:rPr>
            </w:pPr>
            <w:r w:rsidRPr="095F4733">
              <w:rPr>
                <w:rFonts w:cs="Arial"/>
                <w:color w:val="1C1C1C"/>
                <w:sz w:val="16"/>
                <w:szCs w:val="16"/>
              </w:rPr>
              <w:t>30.1%</w:t>
            </w:r>
          </w:p>
        </w:tc>
        <w:tc>
          <w:tcPr>
            <w:tcW w:w="1254" w:type="pct"/>
            <w:tcBorders>
              <w:left w:val="single" w:sz="4" w:space="0" w:color="FFFFFF" w:themeColor="accent6"/>
            </w:tcBorders>
            <w:shd w:val="clear" w:color="auto" w:fill="F2F2F2" w:themeFill="accent6" w:themeFillShade="F2"/>
          </w:tcPr>
          <w:p w14:paraId="76ED02AB" w14:textId="634B1468" w:rsidR="00B158D3" w:rsidRPr="00294A1A" w:rsidRDefault="002D7916" w:rsidP="00420A16">
            <w:pPr>
              <w:keepNext/>
              <w:spacing w:before="120" w:after="120"/>
              <w:jc w:val="right"/>
              <w:rPr>
                <w:rFonts w:cs="Arial"/>
                <w:color w:val="1C1C1C"/>
                <w:sz w:val="16"/>
                <w:szCs w:val="16"/>
              </w:rPr>
            </w:pPr>
            <w:r>
              <w:rPr>
                <w:rFonts w:cs="Arial"/>
                <w:color w:val="1C1C1C"/>
                <w:sz w:val="16"/>
                <w:szCs w:val="16"/>
              </w:rPr>
              <w:t>64.17</w:t>
            </w:r>
          </w:p>
        </w:tc>
      </w:tr>
      <w:tr w:rsidR="00733486" w:rsidRPr="00294A1A" w14:paraId="63CD62C2" w14:textId="105B4B2F" w:rsidTr="564D0D51">
        <w:trPr>
          <w:cnfStyle w:val="000000010000" w:firstRow="0" w:lastRow="0" w:firstColumn="0" w:lastColumn="0" w:oddVBand="0" w:evenVBand="0" w:oddHBand="0" w:evenHBand="1" w:firstRowFirstColumn="0" w:firstRowLastColumn="0" w:lastRowFirstColumn="0" w:lastRowLastColumn="0"/>
          <w:trHeight w:val="20"/>
        </w:trPr>
        <w:tc>
          <w:tcPr>
            <w:tcW w:w="1473" w:type="pct"/>
            <w:tcBorders>
              <w:right w:val="single" w:sz="4" w:space="0" w:color="FFFFFF" w:themeColor="accent6"/>
            </w:tcBorders>
            <w:vAlign w:val="center"/>
          </w:tcPr>
          <w:p w14:paraId="072E7A5D" w14:textId="525ACFA5"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P</w:t>
            </w:r>
            <w:r w:rsidR="579A3404" w:rsidRPr="564D0D51">
              <w:rPr>
                <w:rFonts w:cs="Arial"/>
                <w:color w:val="000000"/>
                <w:sz w:val="16"/>
                <w:szCs w:val="16"/>
                <w:lang w:val="en-US"/>
              </w:rPr>
              <w:t xml:space="preserve">ersonal care workers and recreational </w:t>
            </w:r>
            <w:r w:rsidR="5D2D5C1C" w:rsidRPr="056371B1">
              <w:rPr>
                <w:rFonts w:cs="Arial"/>
                <w:color w:val="000000"/>
                <w:sz w:val="16"/>
                <w:szCs w:val="16"/>
                <w:lang w:val="en-US"/>
              </w:rPr>
              <w:t xml:space="preserve">activity </w:t>
            </w:r>
            <w:r w:rsidR="5D2D5C1C" w:rsidRPr="1B0A7DC3">
              <w:rPr>
                <w:rFonts w:cs="Arial"/>
                <w:color w:val="000000"/>
                <w:sz w:val="16"/>
                <w:szCs w:val="16"/>
                <w:lang w:val="en-US"/>
              </w:rPr>
              <w:t>officers</w:t>
            </w:r>
          </w:p>
        </w:tc>
        <w:tc>
          <w:tcPr>
            <w:tcW w:w="1137" w:type="pct"/>
            <w:tcBorders>
              <w:left w:val="single" w:sz="4" w:space="0" w:color="FFFFFF" w:themeColor="accent6"/>
            </w:tcBorders>
            <w:shd w:val="clear" w:color="auto" w:fill="F2F2F2" w:themeFill="accent6" w:themeFillShade="F2"/>
            <w:vAlign w:val="center"/>
          </w:tcPr>
          <w:p w14:paraId="1D190479" w14:textId="560F4513" w:rsidR="00B158D3" w:rsidRPr="00294A1A" w:rsidRDefault="52CD2216" w:rsidP="00420A16">
            <w:pPr>
              <w:keepNext/>
              <w:spacing w:before="120" w:after="120"/>
              <w:jc w:val="right"/>
              <w:rPr>
                <w:rFonts w:cs="Arial"/>
                <w:color w:val="1C1C1C"/>
                <w:sz w:val="16"/>
                <w:szCs w:val="16"/>
              </w:rPr>
            </w:pPr>
            <w:r w:rsidRPr="095F4733">
              <w:rPr>
                <w:rFonts w:cs="Arial"/>
                <w:color w:val="1C1C1C"/>
                <w:sz w:val="16"/>
                <w:szCs w:val="16"/>
              </w:rPr>
              <w:t>$3,270.4</w:t>
            </w:r>
            <w:r w:rsidR="0984E0F5" w:rsidRPr="095F4733">
              <w:rPr>
                <w:rFonts w:cs="Arial"/>
                <w:color w:val="1C1C1C"/>
                <w:sz w:val="16"/>
                <w:szCs w:val="16"/>
              </w:rPr>
              <w:t>m</w:t>
            </w:r>
          </w:p>
        </w:tc>
        <w:tc>
          <w:tcPr>
            <w:tcW w:w="1136" w:type="pct"/>
            <w:tcBorders>
              <w:left w:val="single" w:sz="4" w:space="0" w:color="FFFFFF" w:themeColor="accent6"/>
            </w:tcBorders>
            <w:shd w:val="clear" w:color="auto" w:fill="F2F2F2" w:themeFill="accent6" w:themeFillShade="F2"/>
          </w:tcPr>
          <w:p w14:paraId="51FE9899" w14:textId="00DCBC12" w:rsidR="00B158D3" w:rsidRPr="00294A1A" w:rsidRDefault="2946A3EE" w:rsidP="00420A16">
            <w:pPr>
              <w:keepNext/>
              <w:spacing w:before="120" w:after="120"/>
              <w:jc w:val="right"/>
              <w:rPr>
                <w:rFonts w:cs="Arial"/>
                <w:color w:val="1C1C1C"/>
                <w:sz w:val="16"/>
                <w:szCs w:val="16"/>
              </w:rPr>
            </w:pPr>
            <w:r w:rsidRPr="095F4733">
              <w:rPr>
                <w:rFonts w:cs="Arial"/>
                <w:color w:val="1C1C1C"/>
                <w:sz w:val="16"/>
                <w:szCs w:val="16"/>
              </w:rPr>
              <w:t>48.2%</w:t>
            </w:r>
          </w:p>
        </w:tc>
        <w:tc>
          <w:tcPr>
            <w:tcW w:w="1254" w:type="pct"/>
            <w:tcBorders>
              <w:left w:val="single" w:sz="4" w:space="0" w:color="FFFFFF" w:themeColor="accent6"/>
            </w:tcBorders>
            <w:shd w:val="clear" w:color="auto" w:fill="F2F2F2" w:themeFill="accent6" w:themeFillShade="F2"/>
          </w:tcPr>
          <w:p w14:paraId="195FF6E2" w14:textId="2F27AAD3" w:rsidR="00B158D3" w:rsidRPr="00294A1A" w:rsidRDefault="002D7916" w:rsidP="00420A16">
            <w:pPr>
              <w:keepNext/>
              <w:spacing w:before="120" w:after="120"/>
              <w:jc w:val="right"/>
              <w:rPr>
                <w:rFonts w:cs="Arial"/>
                <w:color w:val="1C1C1C"/>
                <w:sz w:val="16"/>
                <w:szCs w:val="16"/>
              </w:rPr>
            </w:pPr>
            <w:r>
              <w:rPr>
                <w:rFonts w:cs="Arial"/>
                <w:color w:val="1C1C1C"/>
                <w:sz w:val="16"/>
                <w:szCs w:val="16"/>
              </w:rPr>
              <w:t>102.63</w:t>
            </w:r>
          </w:p>
        </w:tc>
      </w:tr>
      <w:tr w:rsidR="00733486" w:rsidRPr="00294A1A" w14:paraId="3FCD474E" w14:textId="44D2754F" w:rsidTr="564D0D51">
        <w:trPr>
          <w:cnfStyle w:val="000000100000" w:firstRow="0" w:lastRow="0" w:firstColumn="0" w:lastColumn="0" w:oddVBand="0" w:evenVBand="0" w:oddHBand="1" w:evenHBand="0" w:firstRowFirstColumn="0" w:firstRowLastColumn="0" w:lastRowFirstColumn="0" w:lastRowLastColumn="0"/>
          <w:trHeight w:val="20"/>
        </w:trPr>
        <w:tc>
          <w:tcPr>
            <w:tcW w:w="1473" w:type="pct"/>
            <w:tcBorders>
              <w:right w:val="single" w:sz="4" w:space="0" w:color="FFFFFF" w:themeColor="accent6"/>
            </w:tcBorders>
            <w:vAlign w:val="center"/>
          </w:tcPr>
          <w:p w14:paraId="59528D48" w14:textId="78FB9D6C"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Other labour</w:t>
            </w:r>
          </w:p>
        </w:tc>
        <w:tc>
          <w:tcPr>
            <w:tcW w:w="1137" w:type="pct"/>
            <w:tcBorders>
              <w:left w:val="single" w:sz="4" w:space="0" w:color="FFFFFF" w:themeColor="accent6"/>
            </w:tcBorders>
            <w:shd w:val="clear" w:color="auto" w:fill="F2F2F2" w:themeFill="accent6" w:themeFillShade="F2"/>
            <w:vAlign w:val="center"/>
          </w:tcPr>
          <w:p w14:paraId="4F02F712" w14:textId="3FEA2ACE" w:rsidR="00B158D3" w:rsidRPr="00294A1A" w:rsidRDefault="06ED00C9" w:rsidP="00420A16">
            <w:pPr>
              <w:keepNext/>
              <w:spacing w:before="120" w:after="120"/>
              <w:jc w:val="right"/>
              <w:rPr>
                <w:rFonts w:cs="Arial"/>
                <w:color w:val="1C1C1C"/>
                <w:sz w:val="16"/>
                <w:szCs w:val="16"/>
              </w:rPr>
            </w:pPr>
            <w:r w:rsidRPr="095F4733">
              <w:rPr>
                <w:rFonts w:cs="Arial"/>
                <w:color w:val="1C1C1C"/>
                <w:sz w:val="16"/>
                <w:szCs w:val="16"/>
              </w:rPr>
              <w:t>$617.1m</w:t>
            </w:r>
          </w:p>
        </w:tc>
        <w:tc>
          <w:tcPr>
            <w:tcW w:w="1136" w:type="pct"/>
            <w:tcBorders>
              <w:left w:val="single" w:sz="4" w:space="0" w:color="FFFFFF" w:themeColor="accent6"/>
            </w:tcBorders>
            <w:shd w:val="clear" w:color="auto" w:fill="F2F2F2" w:themeFill="accent6" w:themeFillShade="F2"/>
          </w:tcPr>
          <w:p w14:paraId="11B5E755" w14:textId="1FD1218B" w:rsidR="00B158D3" w:rsidRPr="00294A1A" w:rsidRDefault="05926DB1" w:rsidP="00420A16">
            <w:pPr>
              <w:keepNext/>
              <w:spacing w:before="120" w:after="120"/>
              <w:jc w:val="right"/>
              <w:rPr>
                <w:rFonts w:cs="Arial"/>
                <w:color w:val="1C1C1C"/>
                <w:sz w:val="16"/>
                <w:szCs w:val="16"/>
              </w:rPr>
            </w:pPr>
            <w:r w:rsidRPr="095F4733">
              <w:rPr>
                <w:rFonts w:cs="Arial"/>
                <w:color w:val="1C1C1C"/>
                <w:sz w:val="16"/>
                <w:szCs w:val="16"/>
              </w:rPr>
              <w:t>9.1%</w:t>
            </w:r>
          </w:p>
        </w:tc>
        <w:tc>
          <w:tcPr>
            <w:tcW w:w="1254" w:type="pct"/>
            <w:tcBorders>
              <w:left w:val="single" w:sz="4" w:space="0" w:color="FFFFFF" w:themeColor="accent6"/>
            </w:tcBorders>
            <w:shd w:val="clear" w:color="auto" w:fill="F2F2F2" w:themeFill="accent6" w:themeFillShade="F2"/>
          </w:tcPr>
          <w:p w14:paraId="58EB29F8" w14:textId="4277B2ED" w:rsidR="00B158D3" w:rsidRPr="00294A1A" w:rsidRDefault="002D7916" w:rsidP="00420A16">
            <w:pPr>
              <w:keepNext/>
              <w:spacing w:before="120" w:after="120"/>
              <w:jc w:val="right"/>
              <w:rPr>
                <w:rFonts w:cs="Arial"/>
                <w:color w:val="1C1C1C"/>
                <w:sz w:val="16"/>
                <w:szCs w:val="16"/>
              </w:rPr>
            </w:pPr>
            <w:r>
              <w:rPr>
                <w:rFonts w:cs="Arial"/>
                <w:color w:val="1C1C1C"/>
                <w:sz w:val="16"/>
                <w:szCs w:val="16"/>
              </w:rPr>
              <w:t>19.37</w:t>
            </w:r>
          </w:p>
        </w:tc>
      </w:tr>
      <w:tr w:rsidR="00C237DE" w:rsidRPr="00294A1A" w14:paraId="1258C741" w14:textId="77777777" w:rsidTr="564D0D51">
        <w:trPr>
          <w:cnfStyle w:val="000000010000" w:firstRow="0" w:lastRow="0" w:firstColumn="0" w:lastColumn="0" w:oddVBand="0" w:evenVBand="0" w:oddHBand="0" w:evenHBand="1" w:firstRowFirstColumn="0" w:firstRowLastColumn="0" w:lastRowFirstColumn="0" w:lastRowLastColumn="0"/>
          <w:trHeight w:val="20"/>
        </w:trPr>
        <w:tc>
          <w:tcPr>
            <w:tcW w:w="1473" w:type="pct"/>
            <w:tcBorders>
              <w:right w:val="single" w:sz="4" w:space="0" w:color="FFFFFF" w:themeColor="accent6"/>
            </w:tcBorders>
            <w:vAlign w:val="center"/>
          </w:tcPr>
          <w:p w14:paraId="462320C6" w14:textId="31B4970F" w:rsidR="00E51D1E" w:rsidRPr="00294A1A" w:rsidDel="00E51D1E" w:rsidRDefault="00E51D1E" w:rsidP="00BE5E19">
            <w:pPr>
              <w:keepNext/>
              <w:spacing w:before="120" w:after="120"/>
              <w:rPr>
                <w:rFonts w:cs="Arial"/>
                <w:color w:val="000000"/>
                <w:sz w:val="16"/>
                <w:szCs w:val="16"/>
                <w:lang w:val="en-US"/>
              </w:rPr>
            </w:pPr>
            <w:r>
              <w:rPr>
                <w:rFonts w:cs="Arial"/>
                <w:color w:val="000000"/>
                <w:sz w:val="16"/>
                <w:szCs w:val="16"/>
                <w:lang w:val="en-US"/>
              </w:rPr>
              <w:t>Other direct care</w:t>
            </w:r>
            <w:r w:rsidR="68019EC5" w:rsidRPr="564D0D51">
              <w:rPr>
                <w:rFonts w:cs="Arial"/>
                <w:color w:val="000000"/>
                <w:sz w:val="16"/>
                <w:szCs w:val="16"/>
                <w:lang w:val="en-US"/>
              </w:rPr>
              <w:t xml:space="preserve"> costs</w:t>
            </w:r>
          </w:p>
        </w:tc>
        <w:tc>
          <w:tcPr>
            <w:tcW w:w="1137" w:type="pct"/>
            <w:tcBorders>
              <w:left w:val="single" w:sz="4" w:space="0" w:color="FFFFFF" w:themeColor="accent6"/>
            </w:tcBorders>
            <w:shd w:val="clear" w:color="auto" w:fill="F2F2F2" w:themeFill="accent6" w:themeFillShade="F2"/>
            <w:vAlign w:val="center"/>
          </w:tcPr>
          <w:p w14:paraId="4CAD1F1A" w14:textId="0680DADC" w:rsidR="00E51D1E" w:rsidRPr="00294A1A" w:rsidRDefault="1C29BD43" w:rsidP="00420A16">
            <w:pPr>
              <w:keepNext/>
              <w:spacing w:before="120" w:after="120"/>
              <w:jc w:val="right"/>
              <w:rPr>
                <w:rFonts w:cs="Arial"/>
                <w:color w:val="1C1C1C"/>
                <w:sz w:val="16"/>
                <w:szCs w:val="16"/>
              </w:rPr>
            </w:pPr>
            <w:r w:rsidRPr="095F4733">
              <w:rPr>
                <w:rFonts w:cs="Arial"/>
                <w:color w:val="1C1C1C"/>
                <w:sz w:val="16"/>
                <w:szCs w:val="16"/>
              </w:rPr>
              <w:t>$857.2m</w:t>
            </w:r>
          </w:p>
        </w:tc>
        <w:tc>
          <w:tcPr>
            <w:tcW w:w="1136" w:type="pct"/>
            <w:tcBorders>
              <w:left w:val="single" w:sz="4" w:space="0" w:color="FFFFFF" w:themeColor="accent6"/>
            </w:tcBorders>
            <w:shd w:val="clear" w:color="auto" w:fill="F2F2F2" w:themeFill="accent6" w:themeFillShade="F2"/>
          </w:tcPr>
          <w:p w14:paraId="288EF3C0" w14:textId="7A7D57A6" w:rsidR="00E51D1E" w:rsidRPr="00294A1A" w:rsidRDefault="1B89548A" w:rsidP="00420A16">
            <w:pPr>
              <w:keepNext/>
              <w:spacing w:before="120" w:after="120"/>
              <w:jc w:val="right"/>
              <w:rPr>
                <w:rFonts w:cs="Arial"/>
                <w:color w:val="1C1C1C"/>
                <w:sz w:val="16"/>
                <w:szCs w:val="16"/>
              </w:rPr>
            </w:pPr>
            <w:r w:rsidRPr="5C6F05B9">
              <w:rPr>
                <w:rFonts w:cs="Arial"/>
                <w:color w:val="1C1C1C"/>
                <w:sz w:val="16"/>
                <w:szCs w:val="16"/>
              </w:rPr>
              <w:t>12.6%</w:t>
            </w:r>
          </w:p>
        </w:tc>
        <w:tc>
          <w:tcPr>
            <w:tcW w:w="1254" w:type="pct"/>
            <w:tcBorders>
              <w:left w:val="single" w:sz="4" w:space="0" w:color="FFFFFF" w:themeColor="accent6"/>
            </w:tcBorders>
            <w:shd w:val="clear" w:color="auto" w:fill="F2F2F2" w:themeFill="accent6" w:themeFillShade="F2"/>
          </w:tcPr>
          <w:p w14:paraId="0F29D549" w14:textId="6DC1C43A" w:rsidR="00E51D1E" w:rsidRPr="00294A1A" w:rsidRDefault="002D7916" w:rsidP="00420A16">
            <w:pPr>
              <w:keepNext/>
              <w:spacing w:before="120" w:after="120"/>
              <w:jc w:val="right"/>
              <w:rPr>
                <w:rFonts w:cs="Arial"/>
                <w:color w:val="1C1C1C"/>
                <w:sz w:val="16"/>
                <w:szCs w:val="16"/>
              </w:rPr>
            </w:pPr>
            <w:r>
              <w:rPr>
                <w:rFonts w:cs="Arial"/>
                <w:color w:val="1C1C1C"/>
                <w:sz w:val="16"/>
                <w:szCs w:val="16"/>
              </w:rPr>
              <w:t>27.13</w:t>
            </w:r>
          </w:p>
        </w:tc>
      </w:tr>
      <w:tr w:rsidR="00733486" w:rsidRPr="00294A1A" w14:paraId="172E10A4" w14:textId="511B5ED1" w:rsidTr="564D0D51">
        <w:trPr>
          <w:cnfStyle w:val="000000100000" w:firstRow="0" w:lastRow="0" w:firstColumn="0" w:lastColumn="0" w:oddVBand="0" w:evenVBand="0" w:oddHBand="1" w:evenHBand="0" w:firstRowFirstColumn="0" w:firstRowLastColumn="0" w:lastRowFirstColumn="0" w:lastRowLastColumn="0"/>
          <w:trHeight w:val="20"/>
        </w:trPr>
        <w:tc>
          <w:tcPr>
            <w:tcW w:w="1473" w:type="pct"/>
            <w:tcBorders>
              <w:right w:val="single" w:sz="4" w:space="0" w:color="FFFFFF" w:themeColor="accent6"/>
            </w:tcBorders>
            <w:shd w:val="clear" w:color="auto" w:fill="DFEBF1" w:themeFill="accent1" w:themeFillTint="1A"/>
            <w:vAlign w:val="center"/>
          </w:tcPr>
          <w:p w14:paraId="7CA2C484" w14:textId="3A29BB81" w:rsidR="00B158D3" w:rsidRPr="00294A1A" w:rsidRDefault="00B158D3" w:rsidP="00420A16">
            <w:pPr>
              <w:keepNext/>
              <w:spacing w:before="120" w:after="120"/>
              <w:rPr>
                <w:rFonts w:cs="Arial"/>
                <w:b/>
                <w:bCs/>
                <w:color w:val="000000"/>
                <w:sz w:val="16"/>
                <w:szCs w:val="16"/>
                <w:lang w:val="en-US"/>
              </w:rPr>
            </w:pPr>
            <w:r w:rsidRPr="00294A1A">
              <w:rPr>
                <w:rFonts w:cs="Arial"/>
                <w:b/>
                <w:bCs/>
                <w:color w:val="000000"/>
                <w:sz w:val="16"/>
                <w:szCs w:val="16"/>
                <w:lang w:val="en-US"/>
              </w:rPr>
              <w:t>Total</w:t>
            </w:r>
            <w:r w:rsidR="00BB5A75" w:rsidRPr="00294A1A">
              <w:rPr>
                <w:rFonts w:cs="Arial"/>
                <w:b/>
                <w:bCs/>
                <w:color w:val="000000"/>
                <w:sz w:val="16"/>
                <w:szCs w:val="16"/>
                <w:lang w:val="en-US"/>
              </w:rPr>
              <w:t>*</w:t>
            </w:r>
          </w:p>
        </w:tc>
        <w:tc>
          <w:tcPr>
            <w:tcW w:w="1137" w:type="pct"/>
            <w:tcBorders>
              <w:left w:val="single" w:sz="4" w:space="0" w:color="FFFFFF" w:themeColor="accent6"/>
            </w:tcBorders>
            <w:shd w:val="clear" w:color="auto" w:fill="DFEBF1" w:themeFill="accent1" w:themeFillTint="1A"/>
            <w:vAlign w:val="center"/>
          </w:tcPr>
          <w:p w14:paraId="0B5A02E7" w14:textId="45EE5C18" w:rsidR="00B158D3" w:rsidRPr="00294A1A" w:rsidRDefault="0A53655F" w:rsidP="00420A16">
            <w:pPr>
              <w:keepNext/>
              <w:spacing w:before="120" w:after="120"/>
              <w:jc w:val="right"/>
              <w:rPr>
                <w:rFonts w:cs="Arial"/>
                <w:b/>
                <w:bCs/>
                <w:color w:val="1C1C1C"/>
                <w:sz w:val="16"/>
                <w:szCs w:val="16"/>
              </w:rPr>
            </w:pPr>
            <w:r w:rsidRPr="095F4733">
              <w:rPr>
                <w:rFonts w:cs="Arial"/>
                <w:b/>
                <w:bCs/>
                <w:color w:val="1C1C1C"/>
                <w:sz w:val="16"/>
                <w:szCs w:val="16"/>
              </w:rPr>
              <w:t>$6,789.4m</w:t>
            </w:r>
          </w:p>
        </w:tc>
        <w:tc>
          <w:tcPr>
            <w:tcW w:w="1136" w:type="pct"/>
            <w:tcBorders>
              <w:left w:val="single" w:sz="4" w:space="0" w:color="FFFFFF" w:themeColor="accent6"/>
            </w:tcBorders>
            <w:shd w:val="clear" w:color="auto" w:fill="DFEBF1" w:themeFill="accent1" w:themeFillTint="1A"/>
          </w:tcPr>
          <w:p w14:paraId="4FA30912" w14:textId="644FF1F6" w:rsidR="00B158D3" w:rsidRPr="00294A1A" w:rsidRDefault="00C17E44" w:rsidP="00420A16">
            <w:pPr>
              <w:keepNext/>
              <w:spacing w:before="120" w:after="120"/>
              <w:jc w:val="right"/>
              <w:rPr>
                <w:rFonts w:cs="Arial"/>
                <w:b/>
                <w:bCs/>
                <w:color w:val="1C1C1C"/>
                <w:sz w:val="16"/>
                <w:szCs w:val="16"/>
              </w:rPr>
            </w:pPr>
            <w:r>
              <w:rPr>
                <w:rFonts w:cs="Arial"/>
                <w:b/>
                <w:bCs/>
                <w:color w:val="1C1C1C"/>
                <w:sz w:val="16"/>
                <w:szCs w:val="16"/>
              </w:rPr>
              <w:t>100%</w:t>
            </w:r>
          </w:p>
        </w:tc>
        <w:tc>
          <w:tcPr>
            <w:tcW w:w="1254" w:type="pct"/>
            <w:tcBorders>
              <w:left w:val="single" w:sz="4" w:space="0" w:color="FFFFFF" w:themeColor="accent6"/>
            </w:tcBorders>
            <w:shd w:val="clear" w:color="auto" w:fill="DFEBF1" w:themeFill="accent1" w:themeFillTint="1A"/>
          </w:tcPr>
          <w:p w14:paraId="22114E2C" w14:textId="6A026420" w:rsidR="00B158D3" w:rsidRPr="00294A1A" w:rsidRDefault="002D7916" w:rsidP="00420A16">
            <w:pPr>
              <w:keepNext/>
              <w:spacing w:before="120" w:after="120"/>
              <w:jc w:val="right"/>
              <w:rPr>
                <w:rFonts w:cs="Arial"/>
                <w:b/>
                <w:bCs/>
                <w:color w:val="1C1C1C"/>
                <w:sz w:val="16"/>
                <w:szCs w:val="16"/>
              </w:rPr>
            </w:pPr>
            <w:r>
              <w:rPr>
                <w:rFonts w:cs="Arial"/>
                <w:b/>
                <w:bCs/>
                <w:color w:val="1C1C1C"/>
                <w:sz w:val="16"/>
                <w:szCs w:val="16"/>
              </w:rPr>
              <w:t>213.30</w:t>
            </w:r>
          </w:p>
        </w:tc>
      </w:tr>
    </w:tbl>
    <w:p w14:paraId="57CDB911" w14:textId="77777777" w:rsidR="00BB5A75" w:rsidRPr="00BB5A75" w:rsidRDefault="00BB5A75" w:rsidP="00BB5A75">
      <w:pPr>
        <w:rPr>
          <w:sz w:val="18"/>
          <w:szCs w:val="18"/>
        </w:rPr>
      </w:pPr>
      <w:r w:rsidRPr="00BB5A75">
        <w:rPr>
          <w:sz w:val="18"/>
          <w:szCs w:val="18"/>
        </w:rPr>
        <w:t>*Components may not add to total due to rounding</w:t>
      </w:r>
    </w:p>
    <w:p w14:paraId="4FCAD9E6" w14:textId="1737D355" w:rsidR="00207EBB" w:rsidRDefault="00320CFB" w:rsidP="005B4443">
      <w:pPr>
        <w:pStyle w:val="Heading2"/>
      </w:pPr>
      <w:bookmarkStart w:id="32" w:name="_Ref120602422"/>
      <w:bookmarkStart w:id="33" w:name="_Toc134183604"/>
      <w:r>
        <w:t>Fair Work Commission interim decision</w:t>
      </w:r>
      <w:bookmarkEnd w:id="32"/>
      <w:bookmarkEnd w:id="33"/>
    </w:p>
    <w:p w14:paraId="3B418164" w14:textId="2BAE70E9" w:rsidR="003A4CF5" w:rsidRDefault="006D2A34" w:rsidP="006D2A34">
      <w:r>
        <w:t xml:space="preserve">The FWC wage case relates to the </w:t>
      </w:r>
      <w:r w:rsidRPr="006D2A34">
        <w:rPr>
          <w:i/>
          <w:iCs/>
        </w:rPr>
        <w:t>Aged Care Award 2010</w:t>
      </w:r>
      <w:r>
        <w:t xml:space="preserve">, </w:t>
      </w:r>
      <w:r w:rsidRPr="006D2A34">
        <w:rPr>
          <w:i/>
          <w:iCs/>
        </w:rPr>
        <w:t>Nurses Award 2010</w:t>
      </w:r>
      <w:r>
        <w:t>, and</w:t>
      </w:r>
      <w:r w:rsidRPr="006D2A34">
        <w:rPr>
          <w:i/>
          <w:iCs/>
        </w:rPr>
        <w:t xml:space="preserve"> Social Community, Home Care and Disability Services Industry Award 2010</w:t>
      </w:r>
      <w:r>
        <w:t xml:space="preserve"> </w:t>
      </w:r>
      <w:r w:rsidR="00FA4053">
        <w:t xml:space="preserve">(the Awards) </w:t>
      </w:r>
      <w:r>
        <w:t xml:space="preserve">for aged care workers. An interim FWC decision was handed down on </w:t>
      </w:r>
      <w:r w:rsidR="00037F21">
        <w:t>21</w:t>
      </w:r>
      <w:r>
        <w:t xml:space="preserve"> </w:t>
      </w:r>
      <w:r w:rsidR="00037F21">
        <w:t xml:space="preserve">February </w:t>
      </w:r>
      <w:r>
        <w:t xml:space="preserve">2022 to increase </w:t>
      </w:r>
      <w:r w:rsidR="000C42D7">
        <w:t xml:space="preserve">of 15 per cent </w:t>
      </w:r>
      <w:r w:rsidR="003A4CF5">
        <w:t xml:space="preserve">to </w:t>
      </w:r>
      <w:r>
        <w:t xml:space="preserve">wages </w:t>
      </w:r>
      <w:r w:rsidR="002F11AF">
        <w:t xml:space="preserve">from 30 June 2023 </w:t>
      </w:r>
      <w:r>
        <w:t>for</w:t>
      </w:r>
      <w:r w:rsidR="002F11AF">
        <w:t xml:space="preserve"> the follow </w:t>
      </w:r>
      <w:r w:rsidR="00786CBB">
        <w:t>employees under the awards listed above</w:t>
      </w:r>
      <w:r w:rsidR="003A4CF5">
        <w:t>:</w:t>
      </w:r>
    </w:p>
    <w:p w14:paraId="72691619" w14:textId="6503C61B" w:rsidR="002F11AF" w:rsidRDefault="00FA4053" w:rsidP="003A4CF5">
      <w:pPr>
        <w:pStyle w:val="ListParagraph"/>
        <w:numPr>
          <w:ilvl w:val="0"/>
          <w:numId w:val="49"/>
        </w:numPr>
      </w:pPr>
      <w:r>
        <w:t>D</w:t>
      </w:r>
      <w:r w:rsidR="006D2A34">
        <w:t xml:space="preserve">irect care workers </w:t>
      </w:r>
      <w:r>
        <w:t xml:space="preserve">under the Awards </w:t>
      </w:r>
      <w:r w:rsidR="00037F21">
        <w:t>(</w:t>
      </w:r>
      <w:r>
        <w:t xml:space="preserve">defined as </w:t>
      </w:r>
      <w:r w:rsidR="00037F21">
        <w:t xml:space="preserve">RNs, ENs, PCWs) </w:t>
      </w:r>
    </w:p>
    <w:p w14:paraId="0C7E818C" w14:textId="53971D3C" w:rsidR="006D2A34" w:rsidRDefault="008B3F73" w:rsidP="003A4CF5">
      <w:pPr>
        <w:pStyle w:val="ListParagraph"/>
        <w:numPr>
          <w:ilvl w:val="0"/>
          <w:numId w:val="49"/>
        </w:numPr>
      </w:pPr>
      <w:r>
        <w:t>Recreation Activity Officers and Lifestyle</w:t>
      </w:r>
      <w:r w:rsidR="00E75236">
        <w:t xml:space="preserve"> Officers</w:t>
      </w:r>
      <w:r w:rsidR="006D2A34" w:rsidDel="00786CBB">
        <w:t xml:space="preserve"> </w:t>
      </w:r>
    </w:p>
    <w:p w14:paraId="3D0B1F71" w14:textId="63A51526" w:rsidR="00786CBB" w:rsidRDefault="00786CBB" w:rsidP="00263B20">
      <w:pPr>
        <w:pStyle w:val="ListParagraph"/>
        <w:numPr>
          <w:ilvl w:val="0"/>
          <w:numId w:val="49"/>
        </w:numPr>
      </w:pPr>
      <w:r>
        <w:t xml:space="preserve">Cooks and Chefs at level 4-7, provided they are the </w:t>
      </w:r>
      <w:r w:rsidR="007D203D">
        <w:t xml:space="preserve">most </w:t>
      </w:r>
      <w:r w:rsidR="007B74CF">
        <w:t>senior chef or cook engaged at the facility</w:t>
      </w:r>
    </w:p>
    <w:p w14:paraId="18D7FC7A" w14:textId="3A3CE6D6" w:rsidR="006D2A34" w:rsidRDefault="00162F77" w:rsidP="006D2A34">
      <w:r>
        <w:t xml:space="preserve">Noting that the final item </w:t>
      </w:r>
      <w:r w:rsidR="00D0699F">
        <w:t xml:space="preserve">does not affect the RACPA23 calculation, but may influence hotel cost gap analysis presented in section </w:t>
      </w:r>
      <w:r w:rsidR="00D0699F">
        <w:fldChar w:fldCharType="begin"/>
      </w:r>
      <w:r w:rsidR="00D0699F">
        <w:instrText xml:space="preserve"> REF _Ref128043770 \r \h </w:instrText>
      </w:r>
      <w:r w:rsidR="00D0699F">
        <w:fldChar w:fldCharType="separate"/>
      </w:r>
      <w:r w:rsidR="00B1072E">
        <w:t>6</w:t>
      </w:r>
      <w:r w:rsidR="00D0699F">
        <w:fldChar w:fldCharType="end"/>
      </w:r>
      <w:r w:rsidR="00D0699F">
        <w:t>.</w:t>
      </w:r>
      <w:r w:rsidR="006D2A34">
        <w:t>The FWC will make further decisions relating to the case. Th</w:t>
      </w:r>
      <w:r w:rsidR="000C42D7">
        <w:t>ese</w:t>
      </w:r>
      <w:r w:rsidR="006D2A34">
        <w:t xml:space="preserve"> decision</w:t>
      </w:r>
      <w:r w:rsidR="000C42D7">
        <w:t>s</w:t>
      </w:r>
      <w:r w:rsidR="006D2A34">
        <w:t xml:space="preserve"> </w:t>
      </w:r>
      <w:r w:rsidR="002D6AE8">
        <w:t>ha</w:t>
      </w:r>
      <w:r w:rsidR="003022EA">
        <w:t>ve</w:t>
      </w:r>
      <w:r w:rsidR="002D6AE8">
        <w:t xml:space="preserve"> not yet been handed down and ha</w:t>
      </w:r>
      <w:r w:rsidR="003022EA">
        <w:t>ve</w:t>
      </w:r>
      <w:r w:rsidR="002D6AE8">
        <w:t xml:space="preserve"> not prospectively been accounted for in any way.</w:t>
      </w:r>
    </w:p>
    <w:p w14:paraId="1DC0E9E3" w14:textId="70D53FEC" w:rsidR="002D6AE8" w:rsidRPr="00662FBE" w:rsidRDefault="00944EE2" w:rsidP="00662FBE">
      <w:pPr>
        <w:pStyle w:val="Heading3"/>
      </w:pPr>
      <w:r w:rsidRPr="00662FBE">
        <w:t>Aged care workers on non-award salaries</w:t>
      </w:r>
    </w:p>
    <w:p w14:paraId="09ED87AC" w14:textId="4157890E" w:rsidR="006D2A34" w:rsidRDefault="006D2A34" w:rsidP="006D2A34">
      <w:r>
        <w:t xml:space="preserve">The </w:t>
      </w:r>
      <w:hyperlink r:id="rId27" w:history="1">
        <w:r w:rsidRPr="00476543">
          <w:rPr>
            <w:rStyle w:val="Hyperlink"/>
          </w:rPr>
          <w:t>Commonwealth submission to the FWC case</w:t>
        </w:r>
      </w:hyperlink>
      <w:r>
        <w:t xml:space="preserve"> states that most of the aged care work force are currently covered by enterprise bargaining agreements (EBAs)</w:t>
      </w:r>
      <w:r w:rsidR="007918C5">
        <w:t xml:space="preserve">, the majority of which </w:t>
      </w:r>
      <w:r>
        <w:t>have passed their nominal expiring dates</w:t>
      </w:r>
      <w:r w:rsidR="007918C5">
        <w:t>. Therefore,</w:t>
      </w:r>
      <w:r>
        <w:t xml:space="preserve"> most of workers </w:t>
      </w:r>
      <w:r w:rsidR="007918C5">
        <w:t xml:space="preserve">under EBAs </w:t>
      </w:r>
      <w:r>
        <w:t>are paid at the award wage by default, as annual increases to the award have surpassed the EBA rate.</w:t>
      </w:r>
    </w:p>
    <w:p w14:paraId="787A8807" w14:textId="3841C4E2" w:rsidR="006D2A34" w:rsidRDefault="006D2A34" w:rsidP="006D2A34">
      <w:r>
        <w:t xml:space="preserve">The submission goes on to state </w:t>
      </w:r>
      <w:r w:rsidR="002D11BD">
        <w:t>that a significant proportion of</w:t>
      </w:r>
      <w:r>
        <w:t xml:space="preserve"> aged care nurses </w:t>
      </w:r>
      <w:r w:rsidR="002D11BD">
        <w:t xml:space="preserve">are on active </w:t>
      </w:r>
      <w:r>
        <w:t xml:space="preserve">EBAs </w:t>
      </w:r>
      <w:r w:rsidR="002D11BD">
        <w:t>and</w:t>
      </w:r>
      <w:r w:rsidR="00E55809">
        <w:t xml:space="preserve"> </w:t>
      </w:r>
      <w:r>
        <w:t>are broadly paid 15 per cent above awards. Estimates based on survey data indicate that 23.43 per cent of nurses are on active EBAs which are 15 per cent or more above the award.</w:t>
      </w:r>
    </w:p>
    <w:p w14:paraId="0FC17DBD" w14:textId="7FC87626" w:rsidR="006D2A34" w:rsidRDefault="00B54A84" w:rsidP="006D2A34">
      <w:r>
        <w:t>T</w:t>
      </w:r>
      <w:r w:rsidR="006D2A34">
        <w:t xml:space="preserve">o account for the interim FWC decision, an increase has been applied to the labour cost proportion from </w:t>
      </w:r>
      <w:r>
        <w:fldChar w:fldCharType="begin"/>
      </w:r>
      <w:r>
        <w:instrText xml:space="preserve"> REF _Ref120604761 \h </w:instrText>
      </w:r>
      <w:r>
        <w:fldChar w:fldCharType="separate"/>
      </w:r>
      <w:r w:rsidR="00B1072E">
        <w:t>Table </w:t>
      </w:r>
      <w:r w:rsidR="00B1072E">
        <w:rPr>
          <w:noProof/>
        </w:rPr>
        <w:t>5</w:t>
      </w:r>
      <w:r>
        <w:fldChar w:fldCharType="end"/>
      </w:r>
      <w:r>
        <w:t>.</w:t>
      </w:r>
      <w:r w:rsidR="006D2A34">
        <w:t xml:space="preserve"> The increase is calculated separately for nurses and other labour cost proportions in ACFR using the follow methodology:</w:t>
      </w:r>
    </w:p>
    <w:p w14:paraId="0D01859E" w14:textId="67765563" w:rsidR="006D2A34" w:rsidRDefault="006D2A34" w:rsidP="00872DD8">
      <w:pPr>
        <w:pStyle w:val="ListLevel1"/>
      </w:pPr>
      <w:r>
        <w:t>23.43 per cent of nursing costs are not inflated, and the remainder (76.57 per cent) are inflated by 15 per cent to align with the FWC interim wage increase</w:t>
      </w:r>
    </w:p>
    <w:p w14:paraId="0E6FBC98" w14:textId="4D706619" w:rsidR="006D2A34" w:rsidRDefault="0090268E" w:rsidP="00872DD8">
      <w:pPr>
        <w:pStyle w:val="ListLevel1"/>
      </w:pPr>
      <w:r>
        <w:lastRenderedPageBreak/>
        <w:t>P</w:t>
      </w:r>
      <w:r w:rsidR="00535FCC">
        <w:t>CW</w:t>
      </w:r>
      <w:r>
        <w:t xml:space="preserve"> and </w:t>
      </w:r>
      <w:r w:rsidR="63E4B2A7">
        <w:t xml:space="preserve">recreational </w:t>
      </w:r>
      <w:r w:rsidR="006D2A34">
        <w:t>labour costs are inflated by 15 per cent</w:t>
      </w:r>
    </w:p>
    <w:p w14:paraId="12263A48" w14:textId="47C82980" w:rsidR="00C57D6B" w:rsidRDefault="00C57D6B" w:rsidP="00872DD8">
      <w:pPr>
        <w:pStyle w:val="ListLevel1"/>
      </w:pPr>
      <w:r>
        <w:t>Other labour costs are not inflated</w:t>
      </w:r>
    </w:p>
    <w:p w14:paraId="6FA2BD8D" w14:textId="232AD281" w:rsidR="006D2A34" w:rsidRDefault="006D2A34" w:rsidP="006D2A34">
      <w:r>
        <w:t xml:space="preserve">The effect of this on </w:t>
      </w:r>
      <w:r w:rsidR="00733486">
        <w:t>the Department’s initial price</w:t>
      </w:r>
      <w:r>
        <w:t xml:space="preserve"> is shown in</w:t>
      </w:r>
      <w:r w:rsidR="00733486">
        <w:t xml:space="preserve"> </w:t>
      </w:r>
      <w:r w:rsidR="00733486">
        <w:fldChar w:fldCharType="begin"/>
      </w:r>
      <w:r w:rsidR="00733486">
        <w:instrText xml:space="preserve"> REF _Ref120607573 \h </w:instrText>
      </w:r>
      <w:r w:rsidR="00733486">
        <w:fldChar w:fldCharType="separate"/>
      </w:r>
      <w:r w:rsidR="00B1072E">
        <w:t>Table </w:t>
      </w:r>
      <w:r w:rsidR="00B1072E">
        <w:rPr>
          <w:noProof/>
        </w:rPr>
        <w:t>6</w:t>
      </w:r>
      <w:r w:rsidR="00733486">
        <w:fldChar w:fldCharType="end"/>
      </w:r>
      <w:r>
        <w:t>.</w:t>
      </w:r>
    </w:p>
    <w:p w14:paraId="5D3B5481" w14:textId="3FFDC30F" w:rsidR="00872DD8" w:rsidRDefault="00273B40" w:rsidP="00733486">
      <w:pPr>
        <w:pStyle w:val="TableFigureheading"/>
      </w:pPr>
      <w:bookmarkStart w:id="34" w:name="_Ref120607573"/>
      <w:r>
        <w:t>Table </w:t>
      </w:r>
      <w:fldSimple w:instr=" SEQ Table \* ARABIC ">
        <w:r w:rsidR="00B1072E">
          <w:rPr>
            <w:noProof/>
          </w:rPr>
          <w:t>6</w:t>
        </w:r>
      </w:fldSimple>
      <w:bookmarkEnd w:id="34"/>
      <w:r w:rsidR="00733486">
        <w:t>: Applying the interim FWC decision adjustment</w:t>
      </w:r>
    </w:p>
    <w:tbl>
      <w:tblPr>
        <w:tblStyle w:val="IHPATable"/>
        <w:tblW w:w="5000" w:type="pct"/>
        <w:tblLook w:val="0020" w:firstRow="1" w:lastRow="0" w:firstColumn="0" w:lastColumn="0" w:noHBand="0" w:noVBand="0"/>
        <w:tblCaption w:val="Table 10"/>
        <w:tblDescription w:val="Ongoing seconded employees 2021"/>
      </w:tblPr>
      <w:tblGrid>
        <w:gridCol w:w="2904"/>
        <w:gridCol w:w="2585"/>
        <w:gridCol w:w="1953"/>
        <w:gridCol w:w="2304"/>
      </w:tblGrid>
      <w:tr w:rsidR="00733486" w:rsidRPr="00733486" w14:paraId="57CC5F5A" w14:textId="77777777" w:rsidTr="31D6A360">
        <w:trPr>
          <w:cnfStyle w:val="100000000000" w:firstRow="1" w:lastRow="0" w:firstColumn="0" w:lastColumn="0" w:oddVBand="0" w:evenVBand="0" w:oddHBand="0" w:evenHBand="0" w:firstRowFirstColumn="0" w:firstRowLastColumn="0" w:lastRowFirstColumn="0" w:lastRowLastColumn="0"/>
          <w:trHeight w:val="20"/>
        </w:trPr>
        <w:tc>
          <w:tcPr>
            <w:tcW w:w="1490" w:type="pct"/>
            <w:tcBorders>
              <w:right w:val="single" w:sz="4" w:space="0" w:color="FFFFFF" w:themeColor="accent6"/>
            </w:tcBorders>
            <w:shd w:val="clear" w:color="auto" w:fill="15272F" w:themeFill="accent1"/>
            <w:vAlign w:val="center"/>
          </w:tcPr>
          <w:p w14:paraId="2545C50A" w14:textId="23A9E074" w:rsidR="00733486" w:rsidRPr="00733486" w:rsidRDefault="003634AC" w:rsidP="00733486">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00733486" w:rsidRPr="00733486">
              <w:rPr>
                <w:rFonts w:cs="Arial"/>
                <w:b/>
                <w:bCs/>
                <w:color w:val="FFFFFF" w:themeColor="background2"/>
                <w:szCs w:val="18"/>
                <w:lang w:val="en-US"/>
              </w:rPr>
              <w:t>omponent</w:t>
            </w:r>
          </w:p>
        </w:tc>
        <w:tc>
          <w:tcPr>
            <w:tcW w:w="1326" w:type="pct"/>
            <w:tcBorders>
              <w:right w:val="single" w:sz="4" w:space="0" w:color="FFFFFF" w:themeColor="accent6"/>
            </w:tcBorders>
            <w:shd w:val="clear" w:color="auto" w:fill="15272F" w:themeFill="accent1"/>
            <w:vAlign w:val="center"/>
          </w:tcPr>
          <w:p w14:paraId="6CB76FB8" w14:textId="5A4285A3" w:rsidR="00733486" w:rsidRPr="00733486" w:rsidRDefault="00535FCC" w:rsidP="00733486">
            <w:pPr>
              <w:keepNext/>
              <w:spacing w:before="120" w:after="120"/>
              <w:rPr>
                <w:rFonts w:cs="Arial"/>
                <w:b/>
                <w:bCs/>
                <w:color w:val="FFFFFF" w:themeColor="background2"/>
                <w:szCs w:val="18"/>
              </w:rPr>
            </w:pPr>
            <w:r>
              <w:rPr>
                <w:rFonts w:cs="Arial"/>
                <w:b/>
                <w:bCs/>
                <w:color w:val="FFFFFF" w:themeColor="background2"/>
                <w:szCs w:val="18"/>
              </w:rPr>
              <w:t>Adjusted ACP22</w:t>
            </w:r>
            <w:r>
              <w:rPr>
                <w:rFonts w:cs="Arial"/>
                <w:b/>
                <w:bCs/>
                <w:color w:val="FFFFFF" w:themeColor="background2"/>
                <w:szCs w:val="18"/>
              </w:rPr>
              <w:br/>
            </w:r>
            <w:r w:rsidR="00D00091">
              <w:rPr>
                <w:rFonts w:cs="Arial"/>
                <w:b/>
                <w:bCs/>
                <w:color w:val="FFFFFF" w:themeColor="background2"/>
                <w:szCs w:val="18"/>
              </w:rPr>
              <w:t>(2022-23 dollars)</w:t>
            </w:r>
          </w:p>
        </w:tc>
        <w:tc>
          <w:tcPr>
            <w:tcW w:w="1002" w:type="pct"/>
            <w:tcBorders>
              <w:left w:val="single" w:sz="4" w:space="0" w:color="FFFFFF" w:themeColor="accent6"/>
            </w:tcBorders>
            <w:shd w:val="clear" w:color="auto" w:fill="15272F" w:themeFill="accent1"/>
            <w:vAlign w:val="center"/>
          </w:tcPr>
          <w:p w14:paraId="50A7626E" w14:textId="42B97AEF" w:rsidR="00733486" w:rsidRPr="00733486" w:rsidRDefault="00733486" w:rsidP="00733486">
            <w:pPr>
              <w:keepNext/>
              <w:spacing w:before="120" w:after="120"/>
              <w:rPr>
                <w:rFonts w:cs="Arial"/>
                <w:b/>
                <w:bCs/>
                <w:color w:val="FFFFFF" w:themeColor="background2"/>
                <w:szCs w:val="18"/>
              </w:rPr>
            </w:pPr>
            <w:r>
              <w:rPr>
                <w:rFonts w:cs="Arial"/>
                <w:b/>
                <w:bCs/>
                <w:color w:val="FFFFFF" w:themeColor="background2"/>
                <w:szCs w:val="18"/>
              </w:rPr>
              <w:t>FWC adjustment</w:t>
            </w:r>
          </w:p>
        </w:tc>
        <w:tc>
          <w:tcPr>
            <w:tcW w:w="1182" w:type="pct"/>
            <w:tcBorders>
              <w:left w:val="single" w:sz="4" w:space="0" w:color="FFFFFF" w:themeColor="accent6"/>
            </w:tcBorders>
            <w:shd w:val="clear" w:color="auto" w:fill="15272F" w:themeFill="accent1"/>
            <w:vAlign w:val="center"/>
          </w:tcPr>
          <w:p w14:paraId="407807B4" w14:textId="3365B67B" w:rsidR="00733486" w:rsidRPr="00733486" w:rsidRDefault="00733486" w:rsidP="00733486">
            <w:pPr>
              <w:keepNext/>
              <w:spacing w:before="120" w:after="120"/>
              <w:rPr>
                <w:rFonts w:cs="Arial"/>
                <w:b/>
                <w:bCs/>
                <w:color w:val="FFFFFF" w:themeColor="background2"/>
                <w:szCs w:val="18"/>
              </w:rPr>
            </w:pPr>
            <w:r>
              <w:rPr>
                <w:rFonts w:cs="Arial"/>
                <w:b/>
                <w:bCs/>
                <w:color w:val="FFFFFF" w:themeColor="background2"/>
                <w:szCs w:val="18"/>
              </w:rPr>
              <w:t>Price after adjustment</w:t>
            </w:r>
            <w:r w:rsidR="00D00091">
              <w:rPr>
                <w:rFonts w:cs="Arial"/>
                <w:b/>
                <w:bCs/>
                <w:color w:val="FFFFFF" w:themeColor="background2"/>
                <w:szCs w:val="18"/>
              </w:rPr>
              <w:t xml:space="preserve"> (2022-23 dollars)</w:t>
            </w:r>
          </w:p>
        </w:tc>
      </w:tr>
      <w:tr w:rsidR="00305EA9" w:rsidRPr="00294A1A" w14:paraId="37389305"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vAlign w:val="center"/>
          </w:tcPr>
          <w:p w14:paraId="7A366E52" w14:textId="48683BB8" w:rsidR="00305EA9" w:rsidRPr="00294A1A" w:rsidRDefault="00305EA9" w:rsidP="00305EA9">
            <w:pPr>
              <w:keepNext/>
              <w:spacing w:before="120" w:after="120"/>
              <w:rPr>
                <w:rFonts w:cs="Arial"/>
                <w:color w:val="000000"/>
                <w:sz w:val="16"/>
                <w:szCs w:val="16"/>
                <w:lang w:val="en-US"/>
              </w:rPr>
            </w:pPr>
            <w:r>
              <w:rPr>
                <w:rFonts w:cs="Arial"/>
                <w:color w:val="000000"/>
                <w:sz w:val="16"/>
                <w:szCs w:val="16"/>
                <w:lang w:val="en-US"/>
              </w:rPr>
              <w:t>Nursing</w:t>
            </w:r>
          </w:p>
        </w:tc>
        <w:tc>
          <w:tcPr>
            <w:tcW w:w="1326" w:type="pct"/>
            <w:tcBorders>
              <w:right w:val="single" w:sz="4" w:space="0" w:color="FFFFFF" w:themeColor="accent6"/>
            </w:tcBorders>
            <w:shd w:val="clear" w:color="auto" w:fill="F2F2F2" w:themeFill="accent6" w:themeFillShade="F2"/>
            <w:vAlign w:val="center"/>
          </w:tcPr>
          <w:p w14:paraId="1C0AF1E7" w14:textId="435E6EAF"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64.17</w:t>
            </w:r>
          </w:p>
        </w:tc>
        <w:tc>
          <w:tcPr>
            <w:tcW w:w="1002" w:type="pct"/>
            <w:tcBorders>
              <w:left w:val="single" w:sz="4" w:space="0" w:color="FFFFFF" w:themeColor="accent6"/>
            </w:tcBorders>
            <w:shd w:val="clear" w:color="auto" w:fill="F2F2F2" w:themeFill="accent6" w:themeFillShade="F2"/>
            <w:vAlign w:val="center"/>
          </w:tcPr>
          <w:p w14:paraId="6A084692" w14:textId="18C90CA3"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11.5%</w:t>
            </w:r>
          </w:p>
        </w:tc>
        <w:tc>
          <w:tcPr>
            <w:tcW w:w="1182" w:type="pct"/>
            <w:tcBorders>
              <w:left w:val="single" w:sz="4" w:space="0" w:color="FFFFFF" w:themeColor="accent6"/>
            </w:tcBorders>
            <w:shd w:val="clear" w:color="auto" w:fill="F2F2F2" w:themeFill="accent6" w:themeFillShade="F2"/>
            <w:vAlign w:val="center"/>
          </w:tcPr>
          <w:p w14:paraId="5A883A7C" w14:textId="73F6939E"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71.54</w:t>
            </w:r>
          </w:p>
        </w:tc>
      </w:tr>
      <w:tr w:rsidR="00305EA9" w:rsidRPr="00294A1A" w14:paraId="3FBF3F8C" w14:textId="77777777" w:rsidTr="31D6A360">
        <w:trPr>
          <w:cnfStyle w:val="000000010000" w:firstRow="0" w:lastRow="0" w:firstColumn="0" w:lastColumn="0" w:oddVBand="0" w:evenVBand="0" w:oddHBand="0" w:evenHBand="1" w:firstRowFirstColumn="0" w:firstRowLastColumn="0" w:lastRowFirstColumn="0" w:lastRowLastColumn="0"/>
          <w:trHeight w:val="20"/>
        </w:trPr>
        <w:tc>
          <w:tcPr>
            <w:tcW w:w="1490" w:type="pct"/>
            <w:tcBorders>
              <w:right w:val="single" w:sz="4" w:space="0" w:color="FFFFFF" w:themeColor="accent6"/>
            </w:tcBorders>
            <w:vAlign w:val="center"/>
          </w:tcPr>
          <w:p w14:paraId="6F13C6B4" w14:textId="77A95A3C" w:rsidR="00305EA9" w:rsidRPr="00294A1A" w:rsidRDefault="60FABA88" w:rsidP="00305EA9">
            <w:pPr>
              <w:keepNext/>
              <w:spacing w:before="120" w:after="120"/>
              <w:rPr>
                <w:rFonts w:cs="Arial"/>
                <w:color w:val="000000"/>
                <w:sz w:val="16"/>
                <w:szCs w:val="16"/>
                <w:lang w:val="en-US"/>
              </w:rPr>
            </w:pPr>
            <w:r w:rsidRPr="367B5099">
              <w:rPr>
                <w:rFonts w:cs="Arial"/>
                <w:color w:val="000000"/>
                <w:sz w:val="16"/>
                <w:szCs w:val="16"/>
                <w:lang w:val="en-US"/>
              </w:rPr>
              <w:t>P</w:t>
            </w:r>
            <w:r w:rsidR="6AAFACBA" w:rsidRPr="367B5099">
              <w:rPr>
                <w:rFonts w:cs="Arial"/>
                <w:color w:val="000000"/>
                <w:sz w:val="16"/>
                <w:szCs w:val="16"/>
                <w:lang w:val="en-US"/>
              </w:rPr>
              <w:t>ersonal care workers and recreational activity officers</w:t>
            </w:r>
          </w:p>
        </w:tc>
        <w:tc>
          <w:tcPr>
            <w:tcW w:w="1326" w:type="pct"/>
            <w:tcBorders>
              <w:right w:val="single" w:sz="4" w:space="0" w:color="FFFFFF" w:themeColor="accent6"/>
            </w:tcBorders>
            <w:shd w:val="clear" w:color="auto" w:fill="F2F2F2" w:themeFill="accent6" w:themeFillShade="F2"/>
            <w:vAlign w:val="center"/>
          </w:tcPr>
          <w:p w14:paraId="64BACDBE" w14:textId="36F7B4CC"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102.63</w:t>
            </w:r>
          </w:p>
        </w:tc>
        <w:tc>
          <w:tcPr>
            <w:tcW w:w="1002" w:type="pct"/>
            <w:tcBorders>
              <w:left w:val="single" w:sz="4" w:space="0" w:color="FFFFFF" w:themeColor="accent6"/>
            </w:tcBorders>
            <w:shd w:val="clear" w:color="auto" w:fill="F2F2F2" w:themeFill="accent6" w:themeFillShade="F2"/>
            <w:vAlign w:val="center"/>
          </w:tcPr>
          <w:p w14:paraId="6D73D0A8" w14:textId="57DFB978"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15.0%</w:t>
            </w:r>
          </w:p>
        </w:tc>
        <w:tc>
          <w:tcPr>
            <w:tcW w:w="1182" w:type="pct"/>
            <w:tcBorders>
              <w:left w:val="single" w:sz="4" w:space="0" w:color="FFFFFF" w:themeColor="accent6"/>
            </w:tcBorders>
            <w:shd w:val="clear" w:color="auto" w:fill="F2F2F2" w:themeFill="accent6" w:themeFillShade="F2"/>
            <w:vAlign w:val="center"/>
          </w:tcPr>
          <w:p w14:paraId="0F18A6AF" w14:textId="3CDB15BF" w:rsidR="00305EA9" w:rsidRPr="00263B20" w:rsidRDefault="00305EA9" w:rsidP="00305EA9">
            <w:pPr>
              <w:keepNext/>
              <w:spacing w:before="120" w:after="120"/>
              <w:jc w:val="right"/>
              <w:rPr>
                <w:rFonts w:cs="Arial"/>
                <w:sz w:val="18"/>
                <w:szCs w:val="18"/>
              </w:rPr>
            </w:pPr>
            <w:r w:rsidRPr="00263B20">
              <w:rPr>
                <w:rFonts w:cs="Arial"/>
                <w:color w:val="000000"/>
                <w:sz w:val="18"/>
                <w:szCs w:val="18"/>
              </w:rPr>
              <w:t>118.03</w:t>
            </w:r>
          </w:p>
        </w:tc>
      </w:tr>
      <w:tr w:rsidR="00305EA9" w:rsidRPr="00294A1A" w14:paraId="29473A84"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vAlign w:val="center"/>
          </w:tcPr>
          <w:p w14:paraId="106CF6D8" w14:textId="34637003" w:rsidR="00305EA9" w:rsidRPr="00294A1A" w:rsidRDefault="00305EA9" w:rsidP="00305EA9">
            <w:pPr>
              <w:keepNext/>
              <w:spacing w:before="120" w:after="120"/>
              <w:rPr>
                <w:rFonts w:cs="Arial"/>
                <w:color w:val="000000"/>
                <w:sz w:val="16"/>
                <w:szCs w:val="16"/>
                <w:lang w:val="en-US"/>
              </w:rPr>
            </w:pPr>
            <w:r>
              <w:rPr>
                <w:rFonts w:cs="Arial"/>
                <w:color w:val="000000"/>
                <w:sz w:val="16"/>
                <w:szCs w:val="16"/>
                <w:lang w:val="en-US"/>
              </w:rPr>
              <w:t>Other labour</w:t>
            </w:r>
          </w:p>
        </w:tc>
        <w:tc>
          <w:tcPr>
            <w:tcW w:w="1326" w:type="pct"/>
            <w:tcBorders>
              <w:right w:val="single" w:sz="4" w:space="0" w:color="FFFFFF" w:themeColor="accent6"/>
            </w:tcBorders>
            <w:shd w:val="clear" w:color="auto" w:fill="F2F2F2" w:themeFill="accent6" w:themeFillShade="F2"/>
            <w:vAlign w:val="center"/>
          </w:tcPr>
          <w:p w14:paraId="10D2F208" w14:textId="0A9198A4"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19.37</w:t>
            </w:r>
          </w:p>
        </w:tc>
        <w:tc>
          <w:tcPr>
            <w:tcW w:w="1002" w:type="pct"/>
            <w:tcBorders>
              <w:left w:val="single" w:sz="4" w:space="0" w:color="FFFFFF" w:themeColor="accent6"/>
            </w:tcBorders>
            <w:shd w:val="clear" w:color="auto" w:fill="F2F2F2" w:themeFill="accent6" w:themeFillShade="F2"/>
            <w:vAlign w:val="center"/>
          </w:tcPr>
          <w:p w14:paraId="0C35E91B" w14:textId="0E999469"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0%</w:t>
            </w:r>
          </w:p>
        </w:tc>
        <w:tc>
          <w:tcPr>
            <w:tcW w:w="1182" w:type="pct"/>
            <w:tcBorders>
              <w:left w:val="single" w:sz="4" w:space="0" w:color="FFFFFF" w:themeColor="accent6"/>
            </w:tcBorders>
            <w:shd w:val="clear" w:color="auto" w:fill="F2F2F2" w:themeFill="accent6" w:themeFillShade="F2"/>
            <w:vAlign w:val="center"/>
          </w:tcPr>
          <w:p w14:paraId="0B3C7453" w14:textId="34DF48E7"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19.37</w:t>
            </w:r>
          </w:p>
        </w:tc>
      </w:tr>
      <w:tr w:rsidR="00305EA9" w:rsidRPr="00294A1A" w14:paraId="62D9634C" w14:textId="77777777" w:rsidTr="31D6A360">
        <w:trPr>
          <w:cnfStyle w:val="000000010000" w:firstRow="0" w:lastRow="0" w:firstColumn="0" w:lastColumn="0" w:oddVBand="0" w:evenVBand="0" w:oddHBand="0" w:evenHBand="1" w:firstRowFirstColumn="0" w:firstRowLastColumn="0" w:lastRowFirstColumn="0" w:lastRowLastColumn="0"/>
          <w:trHeight w:val="20"/>
        </w:trPr>
        <w:tc>
          <w:tcPr>
            <w:tcW w:w="1490" w:type="pct"/>
            <w:tcBorders>
              <w:right w:val="single" w:sz="4" w:space="0" w:color="FFFFFF" w:themeColor="accent6"/>
            </w:tcBorders>
            <w:vAlign w:val="center"/>
          </w:tcPr>
          <w:p w14:paraId="29BE805B" w14:textId="042D7DDF" w:rsidR="00305EA9" w:rsidRPr="00294A1A" w:rsidRDefault="00305EA9" w:rsidP="00305EA9">
            <w:pPr>
              <w:keepNext/>
              <w:spacing w:before="120" w:after="120"/>
              <w:rPr>
                <w:rFonts w:cs="Arial"/>
                <w:color w:val="000000"/>
                <w:sz w:val="16"/>
                <w:szCs w:val="16"/>
                <w:lang w:val="en-US"/>
              </w:rPr>
            </w:pPr>
            <w:r>
              <w:rPr>
                <w:rFonts w:cs="Arial"/>
                <w:color w:val="000000"/>
                <w:sz w:val="16"/>
                <w:szCs w:val="16"/>
                <w:lang w:val="en-US"/>
              </w:rPr>
              <w:t>Other direct care</w:t>
            </w:r>
          </w:p>
        </w:tc>
        <w:tc>
          <w:tcPr>
            <w:tcW w:w="1326" w:type="pct"/>
            <w:tcBorders>
              <w:right w:val="single" w:sz="4" w:space="0" w:color="FFFFFF" w:themeColor="accent6"/>
            </w:tcBorders>
            <w:shd w:val="clear" w:color="auto" w:fill="F2F2F2" w:themeFill="accent6" w:themeFillShade="F2"/>
            <w:vAlign w:val="center"/>
          </w:tcPr>
          <w:p w14:paraId="0C4EE200" w14:textId="6EB22685"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27.13</w:t>
            </w:r>
          </w:p>
        </w:tc>
        <w:tc>
          <w:tcPr>
            <w:tcW w:w="1002" w:type="pct"/>
            <w:tcBorders>
              <w:left w:val="single" w:sz="4" w:space="0" w:color="FFFFFF" w:themeColor="accent6"/>
            </w:tcBorders>
            <w:shd w:val="clear" w:color="auto" w:fill="F2F2F2" w:themeFill="accent6" w:themeFillShade="F2"/>
            <w:vAlign w:val="center"/>
          </w:tcPr>
          <w:p w14:paraId="4940E3A7" w14:textId="437CBED7" w:rsidR="00305EA9" w:rsidRPr="00263B20" w:rsidRDefault="00305EA9" w:rsidP="00305EA9">
            <w:pPr>
              <w:keepNext/>
              <w:spacing w:before="120" w:after="120"/>
              <w:jc w:val="right"/>
              <w:rPr>
                <w:rFonts w:cs="Arial"/>
                <w:color w:val="1C1C1C"/>
                <w:sz w:val="18"/>
                <w:szCs w:val="18"/>
              </w:rPr>
            </w:pPr>
            <w:r w:rsidRPr="00263B20">
              <w:rPr>
                <w:rFonts w:cs="Arial"/>
                <w:color w:val="000000"/>
                <w:sz w:val="18"/>
                <w:szCs w:val="18"/>
              </w:rPr>
              <w:t>0%</w:t>
            </w:r>
          </w:p>
        </w:tc>
        <w:tc>
          <w:tcPr>
            <w:tcW w:w="1182" w:type="pct"/>
            <w:tcBorders>
              <w:left w:val="single" w:sz="4" w:space="0" w:color="FFFFFF" w:themeColor="accent6"/>
            </w:tcBorders>
            <w:shd w:val="clear" w:color="auto" w:fill="F2F2F2" w:themeFill="accent6" w:themeFillShade="F2"/>
            <w:vAlign w:val="center"/>
          </w:tcPr>
          <w:p w14:paraId="596A6CB6" w14:textId="23B22822" w:rsidR="00305EA9" w:rsidRPr="00263B20" w:rsidRDefault="00305EA9" w:rsidP="00305EA9">
            <w:pPr>
              <w:keepNext/>
              <w:spacing w:before="120" w:after="120"/>
              <w:jc w:val="right"/>
              <w:rPr>
                <w:rFonts w:cs="Arial"/>
                <w:sz w:val="18"/>
                <w:szCs w:val="18"/>
              </w:rPr>
            </w:pPr>
            <w:r w:rsidRPr="00263B20">
              <w:rPr>
                <w:rFonts w:cs="Arial"/>
                <w:color w:val="000000"/>
                <w:sz w:val="18"/>
                <w:szCs w:val="18"/>
              </w:rPr>
              <w:t>27.13</w:t>
            </w:r>
          </w:p>
        </w:tc>
      </w:tr>
      <w:tr w:rsidR="00305EA9" w:rsidRPr="00294A1A" w14:paraId="3B3AB118"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shd w:val="clear" w:color="auto" w:fill="DFEBF1" w:themeFill="accent1" w:themeFillTint="1A"/>
            <w:vAlign w:val="center"/>
          </w:tcPr>
          <w:p w14:paraId="7D717BEF" w14:textId="41D2418E" w:rsidR="00305EA9" w:rsidRPr="00294A1A" w:rsidRDefault="00305EA9" w:rsidP="00305EA9">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1326" w:type="pct"/>
            <w:tcBorders>
              <w:right w:val="single" w:sz="4" w:space="0" w:color="FFFFFF" w:themeColor="accent6"/>
            </w:tcBorders>
            <w:shd w:val="clear" w:color="auto" w:fill="DFEBF1" w:themeFill="accent1" w:themeFillTint="1A"/>
            <w:vAlign w:val="center"/>
          </w:tcPr>
          <w:p w14:paraId="41E6DDE7" w14:textId="01964BD7" w:rsidR="00305EA9" w:rsidRPr="00263B20" w:rsidRDefault="00305EA9" w:rsidP="00305EA9">
            <w:pPr>
              <w:keepNext/>
              <w:spacing w:before="120" w:after="120"/>
              <w:jc w:val="right"/>
              <w:rPr>
                <w:rFonts w:cs="Arial"/>
                <w:b/>
                <w:bCs/>
                <w:color w:val="1C1C1C"/>
                <w:sz w:val="18"/>
                <w:szCs w:val="18"/>
              </w:rPr>
            </w:pPr>
            <w:r w:rsidRPr="00263B20">
              <w:rPr>
                <w:rFonts w:cs="Arial"/>
                <w:b/>
                <w:bCs/>
                <w:color w:val="000000"/>
                <w:sz w:val="18"/>
                <w:szCs w:val="18"/>
              </w:rPr>
              <w:t>213.30</w:t>
            </w:r>
          </w:p>
        </w:tc>
        <w:tc>
          <w:tcPr>
            <w:tcW w:w="1002" w:type="pct"/>
            <w:tcBorders>
              <w:left w:val="single" w:sz="4" w:space="0" w:color="FFFFFF" w:themeColor="accent6"/>
            </w:tcBorders>
            <w:shd w:val="clear" w:color="auto" w:fill="DFEBF1" w:themeFill="accent1" w:themeFillTint="1A"/>
            <w:vAlign w:val="center"/>
          </w:tcPr>
          <w:p w14:paraId="46CC51E0" w14:textId="7DE8203D" w:rsidR="00305EA9" w:rsidRPr="00263B20" w:rsidRDefault="00305EA9" w:rsidP="00305EA9">
            <w:pPr>
              <w:keepNext/>
              <w:spacing w:before="120" w:after="120"/>
              <w:jc w:val="right"/>
              <w:rPr>
                <w:rFonts w:cs="Arial"/>
                <w:b/>
                <w:bCs/>
                <w:color w:val="1C1C1C"/>
                <w:sz w:val="18"/>
                <w:szCs w:val="18"/>
              </w:rPr>
            </w:pPr>
            <w:r w:rsidRPr="00263B20">
              <w:rPr>
                <w:rFonts w:cs="Arial"/>
                <w:b/>
                <w:bCs/>
                <w:color w:val="000000"/>
                <w:sz w:val="18"/>
                <w:szCs w:val="18"/>
              </w:rPr>
              <w:t>10.7%</w:t>
            </w:r>
          </w:p>
        </w:tc>
        <w:tc>
          <w:tcPr>
            <w:tcW w:w="1182" w:type="pct"/>
            <w:tcBorders>
              <w:left w:val="single" w:sz="4" w:space="0" w:color="FFFFFF" w:themeColor="accent6"/>
            </w:tcBorders>
            <w:shd w:val="clear" w:color="auto" w:fill="DFEBF1" w:themeFill="accent1" w:themeFillTint="1A"/>
            <w:vAlign w:val="center"/>
          </w:tcPr>
          <w:p w14:paraId="276DD2BF" w14:textId="4D29B9A6" w:rsidR="00305EA9" w:rsidRPr="00263B20" w:rsidRDefault="00305EA9" w:rsidP="00305EA9">
            <w:pPr>
              <w:keepNext/>
              <w:spacing w:before="120" w:after="120"/>
              <w:jc w:val="right"/>
              <w:rPr>
                <w:rFonts w:cs="Arial"/>
                <w:b/>
                <w:bCs/>
                <w:color w:val="1C1C1C"/>
                <w:sz w:val="18"/>
                <w:szCs w:val="18"/>
              </w:rPr>
            </w:pPr>
            <w:r w:rsidRPr="00263B20">
              <w:rPr>
                <w:rFonts w:cs="Arial"/>
                <w:b/>
                <w:bCs/>
                <w:color w:val="000000"/>
                <w:sz w:val="18"/>
                <w:szCs w:val="18"/>
              </w:rPr>
              <w:t>236.06</w:t>
            </w:r>
          </w:p>
        </w:tc>
      </w:tr>
    </w:tbl>
    <w:p w14:paraId="63234334" w14:textId="44EE1A4A" w:rsidR="006D2A34" w:rsidRPr="00BB5A75" w:rsidRDefault="00620A28" w:rsidP="006D2A34">
      <w:pPr>
        <w:rPr>
          <w:sz w:val="18"/>
          <w:szCs w:val="18"/>
        </w:rPr>
      </w:pPr>
      <w:r w:rsidRPr="00BB5A75">
        <w:rPr>
          <w:sz w:val="18"/>
          <w:szCs w:val="18"/>
        </w:rPr>
        <w:t>*Components may not add to total due to rounding</w:t>
      </w:r>
    </w:p>
    <w:p w14:paraId="5AD5FFA0" w14:textId="4F99B613" w:rsidR="006D2A34" w:rsidRDefault="00837948" w:rsidP="006D2A34">
      <w:r>
        <w:fldChar w:fldCharType="begin"/>
      </w:r>
      <w:r>
        <w:instrText xml:space="preserve"> REF _Ref120607573 \h </w:instrText>
      </w:r>
      <w:r>
        <w:fldChar w:fldCharType="separate"/>
      </w:r>
      <w:r w:rsidR="00B1072E">
        <w:t>Table </w:t>
      </w:r>
      <w:r w:rsidR="00B1072E">
        <w:rPr>
          <w:noProof/>
        </w:rPr>
        <w:t>6</w:t>
      </w:r>
      <w:r>
        <w:fldChar w:fldCharType="end"/>
      </w:r>
      <w:r w:rsidR="006D2A34">
        <w:t xml:space="preserve"> shows that after accounting for the FWC decision of 15 per cent uniform award wage increase for direct care workers, and the proportion of nurses on EBAs which pay over 15</w:t>
      </w:r>
      <w:r w:rsidR="00673AD2">
        <w:t xml:space="preserve"> per cent</w:t>
      </w:r>
      <w:r w:rsidR="006D2A34">
        <w:t xml:space="preserve"> of the award, </w:t>
      </w:r>
      <w:r w:rsidR="00B82E46">
        <w:t xml:space="preserve">results in an average increase </w:t>
      </w:r>
      <w:r w:rsidR="006D2A34">
        <w:t xml:space="preserve">of </w:t>
      </w:r>
      <w:r w:rsidR="00305EA9">
        <w:t>10.7</w:t>
      </w:r>
      <w:r w:rsidR="006D2A34">
        <w:t xml:space="preserve"> per cent to </w:t>
      </w:r>
      <w:r w:rsidR="00B82E46">
        <w:t xml:space="preserve">the </w:t>
      </w:r>
      <w:r w:rsidR="00305EA9">
        <w:t>adjusted ACP22</w:t>
      </w:r>
      <w:r w:rsidR="00B82E46">
        <w:t xml:space="preserve">, giving a FWC commission adjusted price of </w:t>
      </w:r>
      <w:r w:rsidR="006D2A34">
        <w:t>$2</w:t>
      </w:r>
      <w:r w:rsidR="00305EA9">
        <w:t>36</w:t>
      </w:r>
      <w:r w:rsidR="006D2A34">
        <w:t>.</w:t>
      </w:r>
      <w:r w:rsidR="00305EA9">
        <w:t>06</w:t>
      </w:r>
      <w:r w:rsidR="00B82E46">
        <w:t xml:space="preserve"> in 202</w:t>
      </w:r>
      <w:r w:rsidR="00D00091">
        <w:t>2</w:t>
      </w:r>
      <w:r w:rsidR="00B82E46">
        <w:t>-2</w:t>
      </w:r>
      <w:r w:rsidR="00D00091">
        <w:t>3</w:t>
      </w:r>
      <w:r w:rsidR="00B82E46">
        <w:t xml:space="preserve"> dollars</w:t>
      </w:r>
      <w:r w:rsidR="006D2A34">
        <w:t>.</w:t>
      </w:r>
    </w:p>
    <w:p w14:paraId="3416213A" w14:textId="23A0F70F" w:rsidR="00207EBB" w:rsidRDefault="00320CFB" w:rsidP="005B4443">
      <w:pPr>
        <w:pStyle w:val="Heading2"/>
      </w:pPr>
      <w:bookmarkStart w:id="35" w:name="_Ref120602428"/>
      <w:bookmarkStart w:id="36" w:name="_Toc134183605"/>
      <w:r>
        <w:t xml:space="preserve">Superannuation </w:t>
      </w:r>
      <w:r w:rsidR="004B6EF8">
        <w:t>G</w:t>
      </w:r>
      <w:r>
        <w:t>uarantee</w:t>
      </w:r>
      <w:bookmarkEnd w:id="35"/>
      <w:r w:rsidR="004B6EF8">
        <w:t xml:space="preserve"> increase</w:t>
      </w:r>
      <w:bookmarkEnd w:id="36"/>
    </w:p>
    <w:p w14:paraId="3CF09C20" w14:textId="56EAD922" w:rsidR="005433FF" w:rsidRDefault="00C231CE" w:rsidP="005433FF">
      <w:r>
        <w:t>T</w:t>
      </w:r>
      <w:r w:rsidRPr="00C231CE">
        <w:t xml:space="preserve">he </w:t>
      </w:r>
      <w:hyperlink r:id="rId28" w:history="1">
        <w:r w:rsidRPr="00476543">
          <w:rPr>
            <w:rStyle w:val="Hyperlink"/>
            <w:i/>
            <w:iCs/>
          </w:rPr>
          <w:t>Superannuation Guarantee (Administration) Act 1992</w:t>
        </w:r>
      </w:hyperlink>
      <w:r w:rsidRPr="00C231CE">
        <w:t xml:space="preserve"> stipulates </w:t>
      </w:r>
      <w:r w:rsidR="006F359B">
        <w:t xml:space="preserve">in section 19(2) </w:t>
      </w:r>
      <w:r w:rsidRPr="00C231CE">
        <w:t>increases in minimum amount of superannuation an employer pays</w:t>
      </w:r>
      <w:r w:rsidR="00AA1EF2">
        <w:t xml:space="preserve"> (the guarantee rate)</w:t>
      </w:r>
      <w:r w:rsidRPr="00C231CE">
        <w:t xml:space="preserve"> by 0.5 per cent each year from 1 July 202</w:t>
      </w:r>
      <w:r w:rsidR="006F359B">
        <w:t>1</w:t>
      </w:r>
      <w:r w:rsidRPr="00C231CE">
        <w:t xml:space="preserve"> until 1 July 2025.</w:t>
      </w:r>
    </w:p>
    <w:p w14:paraId="75A24C11" w14:textId="711FDA9F" w:rsidR="005433FF" w:rsidRDefault="005433FF" w:rsidP="005433FF">
      <w:r>
        <w:t>IHACPA currently does not have data on which providers are paying superannuation at the guarantee</w:t>
      </w:r>
      <w:r w:rsidR="003022EA">
        <w:t>d</w:t>
      </w:r>
      <w:r>
        <w:t xml:space="preserve"> rate and which are </w:t>
      </w:r>
      <w:r w:rsidR="00AA1EF2">
        <w:t xml:space="preserve">on EBAs paying </w:t>
      </w:r>
      <w:r>
        <w:t>above</w:t>
      </w:r>
      <w:r w:rsidR="00AA1EF2">
        <w:t xml:space="preserve"> the guarantee</w:t>
      </w:r>
      <w:r w:rsidR="003022EA">
        <w:t>d</w:t>
      </w:r>
      <w:r w:rsidR="00AA1EF2">
        <w:t xml:space="preserve"> rate</w:t>
      </w:r>
      <w:r>
        <w:t>.</w:t>
      </w:r>
    </w:p>
    <w:p w14:paraId="6E4D1D36" w14:textId="6E12EE5C" w:rsidR="005433FF" w:rsidRDefault="005433FF" w:rsidP="005433FF">
      <w:r>
        <w:t>In the absence of any data on superannuation contributions above the guarantee</w:t>
      </w:r>
      <w:r w:rsidR="003022EA">
        <w:t>d</w:t>
      </w:r>
      <w:r>
        <w:t xml:space="preserve"> rate in the aged care workforce, IHACPA have assumed that the workforce is paid at the guaranteed rate. This implies that </w:t>
      </w:r>
      <w:r w:rsidR="00AA1EF2">
        <w:t>there will be a</w:t>
      </w:r>
      <w:r>
        <w:t xml:space="preserve"> 0.5 per cent </w:t>
      </w:r>
      <w:r w:rsidR="00C7003F">
        <w:t xml:space="preserve">(50 basis points) </w:t>
      </w:r>
      <w:r>
        <w:t xml:space="preserve">increase </w:t>
      </w:r>
      <w:r w:rsidR="00C7003F">
        <w:t xml:space="preserve">in </w:t>
      </w:r>
      <w:r w:rsidR="00D00091">
        <w:t xml:space="preserve">the superannuation component </w:t>
      </w:r>
      <w:r>
        <w:t>labour costs</w:t>
      </w:r>
      <w:r w:rsidR="00D00091">
        <w:t xml:space="preserve"> between 2022-23 and 2023-24</w:t>
      </w:r>
      <w:r>
        <w:t>.</w:t>
      </w:r>
    </w:p>
    <w:p w14:paraId="3DA1FC24" w14:textId="505E339A" w:rsidR="005433FF" w:rsidRDefault="005433FF" w:rsidP="005433FF">
      <w:r>
        <w:t xml:space="preserve">This adjustment is made by increasing the superannuation component of labour costs in the </w:t>
      </w:r>
      <w:r w:rsidR="00673AD2">
        <w:t xml:space="preserve">aged care price </w:t>
      </w:r>
      <w:r>
        <w:t>from 10.5 per cent to 11.0 per cen</w:t>
      </w:r>
      <w:r w:rsidR="00620A28">
        <w:t xml:space="preserve">t. The effect of this adjustment </w:t>
      </w:r>
      <w:r w:rsidR="00B4492A">
        <w:t xml:space="preserve">on labour costs </w:t>
      </w:r>
      <w:r>
        <w:t xml:space="preserve">is </w:t>
      </w:r>
      <w:r w:rsidR="00620A28">
        <w:t xml:space="preserve">shown </w:t>
      </w:r>
      <w:r>
        <w:t>in</w:t>
      </w:r>
      <w:r w:rsidR="00620A28">
        <w:t xml:space="preserve"> </w:t>
      </w:r>
      <w:r w:rsidR="00620A28">
        <w:fldChar w:fldCharType="begin"/>
      </w:r>
      <w:r w:rsidR="00620A28">
        <w:instrText xml:space="preserve"> REF _Ref120609026 \h </w:instrText>
      </w:r>
      <w:r w:rsidR="00620A28">
        <w:fldChar w:fldCharType="separate"/>
      </w:r>
      <w:r w:rsidR="00B1072E">
        <w:t>Table </w:t>
      </w:r>
      <w:r w:rsidR="00B1072E">
        <w:rPr>
          <w:noProof/>
        </w:rPr>
        <w:t>7</w:t>
      </w:r>
      <w:r w:rsidR="00620A28">
        <w:fldChar w:fldCharType="end"/>
      </w:r>
      <w:r>
        <w:t>.</w:t>
      </w:r>
    </w:p>
    <w:p w14:paraId="0A52D2F0" w14:textId="3D236525" w:rsidR="005433FF" w:rsidRDefault="00273B40" w:rsidP="00620A28">
      <w:pPr>
        <w:pStyle w:val="TableFigureheading"/>
      </w:pPr>
      <w:bookmarkStart w:id="37" w:name="_Ref120609026"/>
      <w:r>
        <w:lastRenderedPageBreak/>
        <w:t>Table </w:t>
      </w:r>
      <w:fldSimple w:instr=" SEQ Table \* ARABIC ">
        <w:r w:rsidR="00B1072E">
          <w:rPr>
            <w:noProof/>
          </w:rPr>
          <w:t>7</w:t>
        </w:r>
      </w:fldSimple>
      <w:bookmarkEnd w:id="37"/>
      <w:r w:rsidR="005433FF">
        <w:t>: Applying Superannuation Guarantee increase</w:t>
      </w:r>
    </w:p>
    <w:tbl>
      <w:tblPr>
        <w:tblStyle w:val="IHPATable"/>
        <w:tblW w:w="5000" w:type="pct"/>
        <w:tblLook w:val="0020" w:firstRow="1" w:lastRow="0" w:firstColumn="0" w:lastColumn="0" w:noHBand="0" w:noVBand="0"/>
        <w:tblCaption w:val="Table 10"/>
        <w:tblDescription w:val="Ongoing seconded employees 2021"/>
      </w:tblPr>
      <w:tblGrid>
        <w:gridCol w:w="2573"/>
        <w:gridCol w:w="2861"/>
        <w:gridCol w:w="2156"/>
        <w:gridCol w:w="2156"/>
      </w:tblGrid>
      <w:tr w:rsidR="00ED1482" w:rsidRPr="00733486" w14:paraId="361DD660" w14:textId="77777777" w:rsidTr="5DA05B45">
        <w:trPr>
          <w:cnfStyle w:val="100000000000" w:firstRow="1" w:lastRow="0" w:firstColumn="0" w:lastColumn="0" w:oddVBand="0" w:evenVBand="0" w:oddHBand="0" w:evenHBand="0" w:firstRowFirstColumn="0" w:firstRowLastColumn="0" w:lastRowFirstColumn="0" w:lastRowLastColumn="0"/>
          <w:trHeight w:val="20"/>
        </w:trPr>
        <w:tc>
          <w:tcPr>
            <w:tcW w:w="1320" w:type="pct"/>
            <w:tcBorders>
              <w:right w:val="single" w:sz="4" w:space="0" w:color="FFFFFF" w:themeColor="accent6"/>
            </w:tcBorders>
            <w:shd w:val="clear" w:color="auto" w:fill="15272F" w:themeFill="accent1"/>
            <w:vAlign w:val="center"/>
          </w:tcPr>
          <w:p w14:paraId="2939D950" w14:textId="013BF30E" w:rsidR="00ED1482" w:rsidRPr="00733486" w:rsidRDefault="003634AC" w:rsidP="00420A16">
            <w:pPr>
              <w:keepNext/>
              <w:spacing w:before="120" w:after="120"/>
              <w:rPr>
                <w:rFonts w:cs="Arial"/>
                <w:b/>
                <w:bCs/>
                <w:color w:val="FFFFFF" w:themeColor="background2"/>
                <w:szCs w:val="18"/>
                <w:lang w:val="en-US"/>
              </w:rPr>
            </w:pPr>
            <w:r>
              <w:rPr>
                <w:rFonts w:cs="Arial"/>
                <w:b/>
                <w:bCs/>
                <w:color w:val="FFFFFF" w:themeColor="background2"/>
                <w:szCs w:val="18"/>
                <w:lang w:val="en-US"/>
              </w:rPr>
              <w:t>Labour cost component</w:t>
            </w:r>
          </w:p>
        </w:tc>
        <w:tc>
          <w:tcPr>
            <w:tcW w:w="1468" w:type="pct"/>
            <w:tcBorders>
              <w:right w:val="single" w:sz="4" w:space="0" w:color="FFFFFF" w:themeColor="accent6"/>
            </w:tcBorders>
            <w:shd w:val="clear" w:color="auto" w:fill="15272F" w:themeFill="accent1"/>
            <w:vAlign w:val="center"/>
          </w:tcPr>
          <w:p w14:paraId="2B52A2C3" w14:textId="45EEB48A" w:rsidR="00ED1482" w:rsidRPr="00733486" w:rsidRDefault="00ED1482" w:rsidP="00420A16">
            <w:pPr>
              <w:keepNext/>
              <w:spacing w:before="120" w:after="120"/>
              <w:rPr>
                <w:rFonts w:cs="Arial"/>
                <w:b/>
                <w:bCs/>
                <w:color w:val="FFFFFF" w:themeColor="background2"/>
                <w:szCs w:val="18"/>
              </w:rPr>
            </w:pPr>
            <w:r>
              <w:rPr>
                <w:rFonts w:cs="Arial"/>
                <w:b/>
                <w:bCs/>
                <w:color w:val="FFFFFF" w:themeColor="background2"/>
                <w:szCs w:val="18"/>
              </w:rPr>
              <w:t>Cost adjusted for FWC interim decision</w:t>
            </w:r>
          </w:p>
        </w:tc>
        <w:tc>
          <w:tcPr>
            <w:tcW w:w="1106" w:type="pct"/>
            <w:tcBorders>
              <w:right w:val="single" w:sz="4" w:space="0" w:color="FFFFFF" w:themeColor="accent6"/>
            </w:tcBorders>
            <w:shd w:val="clear" w:color="auto" w:fill="15272F" w:themeFill="accent1"/>
          </w:tcPr>
          <w:p w14:paraId="5F219459" w14:textId="4D8B071E" w:rsidR="00ED1482" w:rsidRDefault="00ED1482" w:rsidP="00420A16">
            <w:pPr>
              <w:keepNext/>
              <w:spacing w:before="120" w:after="120"/>
              <w:rPr>
                <w:rFonts w:cs="Arial"/>
                <w:b/>
                <w:bCs/>
                <w:color w:val="FFFFFF" w:themeColor="background2"/>
                <w:szCs w:val="18"/>
              </w:rPr>
            </w:pPr>
            <w:r>
              <w:rPr>
                <w:rFonts w:cs="Arial"/>
                <w:b/>
                <w:bCs/>
                <w:color w:val="FFFFFF" w:themeColor="background2"/>
                <w:szCs w:val="18"/>
              </w:rPr>
              <w:t>Superannuation adjustment</w:t>
            </w:r>
          </w:p>
        </w:tc>
        <w:tc>
          <w:tcPr>
            <w:tcW w:w="1106" w:type="pct"/>
            <w:tcBorders>
              <w:left w:val="single" w:sz="4" w:space="0" w:color="FFFFFF" w:themeColor="accent6"/>
            </w:tcBorders>
            <w:shd w:val="clear" w:color="auto" w:fill="15272F" w:themeFill="accent1"/>
            <w:vAlign w:val="center"/>
          </w:tcPr>
          <w:p w14:paraId="1C3ADE5F" w14:textId="1685D45B" w:rsidR="00ED1482" w:rsidRPr="00733486" w:rsidRDefault="00ED1482" w:rsidP="00420A16">
            <w:pPr>
              <w:keepNext/>
              <w:spacing w:before="120" w:after="120"/>
              <w:rPr>
                <w:rFonts w:cs="Arial"/>
                <w:b/>
                <w:bCs/>
                <w:color w:val="FFFFFF" w:themeColor="background2"/>
                <w:szCs w:val="18"/>
              </w:rPr>
            </w:pPr>
            <w:r>
              <w:rPr>
                <w:rFonts w:cs="Arial"/>
                <w:b/>
                <w:bCs/>
                <w:color w:val="FFFFFF" w:themeColor="background2"/>
                <w:szCs w:val="18"/>
              </w:rPr>
              <w:t>Labour component after adjustment</w:t>
            </w:r>
          </w:p>
        </w:tc>
      </w:tr>
      <w:tr w:rsidR="00E05563" w:rsidRPr="00294A1A" w14:paraId="0E1D455F"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31B5F445" w14:textId="70ECADF7"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Non-superannuation labour cost</w:t>
            </w:r>
          </w:p>
        </w:tc>
        <w:tc>
          <w:tcPr>
            <w:tcW w:w="0" w:type="pct"/>
            <w:tcBorders>
              <w:right w:val="single" w:sz="4" w:space="0" w:color="FFFFFF" w:themeColor="accent6"/>
            </w:tcBorders>
            <w:shd w:val="clear" w:color="auto" w:fill="F2F2F2" w:themeFill="accent6" w:themeFillShade="F2"/>
            <w:vAlign w:val="center"/>
          </w:tcPr>
          <w:p w14:paraId="2C68DB47" w14:textId="30E7E6F8"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189.08</w:t>
            </w:r>
          </w:p>
        </w:tc>
        <w:tc>
          <w:tcPr>
            <w:tcW w:w="0" w:type="pct"/>
            <w:tcBorders>
              <w:right w:val="single" w:sz="4" w:space="0" w:color="FFFFFF" w:themeColor="accent6"/>
            </w:tcBorders>
            <w:shd w:val="clear" w:color="auto" w:fill="F2F2F2" w:themeFill="accent6" w:themeFillShade="F2"/>
            <w:vAlign w:val="center"/>
          </w:tcPr>
          <w:p w14:paraId="45A1979D" w14:textId="3B386418" w:rsidR="00E05563" w:rsidRPr="00E05563" w:rsidRDefault="726055A5" w:rsidP="00E05563">
            <w:pPr>
              <w:keepNext/>
              <w:spacing w:before="120" w:after="120"/>
              <w:jc w:val="right"/>
              <w:rPr>
                <w:rFonts w:cs="Arial"/>
                <w:color w:val="000000"/>
                <w:sz w:val="16"/>
                <w:szCs w:val="16"/>
              </w:rPr>
            </w:pPr>
            <w:r w:rsidRPr="5DA05B45">
              <w:rPr>
                <w:rFonts w:cs="Arial"/>
                <w:color w:val="000000"/>
                <w:sz w:val="16"/>
                <w:szCs w:val="16"/>
              </w:rPr>
              <w:t>-</w:t>
            </w:r>
          </w:p>
        </w:tc>
        <w:tc>
          <w:tcPr>
            <w:tcW w:w="0" w:type="pct"/>
            <w:tcBorders>
              <w:left w:val="single" w:sz="4" w:space="0" w:color="FFFFFF" w:themeColor="accent6"/>
            </w:tcBorders>
            <w:shd w:val="clear" w:color="auto" w:fill="F2F2F2" w:themeFill="accent6" w:themeFillShade="F2"/>
            <w:vAlign w:val="center"/>
          </w:tcPr>
          <w:p w14:paraId="4DB0EEF6" w14:textId="24DE28DD"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189.08</w:t>
            </w:r>
          </w:p>
        </w:tc>
      </w:tr>
      <w:tr w:rsidR="00E05563" w:rsidRPr="00294A1A" w14:paraId="031CB726"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13FAFA79" w14:textId="361E8E13"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Superannuation component</w:t>
            </w:r>
          </w:p>
        </w:tc>
        <w:tc>
          <w:tcPr>
            <w:tcW w:w="0" w:type="pct"/>
            <w:tcBorders>
              <w:right w:val="single" w:sz="4" w:space="0" w:color="FFFFFF" w:themeColor="accent6"/>
            </w:tcBorders>
            <w:shd w:val="clear" w:color="auto" w:fill="F2F2F2" w:themeFill="accent6" w:themeFillShade="F2"/>
            <w:vAlign w:val="center"/>
          </w:tcPr>
          <w:p w14:paraId="1E67A6D6" w14:textId="338DACE2"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19.85</w:t>
            </w:r>
          </w:p>
        </w:tc>
        <w:tc>
          <w:tcPr>
            <w:tcW w:w="0" w:type="pct"/>
            <w:tcBorders>
              <w:right w:val="single" w:sz="4" w:space="0" w:color="FFFFFF" w:themeColor="accent6"/>
            </w:tcBorders>
            <w:shd w:val="clear" w:color="auto" w:fill="F2F2F2" w:themeFill="accent6" w:themeFillShade="F2"/>
            <w:vAlign w:val="center"/>
          </w:tcPr>
          <w:p w14:paraId="2799842D" w14:textId="539D0E3B" w:rsidR="00E05563" w:rsidRPr="00E05563" w:rsidRDefault="00E05563" w:rsidP="00E05563">
            <w:pPr>
              <w:keepNext/>
              <w:spacing w:before="120" w:after="120"/>
              <w:jc w:val="right"/>
              <w:rPr>
                <w:rFonts w:cs="Arial"/>
                <w:color w:val="000000"/>
                <w:sz w:val="16"/>
                <w:szCs w:val="16"/>
              </w:rPr>
            </w:pPr>
            <w:r w:rsidRPr="00E05563" w:rsidDel="00577345">
              <w:rPr>
                <w:rFonts w:cs="Arial"/>
                <w:color w:val="000000"/>
                <w:sz w:val="16"/>
                <w:szCs w:val="16"/>
              </w:rPr>
              <w:t>4.8%</w:t>
            </w:r>
          </w:p>
        </w:tc>
        <w:tc>
          <w:tcPr>
            <w:tcW w:w="0" w:type="pct"/>
            <w:tcBorders>
              <w:left w:val="single" w:sz="4" w:space="0" w:color="FFFFFF" w:themeColor="accent6"/>
            </w:tcBorders>
            <w:shd w:val="clear" w:color="auto" w:fill="F2F2F2" w:themeFill="accent6" w:themeFillShade="F2"/>
            <w:vAlign w:val="center"/>
          </w:tcPr>
          <w:p w14:paraId="09782009" w14:textId="7D442DBB" w:rsidR="00E05563" w:rsidRPr="00E05563" w:rsidRDefault="513F15B2" w:rsidP="00E05563">
            <w:pPr>
              <w:keepNext/>
              <w:spacing w:before="120" w:after="120"/>
              <w:jc w:val="right"/>
              <w:rPr>
                <w:rFonts w:cs="Arial"/>
                <w:color w:val="000000"/>
                <w:sz w:val="16"/>
                <w:szCs w:val="16"/>
              </w:rPr>
            </w:pPr>
            <w:r w:rsidRPr="5DA05B45">
              <w:rPr>
                <w:rFonts w:cs="Arial"/>
                <w:color w:val="000000"/>
                <w:sz w:val="16"/>
                <w:szCs w:val="16"/>
              </w:rPr>
              <w:t>20.80</w:t>
            </w:r>
          </w:p>
        </w:tc>
      </w:tr>
      <w:tr w:rsidR="00E05563" w:rsidRPr="00294A1A" w14:paraId="12E7F12D"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7FAAEE5D" w14:textId="2ECF9A64"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Superannuation proportion</w:t>
            </w:r>
          </w:p>
        </w:tc>
        <w:tc>
          <w:tcPr>
            <w:tcW w:w="0" w:type="pct"/>
            <w:tcBorders>
              <w:right w:val="single" w:sz="4" w:space="0" w:color="FFFFFF" w:themeColor="accent6"/>
            </w:tcBorders>
            <w:shd w:val="clear" w:color="auto" w:fill="F2F2F2" w:themeFill="accent6" w:themeFillShade="F2"/>
            <w:vAlign w:val="center"/>
          </w:tcPr>
          <w:p w14:paraId="5B876384" w14:textId="433A3EB4" w:rsidR="00E05563" w:rsidRPr="00E05563" w:rsidRDefault="00E05563" w:rsidP="00E05563">
            <w:pPr>
              <w:keepNext/>
              <w:spacing w:before="120" w:after="120"/>
              <w:jc w:val="right"/>
              <w:rPr>
                <w:rFonts w:cs="Arial"/>
                <w:color w:val="000000"/>
                <w:sz w:val="16"/>
                <w:szCs w:val="16"/>
              </w:rPr>
            </w:pPr>
            <w:r w:rsidRPr="000232A3" w:rsidDel="00577345">
              <w:rPr>
                <w:rFonts w:cs="Arial"/>
                <w:color w:val="000000"/>
                <w:sz w:val="16"/>
                <w:szCs w:val="16"/>
              </w:rPr>
              <w:t>10.5%</w:t>
            </w:r>
          </w:p>
        </w:tc>
        <w:tc>
          <w:tcPr>
            <w:tcW w:w="0" w:type="pct"/>
            <w:tcBorders>
              <w:right w:val="single" w:sz="4" w:space="0" w:color="FFFFFF" w:themeColor="accent6"/>
            </w:tcBorders>
            <w:shd w:val="clear" w:color="auto" w:fill="F2F2F2" w:themeFill="accent6" w:themeFillShade="F2"/>
            <w:vAlign w:val="center"/>
          </w:tcPr>
          <w:p w14:paraId="56F1DF60" w14:textId="6F163026" w:rsidR="00E05563" w:rsidRPr="00E05563" w:rsidRDefault="00E05563" w:rsidP="00E05563">
            <w:pPr>
              <w:keepNext/>
              <w:spacing w:before="120" w:after="120"/>
              <w:jc w:val="right"/>
              <w:rPr>
                <w:rFonts w:cs="Arial"/>
                <w:color w:val="000000"/>
                <w:sz w:val="16"/>
                <w:szCs w:val="16"/>
              </w:rPr>
            </w:pPr>
            <w:r w:rsidRPr="00E05563" w:rsidDel="00577345">
              <w:rPr>
                <w:rFonts w:cs="Arial"/>
                <w:color w:val="000000"/>
                <w:sz w:val="16"/>
                <w:szCs w:val="16"/>
              </w:rPr>
              <w:t>+0.50%</w:t>
            </w:r>
          </w:p>
        </w:tc>
        <w:tc>
          <w:tcPr>
            <w:tcW w:w="0" w:type="pct"/>
            <w:tcBorders>
              <w:left w:val="single" w:sz="4" w:space="0" w:color="FFFFFF" w:themeColor="accent6"/>
            </w:tcBorders>
            <w:shd w:val="clear" w:color="auto" w:fill="F2F2F2" w:themeFill="accent6" w:themeFillShade="F2"/>
            <w:vAlign w:val="center"/>
          </w:tcPr>
          <w:p w14:paraId="7401A7ED" w14:textId="2A055BF8" w:rsidR="00E05563" w:rsidRPr="00E05563" w:rsidRDefault="00E05563" w:rsidP="00E05563">
            <w:pPr>
              <w:keepNext/>
              <w:spacing w:before="120" w:after="120"/>
              <w:jc w:val="right"/>
              <w:rPr>
                <w:rFonts w:cs="Arial"/>
                <w:color w:val="1C1C1C"/>
                <w:sz w:val="16"/>
                <w:szCs w:val="16"/>
              </w:rPr>
            </w:pPr>
            <w:r w:rsidRPr="00E05563" w:rsidDel="00577345">
              <w:rPr>
                <w:rFonts w:cs="Arial"/>
                <w:color w:val="000000"/>
                <w:sz w:val="16"/>
                <w:szCs w:val="16"/>
              </w:rPr>
              <w:t>11.0%</w:t>
            </w:r>
          </w:p>
        </w:tc>
      </w:tr>
      <w:tr w:rsidR="00E05563" w:rsidRPr="00294A1A" w14:paraId="50093722"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713DBA28" w14:textId="6ADC846E" w:rsidR="00E05563" w:rsidRPr="00294A1A" w:rsidRDefault="00E05563" w:rsidP="00E05563">
            <w:pPr>
              <w:keepNext/>
              <w:spacing w:before="120" w:after="120"/>
              <w:rPr>
                <w:rFonts w:cs="Arial"/>
                <w:b/>
                <w:bCs/>
                <w:color w:val="000000"/>
                <w:sz w:val="16"/>
                <w:szCs w:val="16"/>
                <w:lang w:val="en-US"/>
              </w:rPr>
            </w:pPr>
            <w:r w:rsidRPr="00294A1A">
              <w:rPr>
                <w:rFonts w:cs="Arial"/>
                <w:b/>
                <w:bCs/>
                <w:color w:val="000000"/>
                <w:sz w:val="16"/>
                <w:szCs w:val="16"/>
                <w:lang w:val="en-US"/>
              </w:rPr>
              <w:t>Total labour cost*</w:t>
            </w:r>
          </w:p>
        </w:tc>
        <w:tc>
          <w:tcPr>
            <w:tcW w:w="0" w:type="pct"/>
            <w:tcBorders>
              <w:right w:val="single" w:sz="4" w:space="0" w:color="FFFFFF" w:themeColor="accent6"/>
            </w:tcBorders>
            <w:shd w:val="clear" w:color="auto" w:fill="DFEBF1" w:themeFill="accent1" w:themeFillTint="1A"/>
            <w:vAlign w:val="center"/>
          </w:tcPr>
          <w:p w14:paraId="681B8FFB" w14:textId="2A0D0EC4" w:rsidR="00E05563" w:rsidRPr="00E05563" w:rsidRDefault="00E05563" w:rsidP="00E05563">
            <w:pPr>
              <w:keepNext/>
              <w:spacing w:before="120" w:after="120"/>
              <w:jc w:val="right"/>
              <w:rPr>
                <w:rFonts w:cs="Arial"/>
                <w:b/>
                <w:color w:val="000000"/>
                <w:sz w:val="16"/>
                <w:szCs w:val="16"/>
              </w:rPr>
            </w:pPr>
            <w:r w:rsidRPr="00263B20">
              <w:rPr>
                <w:rFonts w:cs="Arial"/>
                <w:b/>
                <w:bCs/>
                <w:color w:val="000000"/>
                <w:sz w:val="16"/>
                <w:szCs w:val="16"/>
              </w:rPr>
              <w:t>208.93</w:t>
            </w:r>
          </w:p>
        </w:tc>
        <w:tc>
          <w:tcPr>
            <w:tcW w:w="0" w:type="pct"/>
            <w:tcBorders>
              <w:right w:val="single" w:sz="4" w:space="0" w:color="FFFFFF" w:themeColor="accent6"/>
            </w:tcBorders>
            <w:shd w:val="clear" w:color="auto" w:fill="DFEBF1" w:themeFill="accent1" w:themeFillTint="1A"/>
            <w:vAlign w:val="center"/>
          </w:tcPr>
          <w:p w14:paraId="34005DF4" w14:textId="081D5BFF" w:rsidR="00E05563" w:rsidRPr="00E05563" w:rsidRDefault="00E05563" w:rsidP="00E05563">
            <w:pPr>
              <w:keepNext/>
              <w:spacing w:before="120" w:after="120"/>
              <w:jc w:val="right"/>
              <w:rPr>
                <w:rFonts w:cs="Arial"/>
                <w:b/>
                <w:color w:val="000000"/>
                <w:sz w:val="16"/>
                <w:szCs w:val="16"/>
              </w:rPr>
            </w:pPr>
            <w:r w:rsidRPr="00E05563" w:rsidDel="00577345">
              <w:rPr>
                <w:rFonts w:cs="Arial"/>
                <w:b/>
                <w:color w:val="000000"/>
                <w:sz w:val="16"/>
                <w:szCs w:val="16"/>
              </w:rPr>
              <w:t>0.45%</w:t>
            </w:r>
          </w:p>
        </w:tc>
        <w:tc>
          <w:tcPr>
            <w:tcW w:w="0" w:type="pct"/>
            <w:tcBorders>
              <w:left w:val="single" w:sz="4" w:space="0" w:color="FFFFFF" w:themeColor="accent6"/>
            </w:tcBorders>
            <w:shd w:val="clear" w:color="auto" w:fill="DFEBF1" w:themeFill="accent1" w:themeFillTint="1A"/>
            <w:vAlign w:val="center"/>
          </w:tcPr>
          <w:p w14:paraId="046F8F57" w14:textId="0277EF7D" w:rsidR="00E05563" w:rsidRPr="00E05563" w:rsidRDefault="4AD87F4E" w:rsidP="00E05563">
            <w:pPr>
              <w:keepNext/>
              <w:spacing w:before="120" w:after="120"/>
              <w:jc w:val="right"/>
              <w:rPr>
                <w:rFonts w:cs="Arial"/>
                <w:b/>
                <w:color w:val="000000"/>
                <w:sz w:val="16"/>
                <w:szCs w:val="16"/>
              </w:rPr>
            </w:pPr>
            <w:r w:rsidRPr="5DA05B45">
              <w:rPr>
                <w:rFonts w:cs="Arial"/>
                <w:b/>
                <w:bCs/>
                <w:color w:val="000000"/>
                <w:sz w:val="16"/>
                <w:szCs w:val="16"/>
              </w:rPr>
              <w:t>209.88</w:t>
            </w:r>
          </w:p>
        </w:tc>
      </w:tr>
    </w:tbl>
    <w:p w14:paraId="19B8D9E2" w14:textId="77777777" w:rsidR="00FE6382" w:rsidRPr="00BB5A75" w:rsidRDefault="00FE6382" w:rsidP="00FE6382">
      <w:pPr>
        <w:rPr>
          <w:sz w:val="18"/>
          <w:szCs w:val="18"/>
        </w:rPr>
      </w:pPr>
      <w:r w:rsidRPr="00BB5A75">
        <w:rPr>
          <w:sz w:val="18"/>
          <w:szCs w:val="18"/>
        </w:rPr>
        <w:t>*Components may not add to total due to rounding</w:t>
      </w:r>
    </w:p>
    <w:p w14:paraId="606693FC" w14:textId="1EEF56F4" w:rsidR="00620A28" w:rsidRDefault="00B4492A" w:rsidP="005433FF">
      <w:r>
        <w:t xml:space="preserve">The effect of this adjustment on the </w:t>
      </w:r>
      <w:r w:rsidR="00226DE6">
        <w:t xml:space="preserve">FWC adjusted price is shown in </w:t>
      </w:r>
      <w:r w:rsidR="00C70368">
        <w:fldChar w:fldCharType="begin"/>
      </w:r>
      <w:r w:rsidR="00C70368">
        <w:instrText xml:space="preserve"> REF _Ref120609375 \h </w:instrText>
      </w:r>
      <w:r w:rsidR="00C70368">
        <w:fldChar w:fldCharType="separate"/>
      </w:r>
      <w:r w:rsidR="00B1072E">
        <w:t>Table </w:t>
      </w:r>
      <w:r w:rsidR="00B1072E">
        <w:rPr>
          <w:noProof/>
        </w:rPr>
        <w:t>8</w:t>
      </w:r>
      <w:r w:rsidR="00C70368">
        <w:fldChar w:fldCharType="end"/>
      </w:r>
    </w:p>
    <w:p w14:paraId="02C87414" w14:textId="3D72FA97" w:rsidR="005433FF" w:rsidRDefault="00273B40" w:rsidP="00C70368">
      <w:pPr>
        <w:pStyle w:val="TableFigureheading"/>
      </w:pPr>
      <w:bookmarkStart w:id="38" w:name="_Ref120609375"/>
      <w:r>
        <w:t>Table </w:t>
      </w:r>
      <w:fldSimple w:instr=" SEQ Table \* ARABIC ">
        <w:r w:rsidR="00B1072E">
          <w:rPr>
            <w:noProof/>
          </w:rPr>
          <w:t>8</w:t>
        </w:r>
      </w:fldSimple>
      <w:bookmarkEnd w:id="38"/>
      <w:r w:rsidR="00C70368">
        <w:t>: Applying the Superannuation Guarantee adjustment</w:t>
      </w:r>
    </w:p>
    <w:tbl>
      <w:tblPr>
        <w:tblStyle w:val="IHPATable"/>
        <w:tblW w:w="5000" w:type="pct"/>
        <w:tblLook w:val="0020" w:firstRow="1" w:lastRow="0" w:firstColumn="0" w:lastColumn="0" w:noHBand="0" w:noVBand="0"/>
        <w:tblCaption w:val="Table 10"/>
        <w:tblDescription w:val="Ongoing seconded employees 2021"/>
      </w:tblPr>
      <w:tblGrid>
        <w:gridCol w:w="2882"/>
        <w:gridCol w:w="2928"/>
        <w:gridCol w:w="1743"/>
        <w:gridCol w:w="2193"/>
      </w:tblGrid>
      <w:tr w:rsidR="003634AC" w:rsidRPr="00733486" w14:paraId="11D028CB" w14:textId="77777777" w:rsidTr="00D466C1">
        <w:trPr>
          <w:cnfStyle w:val="100000000000" w:firstRow="1" w:lastRow="0" w:firstColumn="0" w:lastColumn="0" w:oddVBand="0" w:evenVBand="0" w:oddHBand="0" w:evenHBand="0" w:firstRowFirstColumn="0" w:firstRowLastColumn="0" w:lastRowFirstColumn="0" w:lastRowLastColumn="0"/>
          <w:trHeight w:val="20"/>
        </w:trPr>
        <w:tc>
          <w:tcPr>
            <w:tcW w:w="1479" w:type="pct"/>
            <w:tcBorders>
              <w:right w:val="single" w:sz="4" w:space="0" w:color="FFFFFF" w:themeColor="background2"/>
            </w:tcBorders>
            <w:shd w:val="clear" w:color="auto" w:fill="15272F" w:themeFill="text1"/>
            <w:vAlign w:val="center"/>
          </w:tcPr>
          <w:p w14:paraId="1D70A9D0" w14:textId="3904A54D" w:rsidR="003634AC" w:rsidRPr="00733486" w:rsidRDefault="003634AC" w:rsidP="003634AC">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1502" w:type="pct"/>
            <w:tcBorders>
              <w:right w:val="single" w:sz="4" w:space="0" w:color="FFFFFF" w:themeColor="background2"/>
            </w:tcBorders>
            <w:shd w:val="clear" w:color="auto" w:fill="15272F" w:themeFill="text1"/>
            <w:vAlign w:val="center"/>
          </w:tcPr>
          <w:p w14:paraId="062F5F04" w14:textId="239C86CF" w:rsidR="003634AC" w:rsidRPr="00733486" w:rsidRDefault="003634AC" w:rsidP="003634AC">
            <w:pPr>
              <w:keepNext/>
              <w:spacing w:before="120" w:after="120"/>
              <w:rPr>
                <w:rFonts w:cs="Arial"/>
                <w:b/>
                <w:bCs/>
                <w:color w:val="FFFFFF" w:themeColor="background2"/>
                <w:szCs w:val="18"/>
              </w:rPr>
            </w:pPr>
            <w:r>
              <w:rPr>
                <w:rFonts w:cs="Arial"/>
                <w:b/>
                <w:bCs/>
                <w:color w:val="FFFFFF" w:themeColor="background2"/>
                <w:szCs w:val="18"/>
              </w:rPr>
              <w:t xml:space="preserve">FWC interim decision adjusted </w:t>
            </w:r>
            <w:r w:rsidRPr="00733486">
              <w:rPr>
                <w:rFonts w:cs="Arial"/>
                <w:b/>
                <w:bCs/>
                <w:color w:val="FFFFFF" w:themeColor="background2"/>
                <w:szCs w:val="18"/>
              </w:rPr>
              <w:t>price</w:t>
            </w:r>
            <w:r>
              <w:rPr>
                <w:rFonts w:cs="Arial"/>
                <w:b/>
                <w:bCs/>
                <w:color w:val="FFFFFF" w:themeColor="background2"/>
                <w:szCs w:val="18"/>
              </w:rPr>
              <w:t xml:space="preserve"> (2022-23 dollars)</w:t>
            </w:r>
          </w:p>
        </w:tc>
        <w:tc>
          <w:tcPr>
            <w:tcW w:w="894" w:type="pct"/>
            <w:tcBorders>
              <w:left w:val="single" w:sz="4" w:space="0" w:color="FFFFFF" w:themeColor="background2"/>
            </w:tcBorders>
            <w:shd w:val="clear" w:color="auto" w:fill="15272F" w:themeFill="text1"/>
            <w:vAlign w:val="center"/>
          </w:tcPr>
          <w:p w14:paraId="625CD6BF" w14:textId="275A484A" w:rsidR="003634AC" w:rsidRPr="00733486" w:rsidRDefault="000232A3" w:rsidP="003634AC">
            <w:pPr>
              <w:keepNext/>
              <w:spacing w:before="120" w:after="120"/>
              <w:rPr>
                <w:rFonts w:cs="Arial"/>
                <w:b/>
                <w:bCs/>
                <w:color w:val="FFFFFF" w:themeColor="background2"/>
                <w:szCs w:val="18"/>
              </w:rPr>
            </w:pPr>
            <w:r>
              <w:rPr>
                <w:rFonts w:cs="Arial"/>
                <w:b/>
                <w:bCs/>
                <w:color w:val="FFFFFF" w:themeColor="background2"/>
                <w:szCs w:val="18"/>
              </w:rPr>
              <w:t xml:space="preserve">Superannuation </w:t>
            </w:r>
            <w:r w:rsidR="003634AC">
              <w:rPr>
                <w:rFonts w:cs="Arial"/>
                <w:b/>
                <w:bCs/>
                <w:color w:val="FFFFFF" w:themeColor="background2"/>
                <w:szCs w:val="18"/>
              </w:rPr>
              <w:t>adjustment</w:t>
            </w:r>
          </w:p>
        </w:tc>
        <w:tc>
          <w:tcPr>
            <w:tcW w:w="1125" w:type="pct"/>
            <w:tcBorders>
              <w:left w:val="single" w:sz="4" w:space="0" w:color="FFFFFF" w:themeColor="background2"/>
            </w:tcBorders>
            <w:shd w:val="clear" w:color="auto" w:fill="15272F" w:themeFill="text1"/>
            <w:vAlign w:val="center"/>
          </w:tcPr>
          <w:p w14:paraId="1EA7435E" w14:textId="77777777" w:rsidR="003634AC" w:rsidRPr="00733486" w:rsidRDefault="003634AC" w:rsidP="003634AC">
            <w:pPr>
              <w:keepNext/>
              <w:spacing w:before="120" w:after="120"/>
              <w:rPr>
                <w:rFonts w:cs="Arial"/>
                <w:b/>
                <w:bCs/>
                <w:color w:val="FFFFFF" w:themeColor="background2"/>
                <w:szCs w:val="18"/>
              </w:rPr>
            </w:pPr>
            <w:r>
              <w:rPr>
                <w:rFonts w:cs="Arial"/>
                <w:b/>
                <w:bCs/>
                <w:color w:val="FFFFFF" w:themeColor="background2"/>
                <w:szCs w:val="18"/>
              </w:rPr>
              <w:t>Price after adjustment (2022-23 dollars)</w:t>
            </w:r>
          </w:p>
        </w:tc>
      </w:tr>
      <w:tr w:rsidR="00494222" w:rsidRPr="00294A1A" w14:paraId="3FFA8BB8"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vAlign w:val="center"/>
          </w:tcPr>
          <w:p w14:paraId="6536A91C" w14:textId="7637262C" w:rsidR="00494222" w:rsidRPr="00294A1A" w:rsidRDefault="00494222" w:rsidP="00494222">
            <w:pPr>
              <w:keepNext/>
              <w:spacing w:before="120" w:after="120"/>
              <w:rPr>
                <w:rFonts w:cs="Arial"/>
                <w:color w:val="000000"/>
                <w:sz w:val="16"/>
                <w:szCs w:val="16"/>
                <w:lang w:val="en-US"/>
              </w:rPr>
            </w:pPr>
            <w:r w:rsidRPr="00294A1A">
              <w:rPr>
                <w:rFonts w:cs="Arial"/>
                <w:color w:val="000000"/>
                <w:sz w:val="16"/>
                <w:szCs w:val="16"/>
                <w:lang w:val="en-US"/>
              </w:rPr>
              <w:t>Labour costs (imputed)</w:t>
            </w:r>
          </w:p>
        </w:tc>
        <w:tc>
          <w:tcPr>
            <w:tcW w:w="0" w:type="pct"/>
            <w:tcBorders>
              <w:right w:val="single" w:sz="4" w:space="0" w:color="FFFFFF" w:themeColor="background2"/>
            </w:tcBorders>
            <w:shd w:val="clear" w:color="auto" w:fill="F2F2F2" w:themeFill="accent6" w:themeFillShade="F2"/>
            <w:vAlign w:val="center"/>
          </w:tcPr>
          <w:p w14:paraId="7D0289E2" w14:textId="7D17711F"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208.93</w:t>
            </w:r>
          </w:p>
        </w:tc>
        <w:tc>
          <w:tcPr>
            <w:tcW w:w="0" w:type="pct"/>
            <w:tcBorders>
              <w:left w:val="single" w:sz="4" w:space="0" w:color="FFFFFF" w:themeColor="background2"/>
            </w:tcBorders>
            <w:shd w:val="clear" w:color="auto" w:fill="F2F2F2" w:themeFill="accent6" w:themeFillShade="F2"/>
            <w:vAlign w:val="center"/>
          </w:tcPr>
          <w:p w14:paraId="6570A6D3" w14:textId="075BA881"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0.45%</w:t>
            </w:r>
          </w:p>
        </w:tc>
        <w:tc>
          <w:tcPr>
            <w:tcW w:w="0" w:type="pct"/>
            <w:tcBorders>
              <w:left w:val="single" w:sz="4" w:space="0" w:color="FFFFFF" w:themeColor="background2"/>
            </w:tcBorders>
            <w:shd w:val="clear" w:color="auto" w:fill="F2F2F2" w:themeFill="accent6" w:themeFillShade="F2"/>
            <w:vAlign w:val="center"/>
          </w:tcPr>
          <w:p w14:paraId="2DBCD315" w14:textId="625C0240"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209.88</w:t>
            </w:r>
          </w:p>
        </w:tc>
      </w:tr>
      <w:tr w:rsidR="00494222" w:rsidRPr="00294A1A" w14:paraId="7B1A5ADC"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vAlign w:val="center"/>
          </w:tcPr>
          <w:p w14:paraId="0AF6D2D4" w14:textId="77777777" w:rsidR="00494222" w:rsidRPr="00294A1A" w:rsidRDefault="00494222" w:rsidP="00494222">
            <w:pPr>
              <w:keepNext/>
              <w:spacing w:before="120" w:after="120"/>
              <w:rPr>
                <w:rFonts w:cs="Arial"/>
                <w:color w:val="000000"/>
                <w:sz w:val="16"/>
                <w:szCs w:val="16"/>
                <w:lang w:val="en-US"/>
              </w:rPr>
            </w:pPr>
            <w:r w:rsidRPr="00294A1A">
              <w:rPr>
                <w:rFonts w:cs="Arial"/>
                <w:color w:val="000000"/>
                <w:sz w:val="16"/>
                <w:szCs w:val="16"/>
                <w:lang w:val="en-US"/>
              </w:rPr>
              <w:t>Non-labour costs</w:t>
            </w:r>
          </w:p>
        </w:tc>
        <w:tc>
          <w:tcPr>
            <w:tcW w:w="0" w:type="pct"/>
            <w:tcBorders>
              <w:right w:val="single" w:sz="4" w:space="0" w:color="FFFFFF" w:themeColor="background2"/>
            </w:tcBorders>
            <w:shd w:val="clear" w:color="auto" w:fill="F2F2F2" w:themeFill="accent6" w:themeFillShade="F2"/>
            <w:vAlign w:val="center"/>
          </w:tcPr>
          <w:p w14:paraId="3A02B7B4" w14:textId="7DE920E5"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27.13</w:t>
            </w:r>
          </w:p>
        </w:tc>
        <w:tc>
          <w:tcPr>
            <w:tcW w:w="0" w:type="pct"/>
            <w:tcBorders>
              <w:left w:val="single" w:sz="4" w:space="0" w:color="FFFFFF" w:themeColor="background2"/>
            </w:tcBorders>
            <w:shd w:val="clear" w:color="auto" w:fill="F2F2F2" w:themeFill="accent6" w:themeFillShade="F2"/>
            <w:vAlign w:val="center"/>
          </w:tcPr>
          <w:p w14:paraId="154E4012" w14:textId="739FEDCB"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0%</w:t>
            </w:r>
          </w:p>
        </w:tc>
        <w:tc>
          <w:tcPr>
            <w:tcW w:w="0" w:type="pct"/>
            <w:tcBorders>
              <w:left w:val="single" w:sz="4" w:space="0" w:color="FFFFFF" w:themeColor="background2"/>
            </w:tcBorders>
            <w:shd w:val="clear" w:color="auto" w:fill="F2F2F2" w:themeFill="accent6" w:themeFillShade="F2"/>
            <w:vAlign w:val="center"/>
          </w:tcPr>
          <w:p w14:paraId="75FCB78C" w14:textId="597287A5"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27.13</w:t>
            </w:r>
          </w:p>
        </w:tc>
      </w:tr>
      <w:tr w:rsidR="00494222" w:rsidRPr="00294A1A" w14:paraId="6CBA72FB"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3D1CA46E" w14:textId="77777777" w:rsidR="00494222" w:rsidRPr="00294A1A" w:rsidRDefault="00494222" w:rsidP="00494222">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right w:val="single" w:sz="4" w:space="0" w:color="FFFFFF" w:themeColor="background2"/>
            </w:tcBorders>
            <w:shd w:val="clear" w:color="auto" w:fill="DFEBF1" w:themeFill="text2" w:themeFillTint="1A"/>
            <w:vAlign w:val="center"/>
          </w:tcPr>
          <w:p w14:paraId="0EDCE934" w14:textId="0B2FBDF9"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236.06</w:t>
            </w:r>
          </w:p>
        </w:tc>
        <w:tc>
          <w:tcPr>
            <w:tcW w:w="0" w:type="pct"/>
            <w:tcBorders>
              <w:left w:val="single" w:sz="4" w:space="0" w:color="FFFFFF" w:themeColor="background2"/>
            </w:tcBorders>
            <w:shd w:val="clear" w:color="auto" w:fill="DFEBF1" w:themeFill="text2" w:themeFillTint="1A"/>
            <w:vAlign w:val="center"/>
          </w:tcPr>
          <w:p w14:paraId="4BEB302E" w14:textId="4197BC71"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0.40%</w:t>
            </w:r>
          </w:p>
        </w:tc>
        <w:tc>
          <w:tcPr>
            <w:tcW w:w="0" w:type="pct"/>
            <w:tcBorders>
              <w:left w:val="single" w:sz="4" w:space="0" w:color="FFFFFF" w:themeColor="background2"/>
            </w:tcBorders>
            <w:shd w:val="clear" w:color="auto" w:fill="DFEBF1" w:themeFill="text2" w:themeFillTint="1A"/>
            <w:vAlign w:val="center"/>
          </w:tcPr>
          <w:p w14:paraId="18A428B5" w14:textId="752523B9"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237.01</w:t>
            </w:r>
          </w:p>
        </w:tc>
      </w:tr>
    </w:tbl>
    <w:p w14:paraId="535B4C10" w14:textId="77777777" w:rsidR="00816AAE" w:rsidRPr="00BB5A75" w:rsidRDefault="00816AAE" w:rsidP="00816AAE">
      <w:pPr>
        <w:rPr>
          <w:sz w:val="18"/>
          <w:szCs w:val="18"/>
        </w:rPr>
      </w:pPr>
      <w:r w:rsidRPr="00BB5A75">
        <w:rPr>
          <w:sz w:val="18"/>
          <w:szCs w:val="18"/>
        </w:rPr>
        <w:t>*Components may not add to total due to rounding</w:t>
      </w:r>
    </w:p>
    <w:p w14:paraId="2FD99CBA" w14:textId="3B143DCA" w:rsidR="00D466C1" w:rsidRDefault="00D466C1">
      <w:pPr>
        <w:spacing w:line="259" w:lineRule="auto"/>
      </w:pPr>
      <w:r>
        <w:t>The Superannuation Guarantee is applied after the FWC</w:t>
      </w:r>
      <w:r w:rsidR="00161C75">
        <w:t xml:space="preserve"> adjustment so that it accounts for additional employer superannuation contributions subsequent to any wage increases.</w:t>
      </w:r>
    </w:p>
    <w:p w14:paraId="3909D013" w14:textId="79C7076D" w:rsidR="00161C75" w:rsidRDefault="00AB467C">
      <w:pPr>
        <w:spacing w:line="259" w:lineRule="auto"/>
      </w:pPr>
      <w:r>
        <w:t xml:space="preserve">As shown in </w:t>
      </w:r>
      <w:r>
        <w:fldChar w:fldCharType="begin"/>
      </w:r>
      <w:r>
        <w:instrText xml:space="preserve"> REF _Ref120609375 \h </w:instrText>
      </w:r>
      <w:r>
        <w:fldChar w:fldCharType="separate"/>
      </w:r>
      <w:r w:rsidR="00B1072E">
        <w:t>Table </w:t>
      </w:r>
      <w:r w:rsidR="00B1072E">
        <w:rPr>
          <w:noProof/>
        </w:rPr>
        <w:t>8</w:t>
      </w:r>
      <w:r>
        <w:fldChar w:fldCharType="end"/>
      </w:r>
      <w:r>
        <w:t>, th</w:t>
      </w:r>
      <w:r w:rsidR="005F0AB6">
        <w:t>e Superannuation Guarantee</w:t>
      </w:r>
      <w:r>
        <w:t xml:space="preserve"> adjustment has an overall impact of 0.4 per cent on the </w:t>
      </w:r>
      <w:r w:rsidR="00554050">
        <w:t xml:space="preserve">price after the FWC interim decision </w:t>
      </w:r>
      <w:r w:rsidR="005F0AB6">
        <w:t xml:space="preserve">adjustment </w:t>
      </w:r>
      <w:r w:rsidR="00554050">
        <w:t xml:space="preserve">has been </w:t>
      </w:r>
      <w:r w:rsidR="005F0AB6">
        <w:t xml:space="preserve">applied. This </w:t>
      </w:r>
      <w:r w:rsidR="002C169A">
        <w:t>results in a 2022-23 price of $2</w:t>
      </w:r>
      <w:r w:rsidR="004A3FAD">
        <w:t>37</w:t>
      </w:r>
      <w:r w:rsidR="002C169A">
        <w:t>.</w:t>
      </w:r>
      <w:r w:rsidR="004A3FAD">
        <w:t>01</w:t>
      </w:r>
      <w:r w:rsidR="002C169A">
        <w:t xml:space="preserve">. For application </w:t>
      </w:r>
      <w:r w:rsidR="00DC0DF2">
        <w:t>from</w:t>
      </w:r>
      <w:r w:rsidR="002C169A">
        <w:t xml:space="preserve"> 1 July 2023, </w:t>
      </w:r>
      <w:r w:rsidR="00C237DE">
        <w:t xml:space="preserve">the next step is for </w:t>
      </w:r>
      <w:r w:rsidR="002C169A">
        <w:t xml:space="preserve">this price </w:t>
      </w:r>
      <w:r w:rsidR="00C237DE">
        <w:t xml:space="preserve">to </w:t>
      </w:r>
      <w:r w:rsidR="00DC0DF2">
        <w:t>be indexed from the 2022</w:t>
      </w:r>
      <w:r w:rsidR="00DC0DF2">
        <w:noBreakHyphen/>
        <w:t>23 dollar value</w:t>
      </w:r>
      <w:r w:rsidR="002105D6">
        <w:t xml:space="preserve"> shown in </w:t>
      </w:r>
      <w:r w:rsidR="002105D6">
        <w:fldChar w:fldCharType="begin"/>
      </w:r>
      <w:r w:rsidR="002105D6">
        <w:instrText xml:space="preserve"> REF _Ref120609375 \h </w:instrText>
      </w:r>
      <w:r w:rsidR="002105D6">
        <w:fldChar w:fldCharType="separate"/>
      </w:r>
      <w:r w:rsidR="00B1072E">
        <w:t>Table </w:t>
      </w:r>
      <w:r w:rsidR="00B1072E">
        <w:rPr>
          <w:noProof/>
        </w:rPr>
        <w:t>8</w:t>
      </w:r>
      <w:r w:rsidR="002105D6">
        <w:fldChar w:fldCharType="end"/>
      </w:r>
      <w:r w:rsidR="00562CBC">
        <w:t>. This process is</w:t>
      </w:r>
      <w:r w:rsidR="00DC0DF2">
        <w:t xml:space="preserve"> </w:t>
      </w:r>
      <w:r w:rsidR="00562CBC">
        <w:t xml:space="preserve">shown </w:t>
      </w:r>
      <w:r w:rsidR="00DC0DF2">
        <w:t xml:space="preserve">in </w:t>
      </w:r>
      <w:r w:rsidR="000719EB">
        <w:t xml:space="preserve">section </w:t>
      </w:r>
      <w:r w:rsidR="00DC0DF2">
        <w:fldChar w:fldCharType="begin"/>
      </w:r>
      <w:r w:rsidR="00DC0DF2">
        <w:instrText xml:space="preserve"> REF _Ref120602522 \r \h </w:instrText>
      </w:r>
      <w:r w:rsidR="00DC0DF2">
        <w:fldChar w:fldCharType="separate"/>
      </w:r>
      <w:r w:rsidR="00B1072E">
        <w:t>5</w:t>
      </w:r>
      <w:r w:rsidR="00DC0DF2">
        <w:fldChar w:fldCharType="end"/>
      </w:r>
      <w:r w:rsidR="00DC0DF2">
        <w:t>.</w:t>
      </w:r>
    </w:p>
    <w:p w14:paraId="7FF48B55" w14:textId="4452998D" w:rsidR="00B61ED7" w:rsidRDefault="00B61ED7">
      <w:pPr>
        <w:spacing w:line="259" w:lineRule="auto"/>
      </w:pPr>
      <w:r>
        <w:br w:type="page"/>
      </w:r>
    </w:p>
    <w:p w14:paraId="1C19ACFA" w14:textId="7BBC66E4" w:rsidR="001D61B3" w:rsidRPr="00B61ED7" w:rsidRDefault="001D61B3" w:rsidP="00C073F7">
      <w:pPr>
        <w:pStyle w:val="Heading1"/>
      </w:pPr>
      <w:bookmarkStart w:id="39" w:name="_Ref120602522"/>
      <w:bookmarkStart w:id="40" w:name="_Toc120797013"/>
      <w:bookmarkStart w:id="41" w:name="_Toc134183606"/>
      <w:r w:rsidRPr="00B61ED7">
        <w:lastRenderedPageBreak/>
        <w:t>Indexation</w:t>
      </w:r>
      <w:bookmarkEnd w:id="39"/>
      <w:bookmarkEnd w:id="40"/>
      <w:bookmarkEnd w:id="41"/>
    </w:p>
    <w:p w14:paraId="37A07EEF" w14:textId="2CD0CF1C" w:rsidR="00963EC4" w:rsidRDefault="006D1E79" w:rsidP="00963EC4">
      <w:pPr>
        <w:spacing w:line="259" w:lineRule="auto"/>
      </w:pPr>
      <w:r>
        <w:t>T</w:t>
      </w:r>
      <w:r w:rsidR="009E26FC">
        <w:t>he Independent Health and Aged Care Pricing Authority (</w:t>
      </w:r>
      <w:r w:rsidR="00963EC4">
        <w:t>IHACPA</w:t>
      </w:r>
      <w:r w:rsidR="009E26FC">
        <w:t>)</w:t>
      </w:r>
      <w:r w:rsidR="00963EC4">
        <w:t xml:space="preserve"> has identified the need to use an alternative index as an interim measure to account for input cost inflation for aged care separately for labour and non-labour components of cost.</w:t>
      </w:r>
    </w:p>
    <w:p w14:paraId="23325B29" w14:textId="3BD679C8" w:rsidR="00963EC4" w:rsidRDefault="00963EC4" w:rsidP="00963EC4">
      <w:pPr>
        <w:spacing w:line="259" w:lineRule="auto"/>
      </w:pPr>
      <w:r>
        <w:t>In the absence of historical actual cost data, IHACPA has used more targeted indexes from the Australian Bureau of Statistics (ABS) to construct a more specific indexation rate</w:t>
      </w:r>
      <w:r w:rsidR="009B03DB">
        <w:t xml:space="preserve"> that is relevant to the </w:t>
      </w:r>
      <w:r w:rsidR="001418D8">
        <w:t>aged care sector</w:t>
      </w:r>
      <w:r>
        <w:t>.</w:t>
      </w:r>
      <w:r w:rsidR="00DA558C">
        <w:t xml:space="preserve"> </w:t>
      </w:r>
      <w:r w:rsidR="0053490F">
        <w:t xml:space="preserve">Individual </w:t>
      </w:r>
      <w:r w:rsidR="00DA558C">
        <w:t xml:space="preserve">indexation rates for labour costs, non-labour </w:t>
      </w:r>
      <w:r w:rsidR="00351477">
        <w:t xml:space="preserve">direct </w:t>
      </w:r>
      <w:r w:rsidR="00DA558C">
        <w:t>care costs, and hotel costs have been constructed separately.</w:t>
      </w:r>
      <w:r w:rsidR="0026038F">
        <w:t xml:space="preserve"> These are each discussed in their respective sections below.</w:t>
      </w:r>
    </w:p>
    <w:p w14:paraId="063B98E2" w14:textId="6C7B54BC" w:rsidR="00F22151" w:rsidRDefault="00F22151" w:rsidP="005B4443">
      <w:pPr>
        <w:pStyle w:val="Heading2"/>
      </w:pPr>
      <w:bookmarkStart w:id="42" w:name="_Toc134183607"/>
      <w:r>
        <w:t xml:space="preserve">Indexation </w:t>
      </w:r>
      <w:r w:rsidR="00DB5C08">
        <w:t>model</w:t>
      </w:r>
      <w:bookmarkEnd w:id="42"/>
    </w:p>
    <w:p w14:paraId="6C1867BF" w14:textId="415CE408" w:rsidR="00663CD1" w:rsidRDefault="00E55B40" w:rsidP="00663CD1">
      <w:r>
        <w:t xml:space="preserve">In the context of </w:t>
      </w:r>
      <w:r w:rsidR="00CC37FB">
        <w:t>the Residential Aged Care Pricing Advice 2023-24 (RACPA23)</w:t>
      </w:r>
      <w:r>
        <w:t>, t</w:t>
      </w:r>
      <w:r w:rsidR="00B33D2C">
        <w:t xml:space="preserve">he objective of indexation is to identify trends in cost growth using historical data. These trends </w:t>
      </w:r>
      <w:r>
        <w:t>are used to derive an annual growth rate to forecast the 2022-23 cost components to be applicable in 2023-24.</w:t>
      </w:r>
    </w:p>
    <w:p w14:paraId="6FEE647E" w14:textId="3B353316" w:rsidR="00F845EA" w:rsidRDefault="00F845EA" w:rsidP="00663CD1">
      <w:pPr>
        <w:rPr>
          <w:rFonts w:eastAsiaTheme="minorEastAsia"/>
        </w:rPr>
      </w:pPr>
      <w:r>
        <w:t xml:space="preserve">Average annual growth rates are determined by fitting an exponential regression </w:t>
      </w:r>
      <w:r w:rsidR="00BB4D9E">
        <w:t xml:space="preserve">model </w:t>
      </w:r>
      <w:r w:rsidR="008B48C0">
        <w:t>to an underlying index</w:t>
      </w:r>
      <w:r w:rsidR="00983C46">
        <w:t xml:space="preserve"> series</w:t>
      </w:r>
      <w:r w:rsidR="008B48C0">
        <w:rPr>
          <w:rFonts w:eastAsiaTheme="minorEastAsia"/>
        </w:rPr>
        <w:t xml:space="preserve"> to calculate an annual growth rate</w:t>
      </w:r>
      <w:r w:rsidR="00983C46">
        <w:rPr>
          <w:rFonts w:eastAsiaTheme="minorEastAsia"/>
        </w:rPr>
        <w:t>. This is technically a similar approach used by IHACPA in indexation for the National Efficient Price for public hospital services.</w:t>
      </w:r>
      <w:r w:rsidR="00E06E5A">
        <w:rPr>
          <w:rFonts w:eastAsiaTheme="minorEastAsia"/>
        </w:rPr>
        <w:t xml:space="preserve"> The model takes the form</w:t>
      </w:r>
    </w:p>
    <w:p w14:paraId="22D51D01" w14:textId="71EBE812" w:rsidR="00E06E5A" w:rsidRDefault="00F03EC5" w:rsidP="00663CD1">
      <m:oMathPara>
        <m:oMath>
          <m:sSub>
            <m:sSubPr>
              <m:ctrlPr>
                <w:rPr>
                  <w:rFonts w:ascii="Cambria Math" w:hAnsi="Cambria Math"/>
                </w:rPr>
              </m:ctrlPr>
            </m:sSubPr>
            <m:e>
              <m:r>
                <m:rPr>
                  <m:nor/>
                </m:rPr>
                <w:rPr>
                  <w:rFonts w:ascii="Cambria Math" w:hAnsi="Cambria Math"/>
                </w:rPr>
                <m:t>index</m:t>
              </m:r>
            </m:e>
            <m:sub>
              <m:r>
                <w:rPr>
                  <w:rFonts w:ascii="Cambria Math" w:hAnsi="Cambria Math"/>
                </w:rPr>
                <m:t>n</m:t>
              </m:r>
            </m:sub>
          </m:sSub>
          <m:r>
            <w:rPr>
              <w:rFonts w:ascii="Cambria Math" w:hAnsi="Cambria Math"/>
            </w:rPr>
            <m:t>=b×</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n</m:t>
              </m:r>
            </m:sub>
          </m:sSub>
        </m:oMath>
      </m:oMathPara>
    </w:p>
    <w:p w14:paraId="0BFFEC09" w14:textId="54EEF712" w:rsidR="00BB4D9E" w:rsidRDefault="00B05D8E" w:rsidP="00663CD1">
      <w:r>
        <w:t>Where</w:t>
      </w:r>
      <w:r w:rsidR="002D3116">
        <w:t>:</w:t>
      </w:r>
    </w:p>
    <w:p w14:paraId="52C0177A" w14:textId="7B0C3DCB" w:rsidR="00B55CA0" w:rsidRPr="00ED0300" w:rsidRDefault="00F03EC5" w:rsidP="00B55CA0">
      <w:pPr>
        <w:pStyle w:val="ListLevel1"/>
      </w:pPr>
      <m:oMath>
        <m:sSub>
          <m:sSubPr>
            <m:ctrlPr>
              <w:rPr>
                <w:rFonts w:ascii="Cambria Math" w:hAnsi="Cambria Math"/>
              </w:rPr>
            </m:ctrlPr>
          </m:sSubPr>
          <m:e>
            <m:r>
              <m:rPr>
                <m:nor/>
              </m:rPr>
              <w:rPr>
                <w:rFonts w:ascii="Cambria Math" w:hAnsi="Cambria Math"/>
              </w:rPr>
              <m:t>index</m:t>
            </m:r>
          </m:e>
          <m:sub>
            <m:r>
              <w:rPr>
                <w:rFonts w:ascii="Cambria Math" w:hAnsi="Cambria Math"/>
              </w:rPr>
              <m:t>n</m:t>
            </m:r>
          </m:sub>
        </m:sSub>
      </m:oMath>
      <w:r w:rsidR="00FE209E">
        <w:rPr>
          <w:rFonts w:eastAsiaTheme="minorEastAsia"/>
        </w:rPr>
        <w:t xml:space="preserve"> </w:t>
      </w:r>
      <w:r w:rsidR="00B55CA0">
        <w:rPr>
          <w:rFonts w:eastAsiaTheme="minorEastAsia"/>
        </w:rPr>
        <w:t xml:space="preserve">is </w:t>
      </w:r>
      <w:r w:rsidR="00FE209E">
        <w:rPr>
          <w:rFonts w:eastAsiaTheme="minorEastAsia"/>
        </w:rPr>
        <w:t xml:space="preserve">the value of the underlying index </w:t>
      </w:r>
      <w:r w:rsidR="00554429">
        <w:rPr>
          <w:rFonts w:eastAsiaTheme="minorEastAsia"/>
        </w:rPr>
        <w:t xml:space="preserve">series </w:t>
      </w:r>
      <w:r w:rsidR="00FE209E">
        <w:rPr>
          <w:rFonts w:eastAsiaTheme="minorEastAsia"/>
        </w:rPr>
        <w:t xml:space="preserve">at time </w:t>
      </w:r>
      <m:oMath>
        <m:r>
          <w:rPr>
            <w:rFonts w:ascii="Cambria Math" w:eastAsiaTheme="minorEastAsia" w:hAnsi="Cambria Math"/>
          </w:rPr>
          <m:t>n</m:t>
        </m:r>
      </m:oMath>
    </w:p>
    <w:p w14:paraId="4BF402F5" w14:textId="24BD9C30" w:rsidR="00ED0300" w:rsidRPr="001A0944" w:rsidRDefault="00ED0300" w:rsidP="00B55CA0">
      <w:pPr>
        <w:pStyle w:val="ListLevel1"/>
      </w:pPr>
      <m:oMath>
        <m:r>
          <w:rPr>
            <w:rFonts w:ascii="Cambria Math" w:hAnsi="Cambria Math"/>
          </w:rPr>
          <m:t>n</m:t>
        </m:r>
      </m:oMath>
      <w:r>
        <w:rPr>
          <w:rFonts w:eastAsiaTheme="minorEastAsia"/>
        </w:rPr>
        <w:t xml:space="preserve"> is the time unit, in this case the </w:t>
      </w:r>
      <w:r w:rsidR="005166BB">
        <w:rPr>
          <w:rFonts w:eastAsiaTheme="minorEastAsia"/>
        </w:rPr>
        <w:t>year and quarter for the index value</w:t>
      </w:r>
    </w:p>
    <w:p w14:paraId="0A875F09" w14:textId="5075957A" w:rsidR="001A0944" w:rsidRPr="00ED0300" w:rsidRDefault="001A0944" w:rsidP="00B55CA0">
      <w:pPr>
        <w:pStyle w:val="ListLevel1"/>
      </w:pPr>
      <m:oMath>
        <m:r>
          <w:rPr>
            <w:rFonts w:ascii="Cambria Math" w:hAnsi="Cambria Math"/>
          </w:rPr>
          <m:t>b</m:t>
        </m:r>
      </m:oMath>
      <w:r>
        <w:rPr>
          <w:rFonts w:eastAsiaTheme="minorEastAsia"/>
        </w:rPr>
        <w:t xml:space="preserve"> is </w:t>
      </w:r>
      <w:r w:rsidR="00ED0300">
        <w:rPr>
          <w:rFonts w:eastAsiaTheme="minorEastAsia"/>
        </w:rPr>
        <w:t xml:space="preserve">the </w:t>
      </w:r>
      <w:r w:rsidR="0087652C">
        <w:rPr>
          <w:rFonts w:eastAsiaTheme="minorEastAsia"/>
        </w:rPr>
        <w:t xml:space="preserve">estimated </w:t>
      </w:r>
      <w:r w:rsidR="00ED0300">
        <w:rPr>
          <w:rFonts w:eastAsiaTheme="minorEastAsia"/>
        </w:rPr>
        <w:t xml:space="preserve">value of the index when </w:t>
      </w:r>
      <m:oMath>
        <m:r>
          <w:rPr>
            <w:rFonts w:ascii="Cambria Math" w:eastAsiaTheme="minorEastAsia" w:hAnsi="Cambria Math"/>
          </w:rPr>
          <m:t>n=0</m:t>
        </m:r>
      </m:oMath>
      <w:r w:rsidR="0087652C">
        <w:rPr>
          <w:rFonts w:eastAsiaTheme="minorEastAsia"/>
        </w:rPr>
        <w:t xml:space="preserve"> (the intercept)</w:t>
      </w:r>
    </w:p>
    <w:p w14:paraId="6E4EF270" w14:textId="46788CA0" w:rsidR="00ED0300" w:rsidRPr="00FE209E" w:rsidRDefault="005166BB" w:rsidP="00B55CA0">
      <w:pPr>
        <w:pStyle w:val="ListLevel1"/>
      </w:pPr>
      <m:oMath>
        <m:r>
          <w:rPr>
            <w:rFonts w:ascii="Cambria Math" w:hAnsi="Cambria Math"/>
          </w:rPr>
          <m:t>r</m:t>
        </m:r>
      </m:oMath>
      <w:r>
        <w:rPr>
          <w:rFonts w:eastAsiaTheme="minorEastAsia"/>
        </w:rPr>
        <w:t xml:space="preserve"> is the </w:t>
      </w:r>
      <w:r w:rsidR="006A394E">
        <w:rPr>
          <w:rFonts w:eastAsiaTheme="minorEastAsia"/>
        </w:rPr>
        <w:t xml:space="preserve">growth rate per unit change in </w:t>
      </w:r>
      <m:oMath>
        <m:r>
          <w:rPr>
            <w:rFonts w:ascii="Cambria Math" w:eastAsiaTheme="minorEastAsia" w:hAnsi="Cambria Math"/>
          </w:rPr>
          <m:t>n</m:t>
        </m:r>
      </m:oMath>
      <w:r w:rsidR="006A394E">
        <w:rPr>
          <w:rFonts w:eastAsiaTheme="minorEastAsia"/>
        </w:rPr>
        <w:t xml:space="preserve"> (</w:t>
      </w:r>
      <w:r w:rsidR="0087652C">
        <w:rPr>
          <w:rFonts w:eastAsiaTheme="minorEastAsia"/>
        </w:rPr>
        <w:t>in this case</w:t>
      </w:r>
      <w:r w:rsidR="006A394E">
        <w:rPr>
          <w:rFonts w:eastAsiaTheme="minorEastAsia"/>
        </w:rPr>
        <w:t>, per quarter)</w:t>
      </w:r>
    </w:p>
    <w:p w14:paraId="2B35C131" w14:textId="2070F0FC" w:rsidR="00FE209E" w:rsidRDefault="00F03EC5" w:rsidP="00B55CA0">
      <w:pPr>
        <w:pStyle w:val="ListLevel1"/>
      </w:pPr>
      <m:oMath>
        <m:sSub>
          <m:sSubPr>
            <m:ctrlPr>
              <w:rPr>
                <w:rFonts w:ascii="Cambria Math" w:hAnsi="Cambria Math"/>
                <w:i/>
              </w:rPr>
            </m:ctrlPr>
          </m:sSubPr>
          <m:e>
            <m:r>
              <w:rPr>
                <w:rFonts w:ascii="Cambria Math" w:hAnsi="Cambria Math"/>
              </w:rPr>
              <m:t>ϵ</m:t>
            </m:r>
          </m:e>
          <m:sub>
            <m:r>
              <w:rPr>
                <w:rFonts w:ascii="Cambria Math" w:hAnsi="Cambria Math"/>
              </w:rPr>
              <m:t>n</m:t>
            </m:r>
          </m:sub>
        </m:sSub>
      </m:oMath>
      <w:r w:rsidR="00EF28EA">
        <w:rPr>
          <w:rFonts w:eastAsiaTheme="minorEastAsia"/>
        </w:rPr>
        <w:t>is the error term</w:t>
      </w:r>
    </w:p>
    <w:p w14:paraId="5AAB1FB2" w14:textId="506AE5F3" w:rsidR="00B05D8E" w:rsidRDefault="00B918A4" w:rsidP="00663CD1">
      <w:pPr>
        <w:rPr>
          <w:rFonts w:eastAsiaTheme="minorEastAsia"/>
        </w:rPr>
      </w:pPr>
      <w:r>
        <w:t>The coefficient of interest in this model is the term</w:t>
      </w:r>
      <w:r>
        <w:rPr>
          <w:rFonts w:eastAsiaTheme="minorEastAsia"/>
        </w:rPr>
        <w:t xml:space="preserve"> </w:t>
      </w:r>
      <m:oMath>
        <m:r>
          <w:rPr>
            <w:rFonts w:ascii="Cambria Math" w:hAnsi="Cambria Math"/>
          </w:rPr>
          <m:t>r</m:t>
        </m:r>
      </m:oMath>
      <w:r w:rsidR="007D34CE">
        <w:rPr>
          <w:rFonts w:eastAsiaTheme="minorEastAsia"/>
        </w:rPr>
        <w:t xml:space="preserve">, which is </w:t>
      </w:r>
      <w:r w:rsidR="0001712E">
        <w:rPr>
          <w:rFonts w:eastAsiaTheme="minorEastAsia"/>
        </w:rPr>
        <w:t>the best estimate of the growth rate per quarter</w:t>
      </w:r>
      <w:r w:rsidR="007D34CE">
        <w:rPr>
          <w:rFonts w:eastAsiaTheme="minorEastAsia"/>
        </w:rPr>
        <w:t xml:space="preserve">. </w:t>
      </w:r>
      <w:r w:rsidR="006801B8">
        <w:rPr>
          <w:rFonts w:eastAsiaTheme="minorEastAsia"/>
        </w:rPr>
        <w:t xml:space="preserve">This is converted to an annual indexation rate </w:t>
      </w:r>
      <m:oMath>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4</m:t>
            </m:r>
          </m:sup>
        </m:sSup>
      </m:oMath>
      <w:r w:rsidR="006801B8">
        <w:rPr>
          <w:rFonts w:eastAsiaTheme="minorEastAsia"/>
        </w:rPr>
        <w:t>.</w:t>
      </w:r>
    </w:p>
    <w:p w14:paraId="000AB11B" w14:textId="03C6184F" w:rsidR="00FC0ACA" w:rsidRDefault="00FC0ACA" w:rsidP="00FC0ACA">
      <w:pPr>
        <w:pStyle w:val="Heading4"/>
        <w:rPr>
          <w:rFonts w:eastAsiaTheme="minorEastAsia"/>
        </w:rPr>
      </w:pPr>
      <w:r>
        <w:rPr>
          <w:rFonts w:eastAsiaTheme="minorEastAsia"/>
        </w:rPr>
        <w:t>Example: indexation application</w:t>
      </w:r>
    </w:p>
    <w:p w14:paraId="72F34A50" w14:textId="15C69CC9" w:rsidR="002811F7" w:rsidRDefault="00FC0ACA" w:rsidP="00663CD1">
      <w:pPr>
        <w:rPr>
          <w:rFonts w:eastAsiaTheme="minorEastAsia"/>
        </w:rPr>
      </w:pPr>
      <w:r>
        <w:rPr>
          <w:rFonts w:eastAsiaTheme="minorEastAsia"/>
        </w:rPr>
        <w:t xml:space="preserve">Suppose for this example that the </w:t>
      </w:r>
      <w:r w:rsidR="00B8502F">
        <w:rPr>
          <w:rFonts w:eastAsiaTheme="minorEastAsia"/>
        </w:rPr>
        <w:t xml:space="preserve">best estimate for </w:t>
      </w:r>
      <w:r w:rsidR="007E1549">
        <w:rPr>
          <w:rFonts w:eastAsiaTheme="minorEastAsia"/>
        </w:rPr>
        <w:t xml:space="preserve">quarterly growth </w:t>
      </w:r>
      <w:r w:rsidR="00B8502F">
        <w:rPr>
          <w:rFonts w:eastAsiaTheme="minorEastAsia"/>
        </w:rPr>
        <w:t xml:space="preserve">in </w:t>
      </w:r>
      <w:r w:rsidR="002C0DBE">
        <w:rPr>
          <w:rFonts w:eastAsiaTheme="minorEastAsia"/>
        </w:rPr>
        <w:t>hotel costs</w:t>
      </w:r>
      <w:r w:rsidR="00B8502F">
        <w:rPr>
          <w:rFonts w:eastAsiaTheme="minorEastAsia"/>
        </w:rPr>
        <w:t xml:space="preserve"> </w:t>
      </w:r>
      <w:r w:rsidR="007E1549">
        <w:rPr>
          <w:rFonts w:eastAsiaTheme="minorEastAsia"/>
        </w:rPr>
        <w:t xml:space="preserve">is </w:t>
      </w:r>
      <m:oMath>
        <m:r>
          <w:rPr>
            <w:rFonts w:ascii="Cambria Math" w:eastAsiaTheme="minorEastAsia" w:hAnsi="Cambria Math"/>
          </w:rPr>
          <m:t>r=1.0126</m:t>
        </m:r>
      </m:oMath>
      <w:r>
        <w:rPr>
          <w:rFonts w:eastAsiaTheme="minorEastAsia"/>
        </w:rPr>
        <w:t>.</w:t>
      </w:r>
      <w:r w:rsidR="001E3200">
        <w:rPr>
          <w:rFonts w:eastAsiaTheme="minorEastAsia"/>
        </w:rPr>
        <w:t xml:space="preserve"> In other words</w:t>
      </w:r>
      <w:r>
        <w:rPr>
          <w:rFonts w:eastAsiaTheme="minorEastAsia"/>
        </w:rPr>
        <w:t>,</w:t>
      </w:r>
      <w:r w:rsidR="001E3200">
        <w:rPr>
          <w:rFonts w:eastAsiaTheme="minorEastAsia"/>
        </w:rPr>
        <w:t xml:space="preserve"> the </w:t>
      </w:r>
      <w:r w:rsidR="002C0DBE">
        <w:rPr>
          <w:rFonts w:eastAsiaTheme="minorEastAsia"/>
        </w:rPr>
        <w:t xml:space="preserve">hotel </w:t>
      </w:r>
      <w:r w:rsidR="00A01FD2">
        <w:rPr>
          <w:rFonts w:eastAsiaTheme="minorEastAsia"/>
        </w:rPr>
        <w:t xml:space="preserve">cost </w:t>
      </w:r>
      <w:r w:rsidR="00653F70">
        <w:rPr>
          <w:rFonts w:eastAsiaTheme="minorEastAsia"/>
        </w:rPr>
        <w:t xml:space="preserve">index </w:t>
      </w:r>
      <w:r w:rsidR="004E40D1">
        <w:rPr>
          <w:rFonts w:eastAsiaTheme="minorEastAsia"/>
        </w:rPr>
        <w:t xml:space="preserve">series </w:t>
      </w:r>
      <w:r w:rsidR="00653F70">
        <w:rPr>
          <w:rFonts w:eastAsiaTheme="minorEastAsia"/>
        </w:rPr>
        <w:t xml:space="preserve">increases </w:t>
      </w:r>
      <w:r w:rsidR="001E3200">
        <w:rPr>
          <w:rFonts w:eastAsiaTheme="minorEastAsia"/>
        </w:rPr>
        <w:t>at an estimate</w:t>
      </w:r>
      <w:r w:rsidR="00653F70">
        <w:rPr>
          <w:rFonts w:eastAsiaTheme="minorEastAsia"/>
        </w:rPr>
        <w:t>d</w:t>
      </w:r>
      <w:r w:rsidR="001E3200">
        <w:rPr>
          <w:rFonts w:eastAsiaTheme="minorEastAsia"/>
        </w:rPr>
        <w:t xml:space="preserve"> rate of </w:t>
      </w:r>
      <w:r w:rsidR="002C0DBE">
        <w:rPr>
          <w:rFonts w:eastAsiaTheme="minorEastAsia"/>
        </w:rPr>
        <w:t>1</w:t>
      </w:r>
      <w:r w:rsidR="001E3200">
        <w:rPr>
          <w:rFonts w:eastAsiaTheme="minorEastAsia"/>
        </w:rPr>
        <w:t>.</w:t>
      </w:r>
      <w:r w:rsidR="00945EF1">
        <w:rPr>
          <w:rFonts w:eastAsiaTheme="minorEastAsia"/>
        </w:rPr>
        <w:t>1</w:t>
      </w:r>
      <w:r w:rsidR="00FA5CC0">
        <w:rPr>
          <w:rFonts w:eastAsiaTheme="minorEastAsia"/>
        </w:rPr>
        <w:t>2</w:t>
      </w:r>
      <w:r w:rsidR="0068540D">
        <w:rPr>
          <w:rFonts w:eastAsiaTheme="minorEastAsia"/>
        </w:rPr>
        <w:t>6</w:t>
      </w:r>
      <w:r w:rsidR="00673AD2">
        <w:rPr>
          <w:rFonts w:eastAsiaTheme="minorEastAsia"/>
        </w:rPr>
        <w:t xml:space="preserve"> per cent</w:t>
      </w:r>
      <w:r w:rsidR="001E3200">
        <w:rPr>
          <w:rFonts w:eastAsiaTheme="minorEastAsia"/>
        </w:rPr>
        <w:t xml:space="preserve"> per quarter.</w:t>
      </w:r>
      <w:r w:rsidR="00653F70">
        <w:rPr>
          <w:rFonts w:eastAsiaTheme="minorEastAsia"/>
        </w:rPr>
        <w:t xml:space="preserve"> </w:t>
      </w:r>
      <w:r w:rsidR="002C0DBE">
        <w:rPr>
          <w:rFonts w:eastAsiaTheme="minorEastAsia"/>
        </w:rPr>
        <w:t xml:space="preserve">If </w:t>
      </w:r>
      <w:r w:rsidR="00A01FD2">
        <w:rPr>
          <w:rFonts w:eastAsiaTheme="minorEastAsia"/>
        </w:rPr>
        <w:t xml:space="preserve">hotel costs </w:t>
      </w:r>
      <w:r w:rsidR="002C0DBE">
        <w:rPr>
          <w:rFonts w:eastAsiaTheme="minorEastAsia"/>
        </w:rPr>
        <w:t>are on average $</w:t>
      </w:r>
      <w:r w:rsidR="00E4385D">
        <w:rPr>
          <w:rFonts w:eastAsiaTheme="minorEastAsia"/>
        </w:rPr>
        <w:t>67.97</w:t>
      </w:r>
      <w:r w:rsidR="00A01FD2">
        <w:rPr>
          <w:rFonts w:eastAsiaTheme="minorEastAsia"/>
        </w:rPr>
        <w:t xml:space="preserve"> per resident bed day in 2020-21, then </w:t>
      </w:r>
      <w:r w:rsidR="00381A9D">
        <w:rPr>
          <w:rFonts w:eastAsiaTheme="minorEastAsia"/>
        </w:rPr>
        <w:t xml:space="preserve">to estimate 2023-24 hotel costs per resident be day, this value is indexed </w:t>
      </w:r>
      <w:r w:rsidR="00AD115C">
        <w:rPr>
          <w:rFonts w:eastAsiaTheme="minorEastAsia"/>
        </w:rPr>
        <w:t xml:space="preserve">for </w:t>
      </w:r>
      <w:r w:rsidR="00177C1E">
        <w:rPr>
          <w:rFonts w:eastAsiaTheme="minorEastAsia"/>
        </w:rPr>
        <w:t>12</w:t>
      </w:r>
      <w:r w:rsidR="00381A9D">
        <w:rPr>
          <w:rFonts w:eastAsiaTheme="minorEastAsia"/>
        </w:rPr>
        <w:t xml:space="preserve"> quarters. </w:t>
      </w:r>
      <w:r w:rsidR="00B01E20">
        <w:rPr>
          <w:rFonts w:eastAsiaTheme="minorEastAsia"/>
        </w:rPr>
        <w:t>The 2023-24 hotel cost estimate would then be</w:t>
      </w:r>
    </w:p>
    <w:p w14:paraId="35F112DD" w14:textId="10E3A9F7" w:rsidR="007E1549" w:rsidRDefault="00241AB4" w:rsidP="00663CD1">
      <w:pPr>
        <w:rPr>
          <w:rFonts w:eastAsiaTheme="minorEastAsia"/>
        </w:rPr>
      </w:pPr>
      <m:oMathPara>
        <m:oMath>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12</m:t>
              </m:r>
            </m:sup>
          </m:sSup>
          <m:r>
            <m:rPr>
              <m:aln/>
            </m:rPr>
            <w:rPr>
              <w:rFonts w:ascii="Cambria Math" w:eastAsiaTheme="minorEastAsia" w:hAnsi="Cambria Math"/>
            </w:rPr>
            <m:t>= $</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1.0126</m:t>
              </m:r>
            </m:e>
            <m:sup>
              <m:r>
                <w:rPr>
                  <w:rFonts w:ascii="Cambria Math" w:eastAsiaTheme="minorEastAsia" w:hAnsi="Cambria Math"/>
                </w:rPr>
                <m:t>12</m:t>
              </m:r>
            </m:sup>
          </m:sSup>
          <m:r>
            <m:rPr>
              <m:sty m:val="p"/>
            </m:rPr>
            <w:rPr>
              <w:rFonts w:eastAsiaTheme="minorEastAsia"/>
            </w:rPr>
            <w:br/>
          </m:r>
        </m:oMath>
        <m:oMath>
          <m:r>
            <m:rPr>
              <m:aln/>
            </m:rP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×1.1623</m:t>
          </m:r>
          <m:r>
            <m:rPr>
              <m:sty m:val="p"/>
            </m:rPr>
            <w:rPr>
              <w:rFonts w:eastAsiaTheme="minorEastAsia"/>
            </w:rPr>
            <w:br/>
          </m:r>
        </m:oMath>
        <m:oMath>
          <m:r>
            <m:rPr>
              <m:aln/>
            </m:rPr>
            <w:rPr>
              <w:rFonts w:ascii="Cambria Math" w:eastAsiaTheme="minorEastAsia" w:hAnsi="Cambria Math"/>
            </w:rPr>
            <m:t>=$78.99.</m:t>
          </m:r>
        </m:oMath>
      </m:oMathPara>
    </w:p>
    <w:p w14:paraId="0BC5863D" w14:textId="08FC34DC" w:rsidR="00827D37" w:rsidRDefault="00BA6191" w:rsidP="00663CD1">
      <w:pPr>
        <w:rPr>
          <w:rFonts w:eastAsiaTheme="minorEastAsia"/>
        </w:rPr>
      </w:pPr>
      <w:r>
        <w:rPr>
          <w:rFonts w:eastAsiaTheme="minorEastAsia"/>
        </w:rPr>
        <w:lastRenderedPageBreak/>
        <w:t>Equivalently, using the annuali</w:t>
      </w:r>
      <w:r w:rsidR="00673AD2">
        <w:rPr>
          <w:rFonts w:eastAsiaTheme="minorEastAsia"/>
        </w:rPr>
        <w:t>s</w:t>
      </w:r>
      <w:r>
        <w:rPr>
          <w:rFonts w:eastAsiaTheme="minorEastAsia"/>
        </w:rPr>
        <w:t xml:space="preserve">ed indexation rate </w:t>
      </w:r>
      <m:oMath>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4</m:t>
            </m:r>
          </m:sup>
        </m:sSup>
        <m:r>
          <w:rPr>
            <w:rFonts w:ascii="Cambria Math" w:eastAsiaTheme="minorEastAsia" w:hAnsi="Cambria Math"/>
          </w:rPr>
          <m:t>=1.0514</m:t>
        </m:r>
      </m:oMath>
      <w:r w:rsidR="00684274">
        <w:rPr>
          <w:rFonts w:eastAsiaTheme="minorEastAsia"/>
        </w:rPr>
        <w:t>, one can apply 3 years of annual indexation</w:t>
      </w:r>
      <w:r w:rsidR="002811F7">
        <w:rPr>
          <w:rFonts w:eastAsiaTheme="minorEastAsia"/>
        </w:rPr>
        <w:t xml:space="preserve"> to the 2020-21 value:</w:t>
      </w:r>
    </w:p>
    <w:p w14:paraId="673CE0DA" w14:textId="71F82B88" w:rsidR="00BA6191" w:rsidRPr="00827D37" w:rsidRDefault="002811F7" w:rsidP="00663CD1">
      <w:pPr>
        <w:rPr>
          <w:rFonts w:eastAsiaTheme="minorEastAsia"/>
        </w:rPr>
      </w:pPr>
      <m:oMathPara>
        <m:oMath>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3</m:t>
              </m:r>
            </m:sup>
          </m:sSup>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1.0514</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×1.1623</m:t>
          </m:r>
          <m:r>
            <m:rPr>
              <m:sty m:val="p"/>
            </m:rPr>
            <w:rPr>
              <w:rFonts w:eastAsiaTheme="minorEastAsia"/>
            </w:rPr>
            <w:br/>
          </m:r>
        </m:oMath>
        <m:oMath>
          <m:r>
            <m:rPr>
              <m:aln/>
            </m:rPr>
            <w:rPr>
              <w:rFonts w:ascii="Cambria Math" w:eastAsiaTheme="minorEastAsia" w:hAnsi="Cambria Math"/>
            </w:rPr>
            <m:t>=$178.99.</m:t>
          </m:r>
        </m:oMath>
      </m:oMathPara>
    </w:p>
    <w:p w14:paraId="1BFEAE46" w14:textId="330EB4EC" w:rsidR="00827D37" w:rsidRPr="00663CD1" w:rsidRDefault="00127703" w:rsidP="00663CD1">
      <w:r>
        <w:rPr>
          <w:rFonts w:eastAsiaTheme="minorEastAsia"/>
        </w:rPr>
        <w:t xml:space="preserve">Note that the calculations as written may not evaluate exactly as written due to rounding. </w:t>
      </w:r>
      <w:r w:rsidR="006D73B3">
        <w:rPr>
          <w:rFonts w:eastAsiaTheme="minorEastAsia"/>
        </w:rPr>
        <w:t>This method is applied below to calculate separate annual indexation rates for Labour costs, non</w:t>
      </w:r>
      <w:r w:rsidR="00351477">
        <w:rPr>
          <w:rFonts w:eastAsiaTheme="minorEastAsia"/>
        </w:rPr>
        <w:noBreakHyphen/>
      </w:r>
      <w:r w:rsidR="006D73B3">
        <w:rPr>
          <w:rFonts w:eastAsiaTheme="minorEastAsia"/>
        </w:rPr>
        <w:t xml:space="preserve">labour </w:t>
      </w:r>
      <w:r w:rsidR="00351477">
        <w:rPr>
          <w:rFonts w:eastAsiaTheme="minorEastAsia"/>
        </w:rPr>
        <w:t xml:space="preserve">direct </w:t>
      </w:r>
      <w:r w:rsidR="006D73B3">
        <w:rPr>
          <w:rFonts w:eastAsiaTheme="minorEastAsia"/>
        </w:rPr>
        <w:t>care costs, and hotel costs.</w:t>
      </w:r>
    </w:p>
    <w:p w14:paraId="7581CDBA" w14:textId="00E4F5D7" w:rsidR="00963EC4" w:rsidRDefault="00963EC4" w:rsidP="005B4443">
      <w:pPr>
        <w:pStyle w:val="Heading2"/>
      </w:pPr>
      <w:bookmarkStart w:id="43" w:name="_Toc134183608"/>
      <w:r>
        <w:t>Labour cost</w:t>
      </w:r>
      <w:r w:rsidR="005568AF">
        <w:t xml:space="preserve"> indexation</w:t>
      </w:r>
      <w:bookmarkEnd w:id="43"/>
    </w:p>
    <w:p w14:paraId="67A4BCE7" w14:textId="4D46F58B" w:rsidR="00CD2536" w:rsidRDefault="009C6ECC" w:rsidP="00963EC4">
      <w:pPr>
        <w:spacing w:line="259" w:lineRule="auto"/>
      </w:pPr>
      <w:r>
        <w:t xml:space="preserve">To determine an underlying growth rate for labour costs, IHACPA has used </w:t>
      </w:r>
      <w:r w:rsidR="00525AB2">
        <w:t xml:space="preserve">quarterly index numbers from the </w:t>
      </w:r>
      <w:r w:rsidR="00CD2536">
        <w:t xml:space="preserve">ABS </w:t>
      </w:r>
      <w:r w:rsidR="00DA6C9A">
        <w:t xml:space="preserve">index time series </w:t>
      </w:r>
      <w:r w:rsidR="00B2594A" w:rsidRPr="00150B05">
        <w:rPr>
          <w:i/>
          <w:iCs/>
        </w:rPr>
        <w:t>6345.0 Wage Price Index, Australia</w:t>
      </w:r>
      <w:r w:rsidR="00B2594A" w:rsidRPr="00150B05">
        <w:t>, September 2022</w:t>
      </w:r>
      <w:r w:rsidR="00DA6C9A">
        <w:t>.</w:t>
      </w:r>
    </w:p>
    <w:p w14:paraId="36913894" w14:textId="3EF12432" w:rsidR="00DA6C9A" w:rsidRDefault="00DA6C9A" w:rsidP="00DA6C9A">
      <w:pPr>
        <w:spacing w:line="259" w:lineRule="auto"/>
      </w:pPr>
      <w:r>
        <w:t xml:space="preserve">As approximately 90 per cent of aged providers are private entities, and as such it is reasonable to expect that public providers are compete with private wages. Therefore, IHACPA has selected the series </w:t>
      </w:r>
      <w:r w:rsidR="009C11D6" w:rsidRPr="009C11D6">
        <w:rPr>
          <w:i/>
          <w:iCs/>
        </w:rPr>
        <w:t>Quarterly Index</w:t>
      </w:r>
      <w:r w:rsidR="00265783">
        <w:rPr>
          <w:i/>
          <w:iCs/>
        </w:rPr>
        <w:t>;</w:t>
      </w:r>
      <w:r w:rsidR="009C11D6" w:rsidRPr="009C11D6">
        <w:rPr>
          <w:i/>
          <w:iCs/>
        </w:rPr>
        <w:t xml:space="preserve"> Total hourly rates of pay excluding bonuses; Australia; Private; Health care and social assistance</w:t>
      </w:r>
      <w:r w:rsidR="009C11D6">
        <w:t xml:space="preserve"> (</w:t>
      </w:r>
      <w:r w:rsidR="00F55D79">
        <w:t xml:space="preserve">Series ID </w:t>
      </w:r>
      <w:r w:rsidR="00F55D79" w:rsidRPr="00F55D79">
        <w:t>A2602929A</w:t>
      </w:r>
      <w:r w:rsidR="00F55D79">
        <w:t>) to determine wage price growth.</w:t>
      </w:r>
    </w:p>
    <w:p w14:paraId="7C5115C9" w14:textId="6820E6C6" w:rsidR="005B4FED" w:rsidRPr="005B4FED" w:rsidRDefault="00225AA4">
      <w:r>
        <w:t>All earning</w:t>
      </w:r>
      <w:r w:rsidR="003D18D2">
        <w:t>s statistics published by the AB</w:t>
      </w:r>
      <w:r>
        <w:t xml:space="preserve">S, including </w:t>
      </w:r>
      <w:r w:rsidR="00B2594A">
        <w:t>the Wage Price Index</w:t>
      </w:r>
      <w:r>
        <w:t>,</w:t>
      </w:r>
      <w:r w:rsidR="005B4FED" w:rsidRPr="000D2ECC">
        <w:t xml:space="preserve"> </w:t>
      </w:r>
      <w:r w:rsidR="00CC26E5">
        <w:t xml:space="preserve">exclude </w:t>
      </w:r>
      <w:r w:rsidR="006C6845">
        <w:t>employers’ social contributions such as superann</w:t>
      </w:r>
      <w:r w:rsidR="00800D3C">
        <w:t>u</w:t>
      </w:r>
      <w:r w:rsidR="001025F6">
        <w:t>ation</w:t>
      </w:r>
      <w:r w:rsidR="004D0086">
        <w:rPr>
          <w:rStyle w:val="FootnoteReference"/>
        </w:rPr>
        <w:footnoteReference w:id="2"/>
      </w:r>
      <w:r w:rsidR="004D0086">
        <w:t xml:space="preserve">, and therefore </w:t>
      </w:r>
      <w:r w:rsidR="00763B77">
        <w:t>the superannuation increase will not be double-counted through this indexation process.</w:t>
      </w:r>
    </w:p>
    <w:p w14:paraId="6DF4DCC9" w14:textId="724DE948" w:rsidR="00963EC4" w:rsidRDefault="00963EC4" w:rsidP="00963EC4">
      <w:pPr>
        <w:spacing w:line="259" w:lineRule="auto"/>
      </w:pPr>
      <w:r>
        <w:t>IHACPA has fit an exponential growth curve to th</w:t>
      </w:r>
      <w:r w:rsidR="00F55D79">
        <w:t>is index</w:t>
      </w:r>
      <w:r w:rsidR="004E40D1">
        <w:t xml:space="preserve"> series</w:t>
      </w:r>
      <w:r>
        <w:t xml:space="preserve">, using values from the September 2017 quarter to the September 2022 quarter, </w:t>
      </w:r>
      <w:r w:rsidR="00B30A4E">
        <w:t>to</w:t>
      </w:r>
      <w:r>
        <w:t xml:space="preserve"> </w:t>
      </w:r>
      <w:r w:rsidR="00B30A4E">
        <w:t xml:space="preserve">estimate </w:t>
      </w:r>
      <w:r>
        <w:t>the growth over a 5</w:t>
      </w:r>
      <w:r w:rsidR="00B30A4E">
        <w:noBreakHyphen/>
      </w:r>
      <w:r>
        <w:t>year period. This</w:t>
      </w:r>
      <w:r w:rsidR="004E40D1">
        <w:t xml:space="preserve"> is shown</w:t>
      </w:r>
      <w:r>
        <w:t xml:space="preserve"> in </w:t>
      </w:r>
      <w:r w:rsidR="000806DA">
        <w:fldChar w:fldCharType="begin"/>
      </w:r>
      <w:r w:rsidR="000806DA">
        <w:instrText xml:space="preserve"> REF _Ref120613257 \h </w:instrText>
      </w:r>
      <w:r w:rsidR="000806DA">
        <w:fldChar w:fldCharType="separate"/>
      </w:r>
      <w:r w:rsidR="00B1072E" w:rsidRPr="00C31D2D">
        <w:t>Figure</w:t>
      </w:r>
      <w:r w:rsidR="00B1072E">
        <w:t> </w:t>
      </w:r>
      <w:r w:rsidR="00B1072E">
        <w:rPr>
          <w:noProof/>
        </w:rPr>
        <w:t>1</w:t>
      </w:r>
      <w:r w:rsidR="000806DA">
        <w:fldChar w:fldCharType="end"/>
      </w:r>
      <w:r>
        <w:t>.</w:t>
      </w:r>
    </w:p>
    <w:p w14:paraId="65C7017B" w14:textId="72577A60" w:rsidR="00963EC4" w:rsidRDefault="00273B40" w:rsidP="000806DA">
      <w:pPr>
        <w:pStyle w:val="TableFigureheading"/>
      </w:pPr>
      <w:bookmarkStart w:id="44" w:name="_Ref120613257"/>
      <w:r w:rsidRPr="00C31D2D">
        <w:t>Figure</w:t>
      </w:r>
      <w:r>
        <w:t> </w:t>
      </w:r>
      <w:fldSimple w:instr=" SEQ Figure \* ARABIC ">
        <w:r w:rsidR="00B1072E">
          <w:rPr>
            <w:noProof/>
          </w:rPr>
          <w:t>1</w:t>
        </w:r>
      </w:fldSimple>
      <w:bookmarkEnd w:id="44"/>
      <w:r w:rsidR="00963EC4" w:rsidRPr="00C31D2D">
        <w:t xml:space="preserve">: </w:t>
      </w:r>
      <w:r w:rsidR="00785E43" w:rsidRPr="00C31D2D">
        <w:t xml:space="preserve">Index series used for </w:t>
      </w:r>
      <w:r w:rsidR="00963EC4" w:rsidRPr="00C31D2D">
        <w:t>labour cost growth</w:t>
      </w:r>
    </w:p>
    <w:p w14:paraId="1E90AC45" w14:textId="256C37BE" w:rsidR="00963EC4" w:rsidRPr="001F0771" w:rsidRDefault="00C5702C" w:rsidP="00963EC4">
      <w:pPr>
        <w:spacing w:line="259" w:lineRule="auto"/>
        <w:rPr>
          <w:lang w:val="en-AU"/>
        </w:rPr>
      </w:pPr>
      <w:r w:rsidRPr="00C5702C">
        <w:rPr>
          <w:noProof/>
          <w:lang w:val="en-AU"/>
        </w:rPr>
        <w:drawing>
          <wp:inline distT="0" distB="0" distL="0" distR="0" wp14:anchorId="1A639249" wp14:editId="78EFA946">
            <wp:extent cx="4944165" cy="312463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44165" cy="3124636"/>
                    </a:xfrm>
                    <a:prstGeom prst="rect">
                      <a:avLst/>
                    </a:prstGeom>
                  </pic:spPr>
                </pic:pic>
              </a:graphicData>
            </a:graphic>
          </wp:inline>
        </w:drawing>
      </w:r>
    </w:p>
    <w:p w14:paraId="0155AB40" w14:textId="05C08932" w:rsidR="00963EC4" w:rsidRDefault="00785AEB" w:rsidP="00963EC4">
      <w:pPr>
        <w:spacing w:line="259" w:lineRule="auto"/>
      </w:pPr>
      <w:r>
        <w:lastRenderedPageBreak/>
        <w:fldChar w:fldCharType="begin"/>
      </w:r>
      <w:r>
        <w:instrText xml:space="preserve"> REF _Ref120613257 \h </w:instrText>
      </w:r>
      <w:r>
        <w:fldChar w:fldCharType="separate"/>
      </w:r>
      <w:r w:rsidR="00B1072E" w:rsidRPr="00C31D2D">
        <w:t>Figure</w:t>
      </w:r>
      <w:r w:rsidR="00B1072E">
        <w:t> </w:t>
      </w:r>
      <w:r w:rsidR="00B1072E">
        <w:rPr>
          <w:noProof/>
        </w:rPr>
        <w:t>1</w:t>
      </w:r>
      <w:r>
        <w:fldChar w:fldCharType="end"/>
      </w:r>
      <w:r w:rsidR="00963EC4">
        <w:t xml:space="preserve"> shows a plot of the </w:t>
      </w:r>
      <w:r w:rsidR="0029563D" w:rsidRPr="009C11D6">
        <w:rPr>
          <w:i/>
          <w:iCs/>
        </w:rPr>
        <w:t>Quarterly Index</w:t>
      </w:r>
      <w:r w:rsidR="0029563D">
        <w:rPr>
          <w:i/>
          <w:iCs/>
        </w:rPr>
        <w:t>;</w:t>
      </w:r>
      <w:r w:rsidR="0029563D" w:rsidRPr="009C11D6">
        <w:rPr>
          <w:i/>
          <w:iCs/>
        </w:rPr>
        <w:t xml:space="preserve"> Total hourly rates of pay excluding bonuses; Australia; Private; Health care and social assistance</w:t>
      </w:r>
      <w:r w:rsidR="00963EC4">
        <w:t xml:space="preserve"> </w:t>
      </w:r>
      <w:r w:rsidR="0029563D">
        <w:t xml:space="preserve">series </w:t>
      </w:r>
      <w:r>
        <w:t>from September 2017 to September 2022</w:t>
      </w:r>
      <w:r w:rsidR="00963EC4">
        <w:t>, together with the exponential regression curve fit as a best estimate of growth over that period.</w:t>
      </w:r>
      <w:r>
        <w:t xml:space="preserve"> Note that the </w:t>
      </w:r>
      <w:r w:rsidR="0091207B">
        <w:t>value</w:t>
      </w:r>
      <w:r w:rsidR="0029563D">
        <w:t>s</w:t>
      </w:r>
      <w:r w:rsidR="0091207B">
        <w:t xml:space="preserve"> of the index </w:t>
      </w:r>
      <w:r w:rsidR="0029563D">
        <w:t xml:space="preserve">series </w:t>
      </w:r>
      <w:r w:rsidR="0091207B">
        <w:t>ha</w:t>
      </w:r>
      <w:r w:rsidR="0029563D">
        <w:t>ve</w:t>
      </w:r>
      <w:r w:rsidR="0091207B">
        <w:t xml:space="preserve"> been </w:t>
      </w:r>
      <w:r w:rsidR="0029563D">
        <w:t xml:space="preserve">referenced </w:t>
      </w:r>
      <w:r w:rsidR="0091207B">
        <w:t>to equal 100</w:t>
      </w:r>
      <w:r w:rsidR="0029563D">
        <w:t>.0</w:t>
      </w:r>
      <w:r w:rsidR="0091207B">
        <w:t xml:space="preserve"> in the September 2022 quarter.</w:t>
      </w:r>
      <w:r w:rsidR="00606286">
        <w:t xml:space="preserve"> Although not strictly necessary for labour cost indexation, this is applied for consistency, as it is required for the two other indexation rates derived for RACPA23</w:t>
      </w:r>
      <w:r w:rsidR="00C0534C">
        <w:t xml:space="preserve">. This is discussed further in section </w:t>
      </w:r>
      <w:r w:rsidR="00C0534C">
        <w:fldChar w:fldCharType="begin"/>
      </w:r>
      <w:r w:rsidR="00C0534C">
        <w:instrText xml:space="preserve"> REF _Ref120689845 \r \p \h </w:instrText>
      </w:r>
      <w:r w:rsidR="00C0534C">
        <w:fldChar w:fldCharType="separate"/>
      </w:r>
      <w:r w:rsidR="00B1072E">
        <w:t>5.3 below</w:t>
      </w:r>
      <w:r w:rsidR="00C0534C">
        <w:fldChar w:fldCharType="end"/>
      </w:r>
      <w:r w:rsidR="00C0534C">
        <w:t xml:space="preserve"> </w:t>
      </w:r>
    </w:p>
    <w:p w14:paraId="7E01A283" w14:textId="614F9D52" w:rsidR="00BD1C4E" w:rsidRDefault="00BD1C4E" w:rsidP="00963EC4">
      <w:pPr>
        <w:spacing w:line="259" w:lineRule="auto"/>
      </w:pPr>
      <w:r>
        <w:t xml:space="preserve">The </w:t>
      </w:r>
      <w:r w:rsidR="00721ECE">
        <w:t>result</w:t>
      </w:r>
      <w:r w:rsidR="006F7BDA">
        <w:t>ing</w:t>
      </w:r>
      <w:r w:rsidR="00721ECE">
        <w:t xml:space="preserve"> model </w:t>
      </w:r>
      <w:r w:rsidR="00C0534C">
        <w:t xml:space="preserve">for the labour cost index </w:t>
      </w:r>
      <w:r w:rsidR="00721ECE">
        <w:t>is</w:t>
      </w:r>
    </w:p>
    <w:p w14:paraId="447C27E1" w14:textId="004528C2" w:rsidR="00721ECE" w:rsidRDefault="00F03EC5" w:rsidP="00963EC4">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=99.1746×</m:t>
          </m:r>
          <m:sSup>
            <m:sSupPr>
              <m:ctrlPr>
                <w:rPr>
                  <w:rFonts w:ascii="Cambria Math" w:hAnsi="Cambria Math"/>
                  <w:i/>
                </w:rPr>
              </m:ctrlPr>
            </m:sSupPr>
            <m:e>
              <m:r>
                <w:rPr>
                  <w:rFonts w:ascii="Cambria Math" w:hAnsi="Cambria Math"/>
                </w:rPr>
                <m:t>1.0067</m:t>
              </m:r>
            </m:e>
            <m:sup>
              <m:r>
                <w:rPr>
                  <w:rFonts w:ascii="Cambria Math" w:hAnsi="Cambria Math"/>
                </w:rPr>
                <m:t>n</m:t>
              </m:r>
            </m:sup>
          </m:sSup>
          <m:r>
            <w:rPr>
              <w:rFonts w:ascii="Cambria Math" w:hAnsi="Cambria Math"/>
            </w:rPr>
            <m:t xml:space="preserve">. </m:t>
          </m:r>
        </m:oMath>
      </m:oMathPara>
    </w:p>
    <w:p w14:paraId="4E975977" w14:textId="5A3BE64E" w:rsidR="00963EC4" w:rsidRDefault="00963EC4" w:rsidP="00963EC4">
      <w:pPr>
        <w:spacing w:line="259" w:lineRule="auto"/>
      </w:pPr>
      <w:r>
        <w:t xml:space="preserve">This model gives an annual </w:t>
      </w:r>
      <w:r w:rsidR="00384227">
        <w:t xml:space="preserve">labour cost </w:t>
      </w:r>
      <w:r>
        <w:t xml:space="preserve">indexation rate </w:t>
      </w:r>
      <m:oMath>
        <m:sSub>
          <m:sSubPr>
            <m:ctrlPr>
              <w:rPr>
                <w:rFonts w:ascii="Cambria Math" w:hAnsi="Cambria Math"/>
                <w:i/>
              </w:rPr>
            </m:ctrlPr>
          </m:sSubPr>
          <m:e>
            <m:r>
              <w:rPr>
                <w:rFonts w:ascii="Cambria Math" w:hAnsi="Cambria Math"/>
              </w:rPr>
              <m:t>i</m:t>
            </m:r>
          </m:e>
          <m:sub>
            <m:r>
              <w:rPr>
                <w:rFonts w:ascii="Cambria Math" w:hAnsi="Cambria Math"/>
              </w:rPr>
              <m:t>L</m:t>
            </m:r>
          </m:sub>
        </m:sSub>
      </m:oMath>
      <w:r w:rsidR="00384227">
        <w:rPr>
          <w:rFonts w:eastAsiaTheme="minorEastAsia"/>
        </w:rPr>
        <w:t xml:space="preserve"> </w:t>
      </w:r>
      <w:r>
        <w:t>of</w:t>
      </w:r>
      <w:r w:rsidR="00384227">
        <w:t xml:space="preserve"> </w:t>
      </w:r>
    </w:p>
    <w:p w14:paraId="47D893C6" w14:textId="783950F2" w:rsidR="00384227" w:rsidRDefault="00F03EC5" w:rsidP="00963EC4">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L</m:t>
              </m:r>
            </m:sub>
          </m:sSub>
          <m:r>
            <w:rPr>
              <w:rFonts w:ascii="Cambria Math" w:hAnsi="Cambria Math"/>
            </w:rPr>
            <m:t>=</m:t>
          </m:r>
          <m:sSup>
            <m:sSupPr>
              <m:ctrlPr>
                <w:rPr>
                  <w:rFonts w:ascii="Cambria Math" w:hAnsi="Cambria Math"/>
                  <w:i/>
                </w:rPr>
              </m:ctrlPr>
            </m:sSupPr>
            <m:e>
              <m:r>
                <w:rPr>
                  <w:rFonts w:ascii="Cambria Math" w:hAnsi="Cambria Math"/>
                </w:rPr>
                <m:t>1.0067</m:t>
              </m:r>
            </m:e>
            <m:sup>
              <m:r>
                <w:rPr>
                  <w:rFonts w:ascii="Cambria Math" w:hAnsi="Cambria Math"/>
                </w:rPr>
                <m:t>4</m:t>
              </m:r>
            </m:sup>
          </m:sSup>
          <m:r>
            <w:rPr>
              <w:rFonts w:ascii="Cambria Math" w:hAnsi="Cambria Math"/>
            </w:rPr>
            <m:t>=1.0270</m:t>
          </m:r>
          <m:r>
            <w:rPr>
              <w:rFonts w:ascii="Cambria Math" w:eastAsiaTheme="minorEastAsia" w:hAnsi="Cambria Math"/>
            </w:rPr>
            <m:t>.</m:t>
          </m:r>
        </m:oMath>
      </m:oMathPara>
    </w:p>
    <w:p w14:paraId="54CFC514" w14:textId="49E35624" w:rsidR="00AB1226" w:rsidRPr="00AB1226" w:rsidRDefault="00CB200F" w:rsidP="00AB1226">
      <w:r>
        <w:t>Not</w:t>
      </w:r>
      <w:r w:rsidR="007A582B">
        <w:t>e</w:t>
      </w:r>
      <w:r>
        <w:t xml:space="preserve"> that </w:t>
      </w:r>
      <w:r w:rsidR="007A582B">
        <w:t xml:space="preserve">this expression may not evaluate exactly as written due to rounding. </w:t>
      </w:r>
      <w:r w:rsidR="00AB1226">
        <w:t>Therefore, the annualised growth rate used for inflation in labour costs is 2.</w:t>
      </w:r>
      <w:r w:rsidR="00AC7C5E">
        <w:t>70</w:t>
      </w:r>
      <w:r w:rsidR="00AB1226">
        <w:t xml:space="preserve"> per cent.</w:t>
      </w:r>
    </w:p>
    <w:p w14:paraId="7C5C9A81" w14:textId="1FFA5B56" w:rsidR="00C97AB7" w:rsidRDefault="00963EC4" w:rsidP="005B4443">
      <w:pPr>
        <w:pStyle w:val="Heading2"/>
      </w:pPr>
      <w:bookmarkStart w:id="45" w:name="_Ref120689228"/>
      <w:bookmarkStart w:id="46" w:name="_Ref120689845"/>
      <w:bookmarkStart w:id="47" w:name="_Ref120690951"/>
      <w:bookmarkStart w:id="48" w:name="_Ref120692922"/>
      <w:bookmarkStart w:id="49" w:name="_Toc134183609"/>
      <w:r>
        <w:t xml:space="preserve">Non-labour </w:t>
      </w:r>
      <w:r w:rsidR="00351477">
        <w:t xml:space="preserve">direct </w:t>
      </w:r>
      <w:r>
        <w:t>care cost</w:t>
      </w:r>
      <w:r w:rsidR="005568AF">
        <w:t xml:space="preserve"> indexation</w:t>
      </w:r>
      <w:bookmarkEnd w:id="45"/>
      <w:bookmarkEnd w:id="46"/>
      <w:bookmarkEnd w:id="47"/>
      <w:bookmarkEnd w:id="48"/>
      <w:bookmarkEnd w:id="49"/>
    </w:p>
    <w:p w14:paraId="0186A688" w14:textId="15B0F8F6" w:rsidR="00963EC4" w:rsidRPr="007505FC" w:rsidRDefault="00963EC4" w:rsidP="00963EC4">
      <w:pPr>
        <w:spacing w:line="259" w:lineRule="auto"/>
      </w:pPr>
      <w:r w:rsidRPr="007505FC">
        <w:t xml:space="preserve">The non-labour proportion of direct care costs in the </w:t>
      </w:r>
      <w:r w:rsidR="00330BA6" w:rsidRPr="00330BA6">
        <w:t xml:space="preserve">Aged Care Financial Report </w:t>
      </w:r>
      <w:r w:rsidR="00330BA6">
        <w:t>(</w:t>
      </w:r>
      <w:r w:rsidRPr="007505FC">
        <w:t>ACFR</w:t>
      </w:r>
      <w:r w:rsidR="00330BA6">
        <w:t>)</w:t>
      </w:r>
      <w:r w:rsidR="007505FC" w:rsidRPr="007505FC">
        <w:t xml:space="preserve">, according to the </w:t>
      </w:r>
      <w:r w:rsidR="00B2594A" w:rsidRPr="00555526">
        <w:t>ACFR 2020-21 definitions</w:t>
      </w:r>
      <w:r w:rsidR="007505FC" w:rsidRPr="007505FC">
        <w:t>,</w:t>
      </w:r>
      <w:r w:rsidRPr="007505FC">
        <w:t xml:space="preserve"> consist of:</w:t>
      </w:r>
    </w:p>
    <w:p w14:paraId="25AF515A" w14:textId="5C439E70" w:rsidR="00963EC4" w:rsidRDefault="00963EC4" w:rsidP="007505FC">
      <w:pPr>
        <w:pStyle w:val="ListLevel1"/>
      </w:pPr>
      <w:r w:rsidRPr="007505FC">
        <w:t xml:space="preserve">Resident expenses, including medical supplies, incontinence supplies, nutritional supplements, </w:t>
      </w:r>
      <w:r w:rsidR="006549FC">
        <w:t>and other resident expenses.</w:t>
      </w:r>
    </w:p>
    <w:p w14:paraId="2922066E" w14:textId="2240113B" w:rsidR="006549FC" w:rsidRPr="00263B20" w:rsidRDefault="006549FC" w:rsidP="007505FC">
      <w:pPr>
        <w:pStyle w:val="ListLevel1"/>
        <w:rPr>
          <w:color w:val="auto"/>
        </w:rPr>
      </w:pPr>
      <w:r w:rsidRPr="00263B20">
        <w:rPr>
          <w:color w:val="auto"/>
        </w:rPr>
        <w:t>Insurance expenses, such as WorkCover premiums.</w:t>
      </w:r>
    </w:p>
    <w:p w14:paraId="51D0A809" w14:textId="51EF584C" w:rsidR="00963EC4" w:rsidRPr="007505FC" w:rsidRDefault="00963EC4" w:rsidP="007505FC">
      <w:pPr>
        <w:pStyle w:val="ListLevel1"/>
      </w:pPr>
      <w:r w:rsidRPr="007505FC">
        <w:t>Other direct care expenses, including agency (non-salary) fees, payroll tax, external costs for quality and compliance and training, chaplaincy/pastoral care, and other direct care expenses.</w:t>
      </w:r>
    </w:p>
    <w:p w14:paraId="3F4C1D73" w14:textId="2F4374DB" w:rsidR="003349E2" w:rsidRDefault="003349E2" w:rsidP="00963EC4">
      <w:pPr>
        <w:spacing w:line="259" w:lineRule="auto"/>
      </w:pPr>
      <w:r>
        <w:t xml:space="preserve">As there is no single index that </w:t>
      </w:r>
      <w:r w:rsidR="008C5820">
        <w:t xml:space="preserve">reflects this mix of product, IHACPA has constructed a composite index from </w:t>
      </w:r>
      <w:r w:rsidR="006D1E79">
        <w:t>Consumer Price Index (</w:t>
      </w:r>
      <w:r w:rsidR="008C5820">
        <w:t>CPI</w:t>
      </w:r>
      <w:r w:rsidR="006D1E79">
        <w:t>)</w:t>
      </w:r>
      <w:r w:rsidR="008C5820">
        <w:t xml:space="preserve"> subgroups</w:t>
      </w:r>
      <w:r w:rsidR="00DB45E0">
        <w:t xml:space="preserve">. </w:t>
      </w:r>
      <w:r w:rsidR="00FF79A5">
        <w:t xml:space="preserve">IHACPA has used the </w:t>
      </w:r>
      <w:r w:rsidR="003948FA">
        <w:t xml:space="preserve">quarterly </w:t>
      </w:r>
      <w:r w:rsidR="00FF79A5">
        <w:t xml:space="preserve">index numbers from the </w:t>
      </w:r>
      <w:r w:rsidR="00FC7035">
        <w:t>Australian Bureau of Statistics (</w:t>
      </w:r>
      <w:r w:rsidR="00FF79A5">
        <w:t>ABS</w:t>
      </w:r>
      <w:r w:rsidR="00FC7035">
        <w:t>)</w:t>
      </w:r>
      <w:r w:rsidR="00FF79A5">
        <w:t xml:space="preserve"> index time series </w:t>
      </w:r>
      <w:r w:rsidR="005616FD" w:rsidRPr="00200518">
        <w:rPr>
          <w:i/>
          <w:iCs/>
        </w:rPr>
        <w:t>6041.0 Consumer Price Index, Australia</w:t>
      </w:r>
      <w:r w:rsidR="00455DBC" w:rsidRPr="00200518">
        <w:t xml:space="preserve">, </w:t>
      </w:r>
      <w:r w:rsidR="00B27CFE">
        <w:t>December</w:t>
      </w:r>
      <w:r w:rsidR="00B27CFE" w:rsidRPr="00200518">
        <w:t xml:space="preserve"> </w:t>
      </w:r>
      <w:r w:rsidR="00E0633A" w:rsidRPr="00200518">
        <w:t>2022</w:t>
      </w:r>
      <w:r w:rsidR="008C5820">
        <w:t xml:space="preserve">. </w:t>
      </w:r>
      <w:r w:rsidR="00554429">
        <w:t>After constructing the composite index series, t</w:t>
      </w:r>
      <w:r w:rsidR="008C5820">
        <w:t>h</w:t>
      </w:r>
      <w:r w:rsidR="00554429">
        <w:t xml:space="preserve">e model used to derive this index </w:t>
      </w:r>
      <w:r w:rsidR="008C5820">
        <w:t xml:space="preserve">is methodologically </w:t>
      </w:r>
      <w:r w:rsidR="00554429">
        <w:t xml:space="preserve">the same as </w:t>
      </w:r>
      <w:r w:rsidR="008C5820">
        <w:t>the hotel cost index</w:t>
      </w:r>
      <w:r w:rsidR="00206D63">
        <w:t xml:space="preserve"> construction in section</w:t>
      </w:r>
      <w:r w:rsidR="00477115">
        <w:t xml:space="preserve"> </w:t>
      </w:r>
      <w:r w:rsidR="00477115">
        <w:fldChar w:fldCharType="begin"/>
      </w:r>
      <w:r w:rsidR="00477115">
        <w:instrText xml:space="preserve"> REF _Ref120619926 \r \p \h </w:instrText>
      </w:r>
      <w:r w:rsidR="00477115">
        <w:fldChar w:fldCharType="separate"/>
      </w:r>
      <w:r w:rsidR="00B1072E">
        <w:t>5.4 below</w:t>
      </w:r>
      <w:r w:rsidR="00477115">
        <w:fldChar w:fldCharType="end"/>
      </w:r>
      <w:r w:rsidR="00206D63">
        <w:t>.</w:t>
      </w:r>
    </w:p>
    <w:p w14:paraId="54AD4CDF" w14:textId="00A443DD" w:rsidR="00FE4B00" w:rsidRDefault="00FE4B00" w:rsidP="00963EC4">
      <w:pPr>
        <w:spacing w:line="259" w:lineRule="auto"/>
      </w:pPr>
      <w:r>
        <w:t>The selected CPI subgroups</w:t>
      </w:r>
      <w:r w:rsidR="00167C9F">
        <w:t xml:space="preserve"> for each component of non-labour care </w:t>
      </w:r>
      <w:r w:rsidR="00351477">
        <w:t xml:space="preserve">direct </w:t>
      </w:r>
      <w:r w:rsidR="00167C9F">
        <w:t>costs</w:t>
      </w:r>
      <w:r>
        <w:t xml:space="preserve"> are shown in </w:t>
      </w:r>
      <w:r w:rsidR="00CA43A5">
        <w:fldChar w:fldCharType="begin"/>
      </w:r>
      <w:r w:rsidR="00CA43A5">
        <w:instrText xml:space="preserve"> REF _Ref120621362 \h </w:instrText>
      </w:r>
      <w:r w:rsidR="00CA43A5">
        <w:fldChar w:fldCharType="separate"/>
      </w:r>
      <w:r w:rsidR="00B1072E">
        <w:t>Table </w:t>
      </w:r>
      <w:r w:rsidR="00B1072E">
        <w:rPr>
          <w:noProof/>
        </w:rPr>
        <w:t>9</w:t>
      </w:r>
      <w:r w:rsidR="00CA43A5">
        <w:fldChar w:fldCharType="end"/>
      </w:r>
      <w:r w:rsidR="00CA43A5">
        <w:t>.</w:t>
      </w:r>
    </w:p>
    <w:p w14:paraId="29346C3F" w14:textId="3E8A1822" w:rsidR="00FE4B00" w:rsidRDefault="00167C9F" w:rsidP="00E83B00">
      <w:pPr>
        <w:pStyle w:val="TableFigureheading"/>
      </w:pPr>
      <w:bookmarkStart w:id="50" w:name="_Ref120621362"/>
      <w:r>
        <w:t>Table</w:t>
      </w:r>
      <w:r w:rsidR="00F331F0">
        <w:t> </w:t>
      </w:r>
      <w:fldSimple w:instr=" SEQ Table \* ARABIC ">
        <w:r w:rsidR="00B1072E">
          <w:rPr>
            <w:noProof/>
          </w:rPr>
          <w:t>9</w:t>
        </w:r>
      </w:fldSimple>
      <w:bookmarkEnd w:id="50"/>
      <w:r w:rsidR="00905C30">
        <w:t xml:space="preserve">: CPI Subgroups selected for non-labour </w:t>
      </w:r>
      <w:r w:rsidR="00351477">
        <w:t xml:space="preserve">direct </w:t>
      </w:r>
      <w:r w:rsidR="00905C30">
        <w:t>care costs</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060"/>
        <w:gridCol w:w="5497"/>
        <w:gridCol w:w="1189"/>
      </w:tblGrid>
      <w:tr w:rsidR="00D00167" w:rsidRPr="00E83B00" w14:paraId="7ABFEAEC" w14:textId="34CBA78F" w:rsidTr="439FDCDA">
        <w:trPr>
          <w:cnfStyle w:val="100000000000" w:firstRow="1" w:lastRow="0" w:firstColumn="0" w:lastColumn="0" w:oddVBand="0" w:evenVBand="0" w:oddHBand="0" w:evenHBand="0" w:firstRowFirstColumn="0" w:firstRowLastColumn="0" w:lastRowFirstColumn="0" w:lastRowLastColumn="0"/>
          <w:trHeight w:val="20"/>
        </w:trPr>
        <w:tc>
          <w:tcPr>
            <w:tcW w:w="1570" w:type="pct"/>
            <w:tcBorders>
              <w:bottom w:val="single" w:sz="4" w:space="0" w:color="DFEBF1" w:themeColor="accent1" w:themeTint="1A"/>
              <w:right w:val="single" w:sz="4" w:space="0" w:color="FFFFFF" w:themeColor="accent6"/>
            </w:tcBorders>
            <w:vAlign w:val="center"/>
          </w:tcPr>
          <w:p w14:paraId="5837A0F2" w14:textId="3A96B8F9" w:rsidR="00DB6D2B" w:rsidRPr="00E83B00" w:rsidRDefault="00DB6D2B" w:rsidP="00DF7CE9">
            <w:pPr>
              <w:spacing w:before="120" w:after="120"/>
              <w:rPr>
                <w:b/>
                <w:bCs/>
                <w:color w:val="FFFFFF" w:themeColor="background2"/>
                <w:szCs w:val="18"/>
              </w:rPr>
            </w:pPr>
            <w:r>
              <w:rPr>
                <w:b/>
                <w:bCs/>
                <w:color w:val="FFFFFF" w:themeColor="background2"/>
                <w:szCs w:val="18"/>
                <w:lang w:val="en-US"/>
              </w:rPr>
              <w:t>Non-labour care cost component</w:t>
            </w:r>
          </w:p>
        </w:tc>
        <w:tc>
          <w:tcPr>
            <w:tcW w:w="2820" w:type="pct"/>
            <w:tcBorders>
              <w:left w:val="single" w:sz="4" w:space="0" w:color="FFFFFF" w:themeColor="accent6"/>
              <w:bottom w:val="single" w:sz="4" w:space="0" w:color="DFEBF1" w:themeColor="accent1" w:themeTint="1A"/>
              <w:right w:val="single" w:sz="4" w:space="0" w:color="FFFFFF" w:themeColor="accent6"/>
            </w:tcBorders>
            <w:vAlign w:val="center"/>
          </w:tcPr>
          <w:p w14:paraId="69263B5A" w14:textId="5D5911BD" w:rsidR="00DB6D2B" w:rsidRPr="00E83B00" w:rsidRDefault="00DB6D2B" w:rsidP="00DF7CE9">
            <w:pPr>
              <w:spacing w:before="120" w:after="120"/>
              <w:rPr>
                <w:b/>
                <w:bCs/>
                <w:color w:val="FFFFFF" w:themeColor="background2"/>
                <w:szCs w:val="18"/>
              </w:rPr>
            </w:pPr>
            <w:r>
              <w:rPr>
                <w:b/>
                <w:bCs/>
                <w:color w:val="FFFFFF" w:themeColor="background2"/>
                <w:szCs w:val="18"/>
              </w:rPr>
              <w:t>CPI Index subgroup</w:t>
            </w:r>
          </w:p>
        </w:tc>
        <w:tc>
          <w:tcPr>
            <w:tcW w:w="611" w:type="pct"/>
            <w:tcBorders>
              <w:left w:val="single" w:sz="4" w:space="0" w:color="FFFFFF" w:themeColor="accent6"/>
              <w:bottom w:val="single" w:sz="4" w:space="0" w:color="DFEBF1" w:themeColor="accent1" w:themeTint="1A"/>
            </w:tcBorders>
          </w:tcPr>
          <w:p w14:paraId="03E7F3B1" w14:textId="7C421FB7" w:rsidR="00DB6D2B" w:rsidRDefault="00DB6D2B" w:rsidP="00DF7CE9">
            <w:pPr>
              <w:spacing w:before="120" w:after="120"/>
              <w:rPr>
                <w:b/>
                <w:bCs/>
                <w:color w:val="FFFFFF" w:themeColor="background2"/>
                <w:szCs w:val="18"/>
              </w:rPr>
            </w:pPr>
            <w:r>
              <w:rPr>
                <w:b/>
                <w:bCs/>
                <w:color w:val="FFFFFF" w:themeColor="background2"/>
                <w:szCs w:val="18"/>
              </w:rPr>
              <w:t>Series ID</w:t>
            </w:r>
          </w:p>
        </w:tc>
      </w:tr>
      <w:tr w:rsidR="00D00167" w:rsidRPr="004E67F4" w14:paraId="37ED5454" w14:textId="5B748C0D" w:rsidTr="00D00167">
        <w:trPr>
          <w:cnfStyle w:val="000000100000" w:firstRow="0" w:lastRow="0" w:firstColumn="0" w:lastColumn="0" w:oddVBand="0" w:evenVBand="0" w:oddHBand="1" w:evenHBand="0" w:firstRowFirstColumn="0" w:firstRowLastColumn="0" w:lastRowFirstColumn="0" w:lastRowLastColumn="0"/>
          <w:trHeight w:val="20"/>
        </w:trPr>
        <w:tc>
          <w:tcPr>
            <w:tcW w:w="1570" w:type="pct"/>
            <w:tcBorders>
              <w:top w:val="single" w:sz="4" w:space="0" w:color="DFEBF1" w:themeColor="accent1" w:themeTint="1A"/>
              <w:bottom w:val="single" w:sz="4" w:space="0" w:color="DFEBF1" w:themeColor="accent1" w:themeTint="1A"/>
            </w:tcBorders>
            <w:shd w:val="clear" w:color="auto" w:fill="auto"/>
            <w:vAlign w:val="center"/>
          </w:tcPr>
          <w:p w14:paraId="2FA449E9" w14:textId="0A7A223C" w:rsidR="00DB6D2B" w:rsidRPr="004E67F4" w:rsidRDefault="00DB6D2B" w:rsidP="00DF7CE9">
            <w:pPr>
              <w:spacing w:before="120" w:after="120"/>
              <w:rPr>
                <w:color w:val="1C1C1C"/>
                <w:sz w:val="16"/>
                <w:szCs w:val="16"/>
              </w:rPr>
            </w:pPr>
            <w:r>
              <w:rPr>
                <w:color w:val="1C1C1C"/>
                <w:sz w:val="16"/>
                <w:szCs w:val="16"/>
              </w:rPr>
              <w:t>Resident non-labour expenses</w:t>
            </w:r>
          </w:p>
        </w:tc>
        <w:tc>
          <w:tcPr>
            <w:tcW w:w="2820" w:type="pct"/>
            <w:tcBorders>
              <w:top w:val="single" w:sz="4" w:space="0" w:color="DFEBF1" w:themeColor="accent1" w:themeTint="1A"/>
              <w:bottom w:val="single" w:sz="4" w:space="0" w:color="DFEBF1" w:themeColor="accent1" w:themeTint="1A"/>
            </w:tcBorders>
            <w:shd w:val="clear" w:color="auto" w:fill="auto"/>
            <w:vAlign w:val="center"/>
          </w:tcPr>
          <w:p w14:paraId="4CB431F5" w14:textId="19ED59AB" w:rsidR="00DB6D2B" w:rsidRPr="004E67F4" w:rsidRDefault="00DB6D2B" w:rsidP="00DF7CE9">
            <w:pPr>
              <w:spacing w:before="120" w:after="120"/>
              <w:rPr>
                <w:color w:val="1C1C1C"/>
                <w:sz w:val="16"/>
                <w:szCs w:val="16"/>
              </w:rPr>
            </w:pPr>
            <w:r w:rsidRPr="00717E38">
              <w:rPr>
                <w:color w:val="1C1C1C"/>
                <w:sz w:val="16"/>
                <w:szCs w:val="16"/>
              </w:rPr>
              <w:t xml:space="preserve">Index Numbers; Medical products, </w:t>
            </w:r>
            <w:r w:rsidR="00AE6389" w:rsidRPr="00717E38">
              <w:rPr>
                <w:color w:val="1C1C1C"/>
                <w:sz w:val="16"/>
                <w:szCs w:val="16"/>
              </w:rPr>
              <w:t>appliances,</w:t>
            </w:r>
            <w:r w:rsidRPr="00717E38">
              <w:rPr>
                <w:color w:val="1C1C1C"/>
                <w:sz w:val="16"/>
                <w:szCs w:val="16"/>
              </w:rPr>
              <w:t xml:space="preserve"> and equipment; Australia</w:t>
            </w:r>
          </w:p>
        </w:tc>
        <w:tc>
          <w:tcPr>
            <w:tcW w:w="611" w:type="pct"/>
            <w:tcBorders>
              <w:top w:val="single" w:sz="4" w:space="0" w:color="DFEBF1" w:themeColor="accent1" w:themeTint="1A"/>
              <w:bottom w:val="single" w:sz="4" w:space="0" w:color="DFEBF1" w:themeColor="accent1" w:themeTint="1A"/>
            </w:tcBorders>
          </w:tcPr>
          <w:p w14:paraId="212DC3EA" w14:textId="3F533F58" w:rsidR="00DB6D2B" w:rsidRPr="00717E38" w:rsidRDefault="00DB6D2B" w:rsidP="00DF7CE9">
            <w:pPr>
              <w:spacing w:before="120" w:after="120"/>
              <w:rPr>
                <w:color w:val="1C1C1C"/>
                <w:sz w:val="16"/>
                <w:szCs w:val="16"/>
              </w:rPr>
            </w:pPr>
            <w:r w:rsidRPr="00DB6D2B">
              <w:rPr>
                <w:color w:val="1C1C1C"/>
                <w:sz w:val="16"/>
                <w:szCs w:val="16"/>
              </w:rPr>
              <w:t>A3604438R</w:t>
            </w:r>
          </w:p>
        </w:tc>
      </w:tr>
      <w:tr w:rsidR="00F01022" w:rsidRPr="00F01022" w14:paraId="782C42AE" w14:textId="77777777" w:rsidTr="00D00167">
        <w:trPr>
          <w:cnfStyle w:val="000000010000" w:firstRow="0" w:lastRow="0" w:firstColumn="0" w:lastColumn="0" w:oddVBand="0" w:evenVBand="0" w:oddHBand="0" w:evenHBand="1" w:firstRowFirstColumn="0" w:firstRowLastColumn="0" w:lastRowFirstColumn="0" w:lastRowLastColumn="0"/>
          <w:trHeight w:val="20"/>
        </w:trPr>
        <w:tc>
          <w:tcPr>
            <w:tcW w:w="1570" w:type="pct"/>
            <w:tcBorders>
              <w:top w:val="single" w:sz="4" w:space="0" w:color="DFEBF1" w:themeColor="accent1" w:themeTint="1A"/>
              <w:bottom w:val="single" w:sz="4" w:space="0" w:color="DFEBF1" w:themeColor="accent1" w:themeTint="1A"/>
            </w:tcBorders>
            <w:shd w:val="clear" w:color="auto" w:fill="auto"/>
            <w:vAlign w:val="center"/>
          </w:tcPr>
          <w:p w14:paraId="3C54084D" w14:textId="6A42EB0E" w:rsidR="000531DD" w:rsidRPr="00263B20" w:rsidRDefault="001F0771" w:rsidP="00DF7CE9">
            <w:pPr>
              <w:spacing w:before="120" w:after="120"/>
              <w:rPr>
                <w:color w:val="auto"/>
                <w:sz w:val="16"/>
                <w:szCs w:val="16"/>
              </w:rPr>
            </w:pPr>
            <w:r w:rsidRPr="00263B20">
              <w:rPr>
                <w:color w:val="auto"/>
                <w:sz w:val="16"/>
                <w:szCs w:val="16"/>
              </w:rPr>
              <w:t>Insurance expenses</w:t>
            </w:r>
          </w:p>
        </w:tc>
        <w:tc>
          <w:tcPr>
            <w:tcW w:w="2820" w:type="pct"/>
            <w:tcBorders>
              <w:top w:val="single" w:sz="4" w:space="0" w:color="DFEBF1" w:themeColor="accent1" w:themeTint="1A"/>
              <w:bottom w:val="single" w:sz="4" w:space="0" w:color="DFEBF1" w:themeColor="accent1" w:themeTint="1A"/>
            </w:tcBorders>
            <w:shd w:val="clear" w:color="auto" w:fill="auto"/>
            <w:vAlign w:val="center"/>
          </w:tcPr>
          <w:p w14:paraId="7ECF4AD6" w14:textId="2BEB30AB" w:rsidR="000531DD" w:rsidRPr="00263B20" w:rsidRDefault="001F0771" w:rsidP="00DF7CE9">
            <w:pPr>
              <w:spacing w:before="120" w:after="120"/>
              <w:rPr>
                <w:color w:val="auto"/>
                <w:sz w:val="16"/>
                <w:szCs w:val="16"/>
              </w:rPr>
            </w:pPr>
            <w:r w:rsidRPr="00263B20">
              <w:rPr>
                <w:color w:val="auto"/>
                <w:sz w:val="16"/>
                <w:szCs w:val="16"/>
              </w:rPr>
              <w:t xml:space="preserve">Index Numbers; </w:t>
            </w:r>
            <w:r w:rsidR="0BF32CF7" w:rsidRPr="274CB7B1">
              <w:rPr>
                <w:color w:val="auto"/>
                <w:sz w:val="16"/>
                <w:szCs w:val="16"/>
              </w:rPr>
              <w:t>Insurance</w:t>
            </w:r>
            <w:r w:rsidRPr="00263B20">
              <w:rPr>
                <w:color w:val="auto"/>
                <w:sz w:val="16"/>
                <w:szCs w:val="16"/>
              </w:rPr>
              <w:t>; Australia</w:t>
            </w:r>
          </w:p>
        </w:tc>
        <w:tc>
          <w:tcPr>
            <w:tcW w:w="611" w:type="pct"/>
            <w:tcBorders>
              <w:top w:val="single" w:sz="4" w:space="0" w:color="DFEBF1" w:themeColor="accent1" w:themeTint="1A"/>
              <w:bottom w:val="single" w:sz="4" w:space="0" w:color="DFEBF1" w:themeColor="accent1" w:themeTint="1A"/>
            </w:tcBorders>
          </w:tcPr>
          <w:p w14:paraId="7176DDEA" w14:textId="78B6EB15" w:rsidR="000531DD" w:rsidRPr="00263B20" w:rsidRDefault="001F0771" w:rsidP="00DF7CE9">
            <w:pPr>
              <w:spacing w:before="120" w:after="120"/>
              <w:rPr>
                <w:color w:val="auto"/>
                <w:sz w:val="16"/>
                <w:szCs w:val="16"/>
              </w:rPr>
            </w:pPr>
            <w:r w:rsidRPr="00263B20">
              <w:rPr>
                <w:color w:val="auto"/>
                <w:sz w:val="16"/>
                <w:szCs w:val="16"/>
              </w:rPr>
              <w:t>A</w:t>
            </w:r>
            <w:r w:rsidR="23C5AAC3" w:rsidRPr="3B6F5557">
              <w:rPr>
                <w:color w:val="auto"/>
                <w:sz w:val="16"/>
                <w:szCs w:val="16"/>
              </w:rPr>
              <w:t>3602878J</w:t>
            </w:r>
          </w:p>
        </w:tc>
      </w:tr>
      <w:tr w:rsidR="00D00167" w:rsidRPr="004E67F4" w14:paraId="354D0712" w14:textId="0A406093" w:rsidTr="00D00167">
        <w:trPr>
          <w:cnfStyle w:val="000000100000" w:firstRow="0" w:lastRow="0" w:firstColumn="0" w:lastColumn="0" w:oddVBand="0" w:evenVBand="0" w:oddHBand="1" w:evenHBand="0" w:firstRowFirstColumn="0" w:firstRowLastColumn="0" w:lastRowFirstColumn="0" w:lastRowLastColumn="0"/>
          <w:trHeight w:val="20"/>
        </w:trPr>
        <w:tc>
          <w:tcPr>
            <w:tcW w:w="1570" w:type="pct"/>
            <w:tcBorders>
              <w:top w:val="single" w:sz="4" w:space="0" w:color="DFEBF1" w:themeColor="accent1" w:themeTint="1A"/>
              <w:bottom w:val="single" w:sz="4" w:space="0" w:color="DFEBF1" w:themeColor="accent1" w:themeTint="1A"/>
            </w:tcBorders>
            <w:shd w:val="clear" w:color="auto" w:fill="auto"/>
            <w:vAlign w:val="center"/>
          </w:tcPr>
          <w:p w14:paraId="26C8E991" w14:textId="6D994D30" w:rsidR="00DB6D2B" w:rsidRPr="004E67F4" w:rsidRDefault="00DB6D2B" w:rsidP="00DF7CE9">
            <w:pPr>
              <w:spacing w:before="120" w:after="120"/>
              <w:rPr>
                <w:color w:val="1C1C1C"/>
                <w:sz w:val="16"/>
                <w:szCs w:val="16"/>
              </w:rPr>
            </w:pPr>
            <w:r>
              <w:rPr>
                <w:color w:val="1C1C1C"/>
                <w:sz w:val="16"/>
                <w:szCs w:val="16"/>
              </w:rPr>
              <w:t>Other direct care expenses</w:t>
            </w:r>
          </w:p>
        </w:tc>
        <w:tc>
          <w:tcPr>
            <w:tcW w:w="2820" w:type="pct"/>
            <w:tcBorders>
              <w:top w:val="single" w:sz="4" w:space="0" w:color="DFEBF1" w:themeColor="accent1" w:themeTint="1A"/>
              <w:bottom w:val="single" w:sz="4" w:space="0" w:color="DFEBF1" w:themeColor="accent1" w:themeTint="1A"/>
            </w:tcBorders>
            <w:shd w:val="clear" w:color="auto" w:fill="auto"/>
            <w:vAlign w:val="center"/>
          </w:tcPr>
          <w:p w14:paraId="04B52B5B" w14:textId="3DB6DE28" w:rsidR="00DB6D2B" w:rsidRPr="004E67F4" w:rsidRDefault="00D00167" w:rsidP="00DF7CE9">
            <w:pPr>
              <w:spacing w:before="120" w:after="120"/>
              <w:rPr>
                <w:color w:val="1C1C1C"/>
                <w:sz w:val="16"/>
                <w:szCs w:val="16"/>
              </w:rPr>
            </w:pPr>
            <w:r w:rsidRPr="00D00167">
              <w:rPr>
                <w:color w:val="1C1C1C"/>
                <w:sz w:val="16"/>
                <w:szCs w:val="16"/>
              </w:rPr>
              <w:t>Index Numbers; Other financial services; Australia</w:t>
            </w:r>
          </w:p>
        </w:tc>
        <w:tc>
          <w:tcPr>
            <w:tcW w:w="611" w:type="pct"/>
            <w:tcBorders>
              <w:top w:val="single" w:sz="4" w:space="0" w:color="DFEBF1" w:themeColor="accent1" w:themeTint="1A"/>
              <w:bottom w:val="single" w:sz="4" w:space="0" w:color="DFEBF1" w:themeColor="accent1" w:themeTint="1A"/>
            </w:tcBorders>
          </w:tcPr>
          <w:p w14:paraId="62C5ADAF" w14:textId="2A1A740D" w:rsidR="00DB6D2B" w:rsidRPr="004E67F4" w:rsidRDefault="00D00167" w:rsidP="00DF7CE9">
            <w:pPr>
              <w:spacing w:before="120" w:after="120"/>
              <w:rPr>
                <w:color w:val="1C1C1C"/>
                <w:sz w:val="16"/>
                <w:szCs w:val="16"/>
              </w:rPr>
            </w:pPr>
            <w:r w:rsidRPr="00D00167">
              <w:rPr>
                <w:color w:val="1C1C1C"/>
                <w:sz w:val="16"/>
                <w:szCs w:val="16"/>
              </w:rPr>
              <w:t>A2332776R</w:t>
            </w:r>
          </w:p>
        </w:tc>
      </w:tr>
    </w:tbl>
    <w:p w14:paraId="61D4EE3E" w14:textId="77777777" w:rsidR="00FE4B00" w:rsidRDefault="00FE4B00" w:rsidP="00963EC4">
      <w:pPr>
        <w:spacing w:line="259" w:lineRule="auto"/>
      </w:pPr>
    </w:p>
    <w:p w14:paraId="25C8C1C9" w14:textId="40835919" w:rsidR="00CA43A5" w:rsidRDefault="0063430C" w:rsidP="00963EC4">
      <w:pPr>
        <w:spacing w:line="259" w:lineRule="auto"/>
      </w:pPr>
      <w:r>
        <w:t>IHACPA has weighted and combined these to index</w:t>
      </w:r>
      <w:r w:rsidR="00A87B95">
        <w:t>es</w:t>
      </w:r>
      <w:r>
        <w:t xml:space="preserve"> to form a single non-labour </w:t>
      </w:r>
      <w:r w:rsidR="00351477">
        <w:t xml:space="preserve">direct </w:t>
      </w:r>
      <w:r>
        <w:t>care index, which is then used in the annual growth estimate.</w:t>
      </w:r>
    </w:p>
    <w:p w14:paraId="333C0BEE" w14:textId="09609C0D" w:rsidR="0063430C" w:rsidRDefault="00A87B95" w:rsidP="00A87B95">
      <w:pPr>
        <w:pStyle w:val="Heading4"/>
      </w:pPr>
      <w:r>
        <w:lastRenderedPageBreak/>
        <w:t>Composing index series</w:t>
      </w:r>
    </w:p>
    <w:p w14:paraId="72447B96" w14:textId="3478864E" w:rsidR="00A87B95" w:rsidRDefault="008A5ED9" w:rsidP="00A87B95">
      <w:r>
        <w:t>The CPI</w:t>
      </w:r>
      <w:r w:rsidR="004848F6">
        <w:t xml:space="preserve"> </w:t>
      </w:r>
      <w:r>
        <w:t xml:space="preserve">series are generally referenced to 2011-12 financial year. That is, they are </w:t>
      </w:r>
      <w:r w:rsidR="009D242E">
        <w:t xml:space="preserve">expressed such that the annual index for 2011-12 is equal to 100.0. </w:t>
      </w:r>
      <w:r w:rsidR="00DB5BC1">
        <w:t xml:space="preserve">For example, the </w:t>
      </w:r>
      <w:r w:rsidR="00DB5BC1">
        <w:rPr>
          <w:i/>
          <w:iCs/>
        </w:rPr>
        <w:t>Other financial services</w:t>
      </w:r>
      <w:r w:rsidR="00DB5BC1">
        <w:t xml:space="preserve"> index number for </w:t>
      </w:r>
      <w:r w:rsidR="443B98D0">
        <w:t xml:space="preserve">December </w:t>
      </w:r>
      <w:r w:rsidR="00DB5BC1">
        <w:t xml:space="preserve">2022 is </w:t>
      </w:r>
      <w:r w:rsidR="6D1FA220">
        <w:t>1</w:t>
      </w:r>
      <w:r w:rsidR="59385A71">
        <w:t>21</w:t>
      </w:r>
      <w:r w:rsidR="6D1FA220">
        <w:t>.</w:t>
      </w:r>
      <w:r w:rsidR="51024013">
        <w:t>3</w:t>
      </w:r>
      <w:r w:rsidR="00DB5BC1">
        <w:t xml:space="preserve">, indicating that the </w:t>
      </w:r>
      <w:r w:rsidR="007E3B1B">
        <w:t xml:space="preserve">consumer price for that subgroup is </w:t>
      </w:r>
      <w:r w:rsidR="2E1F5F2B">
        <w:t>21</w:t>
      </w:r>
      <w:r w:rsidR="296DB868">
        <w:t>.</w:t>
      </w:r>
      <w:r w:rsidR="593CE6F5">
        <w:t>3</w:t>
      </w:r>
      <w:r w:rsidR="007E3B1B">
        <w:t xml:space="preserve"> per cent higher in </w:t>
      </w:r>
      <w:r w:rsidR="7828871F">
        <w:t>Dec</w:t>
      </w:r>
      <w:r w:rsidR="296DB868">
        <w:t xml:space="preserve">ember </w:t>
      </w:r>
      <w:r w:rsidR="007E3B1B">
        <w:t>2022 than in the 2011</w:t>
      </w:r>
      <w:r w:rsidR="00C9184A">
        <w:t>-</w:t>
      </w:r>
      <w:r w:rsidR="007E3B1B">
        <w:t>12 financial year.</w:t>
      </w:r>
    </w:p>
    <w:p w14:paraId="75F78E91" w14:textId="0EC520CD" w:rsidR="007E3B1B" w:rsidRDefault="00022FDA" w:rsidP="00A87B95">
      <w:r>
        <w:t xml:space="preserve">If index series </w:t>
      </w:r>
      <w:r w:rsidR="005A4B9A">
        <w:t xml:space="preserve">for subgroups published by ABS are combined directly, </w:t>
      </w:r>
      <w:r w:rsidR="00B76BAB">
        <w:t xml:space="preserve">there is an implicit assumption </w:t>
      </w:r>
      <w:r w:rsidR="00F141B1">
        <w:t xml:space="preserve">that </w:t>
      </w:r>
      <w:r w:rsidR="007907CC">
        <w:t xml:space="preserve">the relative </w:t>
      </w:r>
      <w:r w:rsidR="00B52CCA">
        <w:t>cost</w:t>
      </w:r>
      <w:r w:rsidR="00AA7EE2">
        <w:t xml:space="preserve"> </w:t>
      </w:r>
      <w:r w:rsidR="00B52CCA">
        <w:t>for</w:t>
      </w:r>
      <w:r w:rsidR="004B6EB3">
        <w:t xml:space="preserve"> each </w:t>
      </w:r>
      <w:r w:rsidR="00C9184A">
        <w:t>group has been equal since the reference year in 2011</w:t>
      </w:r>
      <w:r w:rsidR="00F01022">
        <w:noBreakHyphen/>
      </w:r>
      <w:r w:rsidR="00C9184A">
        <w:t xml:space="preserve">12. This in general is not the case, </w:t>
      </w:r>
      <w:r w:rsidR="00191CE6">
        <w:t xml:space="preserve">so each index series </w:t>
      </w:r>
      <w:r w:rsidR="00A82938">
        <w:t xml:space="preserve">must </w:t>
      </w:r>
      <w:r w:rsidR="00AE6389">
        <w:t>be weighted</w:t>
      </w:r>
      <w:r w:rsidR="00A111A2">
        <w:t xml:space="preserve"> before combining to reflec</w:t>
      </w:r>
      <w:r w:rsidR="00AA7EE2">
        <w:t>t the</w:t>
      </w:r>
      <w:r w:rsidR="00E712EC">
        <w:t xml:space="preserve"> </w:t>
      </w:r>
      <w:r w:rsidR="00B52CCA">
        <w:t xml:space="preserve">cost </w:t>
      </w:r>
      <w:r w:rsidR="004A6064">
        <w:t>proportions in the period of interest.</w:t>
      </w:r>
    </w:p>
    <w:p w14:paraId="51F82CAB" w14:textId="3B88105F" w:rsidR="004A6064" w:rsidRDefault="004A6064" w:rsidP="00A87B95">
      <w:r>
        <w:t xml:space="preserve">IHACPA has addressed this in two stages. Firstly, each index series is re-referenced to the latest </w:t>
      </w:r>
      <w:r w:rsidR="009141C9">
        <w:t>available</w:t>
      </w:r>
      <w:r>
        <w:t xml:space="preserve"> quarter.</w:t>
      </w:r>
      <w:r w:rsidR="00975C70">
        <w:t xml:space="preserve"> Then the re-referenced indexes series are weighted and combined.</w:t>
      </w:r>
    </w:p>
    <w:p w14:paraId="3AE7082D" w14:textId="5E6815C0" w:rsidR="00937480" w:rsidRPr="002A1D26" w:rsidRDefault="00937480" w:rsidP="00937480">
      <w:pPr>
        <w:pStyle w:val="Heading4"/>
      </w:pPr>
      <w:r w:rsidRPr="002A1D26">
        <w:t>Example of re-referencing index</w:t>
      </w:r>
    </w:p>
    <w:p w14:paraId="3BBB97B2" w14:textId="3C607262" w:rsidR="00937480" w:rsidRPr="002A1D26" w:rsidRDefault="008C5E6E">
      <w:r w:rsidRPr="002A1D26">
        <w:t>For example,</w:t>
      </w:r>
      <w:r>
        <w:t xml:space="preserve"> the index series </w:t>
      </w:r>
      <w:r w:rsidRPr="008C5E6E">
        <w:t>A3604438R</w:t>
      </w:r>
      <w:r w:rsidR="00F01022">
        <w:t xml:space="preserve"> (</w:t>
      </w:r>
      <w:r w:rsidR="0FAB1433">
        <w:t>Medical products, appliances and equipment; Australia</w:t>
      </w:r>
      <w:r w:rsidR="006B6F10">
        <w:t>)</w:t>
      </w:r>
      <w:r>
        <w:t xml:space="preserve"> used for resident non-labour expenses </w:t>
      </w:r>
      <w:r w:rsidR="00A7646E">
        <w:t xml:space="preserve">has </w:t>
      </w:r>
      <w:r w:rsidR="009141C9">
        <w:t xml:space="preserve">a </w:t>
      </w:r>
      <w:r w:rsidR="00A7646E">
        <w:t xml:space="preserve">value </w:t>
      </w:r>
      <w:r w:rsidR="009141C9">
        <w:t>of</w:t>
      </w:r>
      <w:r w:rsidR="00A7646E">
        <w:t xml:space="preserve"> 10</w:t>
      </w:r>
      <w:r w:rsidR="4B5F8DD6">
        <w:t>5</w:t>
      </w:r>
      <w:r w:rsidR="00A7646E">
        <w:t>.</w:t>
      </w:r>
      <w:r w:rsidR="4A41F36A">
        <w:t>0</w:t>
      </w:r>
      <w:r w:rsidR="00A7646E">
        <w:t xml:space="preserve"> in </w:t>
      </w:r>
      <w:r w:rsidR="782A4E00">
        <w:t xml:space="preserve">December </w:t>
      </w:r>
      <w:r w:rsidR="00A7646E">
        <w:t>2021, and 107.</w:t>
      </w:r>
      <w:r w:rsidR="1E639E2E">
        <w:t>4</w:t>
      </w:r>
      <w:r w:rsidR="00A7646E">
        <w:t xml:space="preserve"> in </w:t>
      </w:r>
      <w:r w:rsidR="61D52E33">
        <w:t xml:space="preserve">December </w:t>
      </w:r>
      <w:r w:rsidR="00A7646E">
        <w:t>2022,</w:t>
      </w:r>
      <w:r w:rsidR="00A101E4">
        <w:t xml:space="preserve"> giving a growth of </w:t>
      </w:r>
      <w:r w:rsidR="5F2448C5">
        <w:t>2</w:t>
      </w:r>
      <w:r w:rsidR="00A101E4">
        <w:t>.</w:t>
      </w:r>
      <w:r w:rsidR="3CE5F539">
        <w:t>3</w:t>
      </w:r>
      <w:r w:rsidR="00A101E4">
        <w:t xml:space="preserve"> per cent in that year. </w:t>
      </w:r>
      <w:r w:rsidR="0087775A">
        <w:t>To re</w:t>
      </w:r>
      <w:r w:rsidR="1C7512B4">
        <w:t>-</w:t>
      </w:r>
      <w:r w:rsidR="00A33E68">
        <w:t>referenc</w:t>
      </w:r>
      <w:r w:rsidR="0087775A">
        <w:t>e</w:t>
      </w:r>
      <w:r w:rsidR="00A33E68">
        <w:t xml:space="preserve"> this index to 100.0 in </w:t>
      </w:r>
      <w:r w:rsidR="583F24A6">
        <w:t xml:space="preserve">December </w:t>
      </w:r>
      <w:r w:rsidR="00A33E68">
        <w:t>2022</w:t>
      </w:r>
      <w:r w:rsidR="0087775A">
        <w:t xml:space="preserve">, all index numbers are divided by the </w:t>
      </w:r>
      <w:r w:rsidR="00834A07">
        <w:t xml:space="preserve">December </w:t>
      </w:r>
      <w:r w:rsidR="0087775A">
        <w:t>2022 number</w:t>
      </w:r>
      <w:r w:rsidR="006B11EF">
        <w:t xml:space="preserve"> and multiplied by 100</w:t>
      </w:r>
      <w:r w:rsidR="0087775A">
        <w:t>. Then</w:t>
      </w:r>
      <w:r w:rsidR="00FF30DD">
        <w:t xml:space="preserve"> the </w:t>
      </w:r>
      <w:r w:rsidR="006B11EF">
        <w:t xml:space="preserve">new </w:t>
      </w:r>
      <w:r w:rsidR="00834A07">
        <w:t xml:space="preserve">December </w:t>
      </w:r>
      <w:r w:rsidR="006B11EF">
        <w:t>2021 index number is 9</w:t>
      </w:r>
      <w:r w:rsidR="4F9A7700">
        <w:t>7</w:t>
      </w:r>
      <w:r w:rsidR="006B11EF">
        <w:t>.</w:t>
      </w:r>
      <w:r w:rsidR="6A2436CE">
        <w:t>8</w:t>
      </w:r>
      <w:r w:rsidR="006B11EF">
        <w:t xml:space="preserve">, and the new </w:t>
      </w:r>
      <w:r w:rsidR="68762605">
        <w:t xml:space="preserve">December </w:t>
      </w:r>
      <w:r w:rsidR="006B11EF">
        <w:t xml:space="preserve">2022 number is </w:t>
      </w:r>
      <w:r w:rsidR="00BC181F">
        <w:t xml:space="preserve">100.0. </w:t>
      </w:r>
      <w:r w:rsidR="001E2968">
        <w:t>The change between the two quarters is still 2</w:t>
      </w:r>
      <w:r w:rsidR="5796791D">
        <w:t>.3</w:t>
      </w:r>
      <w:r w:rsidR="001E2968">
        <w:t xml:space="preserve"> per cent.</w:t>
      </w:r>
    </w:p>
    <w:p w14:paraId="34FCB677" w14:textId="2CE9E50B" w:rsidR="0097731B" w:rsidRDefault="004A6064" w:rsidP="005160AB">
      <w:r>
        <w:t>Then, each of the re-referenced index</w:t>
      </w:r>
      <w:r w:rsidR="005160AB">
        <w:t xml:space="preserve"> series</w:t>
      </w:r>
      <w:r>
        <w:t xml:space="preserve"> are </w:t>
      </w:r>
      <w:r w:rsidR="005A3292">
        <w:t xml:space="preserve">weighted according to </w:t>
      </w:r>
      <w:r w:rsidR="00392384">
        <w:t xml:space="preserve">the </w:t>
      </w:r>
      <w:r w:rsidR="005A3292">
        <w:t xml:space="preserve">relative </w:t>
      </w:r>
      <w:r w:rsidR="00B52CCA">
        <w:t xml:space="preserve">cost </w:t>
      </w:r>
      <w:r w:rsidR="00392384">
        <w:t>in each group</w:t>
      </w:r>
      <w:r w:rsidR="005160AB">
        <w:t xml:space="preserve">, </w:t>
      </w:r>
      <w:r w:rsidR="005A3292">
        <w:t xml:space="preserve">calculated using the trimmed, adjusted </w:t>
      </w:r>
      <w:r w:rsidR="00EB0933">
        <w:t>ACFR 2020-21</w:t>
      </w:r>
      <w:r w:rsidR="005A3292">
        <w:t>.</w:t>
      </w:r>
      <w:r w:rsidR="005160AB">
        <w:t xml:space="preserve"> </w:t>
      </w:r>
      <w:r w:rsidR="003A3644">
        <w:t xml:space="preserve">The costs </w:t>
      </w:r>
      <w:r w:rsidR="005160AB">
        <w:t>proportions for each group</w:t>
      </w:r>
      <w:r w:rsidR="003A3644">
        <w:t xml:space="preserve"> are summarised in </w:t>
      </w:r>
      <w:r w:rsidR="00046D28">
        <w:fldChar w:fldCharType="begin"/>
      </w:r>
      <w:r w:rsidR="00046D28">
        <w:instrText xml:space="preserve"> REF _Ref120619063 \h </w:instrText>
      </w:r>
      <w:r w:rsidR="00046D28">
        <w:fldChar w:fldCharType="separate"/>
      </w:r>
      <w:r w:rsidR="00B1072E">
        <w:t>Table </w:t>
      </w:r>
      <w:r w:rsidR="00B1072E">
        <w:rPr>
          <w:noProof/>
        </w:rPr>
        <w:t>10</w:t>
      </w:r>
      <w:r w:rsidR="00046D28">
        <w:fldChar w:fldCharType="end"/>
      </w:r>
      <w:r w:rsidR="003A3644">
        <w:t>.</w:t>
      </w:r>
    </w:p>
    <w:p w14:paraId="621DDFAB" w14:textId="53A566B3" w:rsidR="003A3644" w:rsidRDefault="00273B40" w:rsidP="003A3644">
      <w:pPr>
        <w:pStyle w:val="TableFigureheading"/>
      </w:pPr>
      <w:bookmarkStart w:id="51" w:name="_Ref120619063"/>
      <w:r>
        <w:t>Table </w:t>
      </w:r>
      <w:fldSimple w:instr=" SEQ Table \* ARABIC ">
        <w:r w:rsidR="00B1072E">
          <w:rPr>
            <w:noProof/>
          </w:rPr>
          <w:t>10</w:t>
        </w:r>
      </w:fldSimple>
      <w:bookmarkEnd w:id="51"/>
      <w:r w:rsidR="003A3644">
        <w:t xml:space="preserve">: Care cost proportions in the trimmed, adjusted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3834"/>
        <w:gridCol w:w="2957"/>
        <w:gridCol w:w="2955"/>
      </w:tblGrid>
      <w:tr w:rsidR="008961B3" w:rsidRPr="00733486" w14:paraId="0C1C4BBC" w14:textId="77777777" w:rsidTr="421DFE24">
        <w:trPr>
          <w:cnfStyle w:val="100000000000" w:firstRow="1" w:lastRow="0" w:firstColumn="0" w:lastColumn="0" w:oddVBand="0" w:evenVBand="0" w:oddHBand="0" w:evenHBand="0" w:firstRowFirstColumn="0" w:firstRowLastColumn="0" w:lastRowFirstColumn="0" w:lastRowLastColumn="0"/>
          <w:trHeight w:val="20"/>
        </w:trPr>
        <w:tc>
          <w:tcPr>
            <w:tcW w:w="1967" w:type="pct"/>
            <w:tcBorders>
              <w:right w:val="single" w:sz="4" w:space="0" w:color="FFFFFF" w:themeColor="accent6"/>
            </w:tcBorders>
            <w:shd w:val="clear" w:color="auto" w:fill="15272F" w:themeFill="accent1"/>
            <w:vAlign w:val="center"/>
          </w:tcPr>
          <w:p w14:paraId="63CB6E85" w14:textId="77777777" w:rsidR="008961B3" w:rsidRPr="00733486" w:rsidRDefault="008961B3" w:rsidP="00420A16">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1517" w:type="pct"/>
            <w:tcBorders>
              <w:left w:val="single" w:sz="4" w:space="0" w:color="FFFFFF" w:themeColor="accent6"/>
            </w:tcBorders>
            <w:shd w:val="clear" w:color="auto" w:fill="15272F" w:themeFill="accent1"/>
            <w:vAlign w:val="center"/>
          </w:tcPr>
          <w:p w14:paraId="0E5BD935" w14:textId="3F5D1F9C" w:rsidR="008961B3" w:rsidRPr="00733486" w:rsidRDefault="008961B3" w:rsidP="00420A16">
            <w:pPr>
              <w:keepNext/>
              <w:spacing w:before="120" w:after="120"/>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Pr>
                <w:rFonts w:cs="Arial"/>
                <w:b/>
                <w:bCs/>
                <w:color w:val="FFFFFF" w:themeColor="background2"/>
                <w:szCs w:val="18"/>
              </w:rPr>
              <w:t>)</w:t>
            </w:r>
          </w:p>
        </w:tc>
        <w:tc>
          <w:tcPr>
            <w:tcW w:w="1516" w:type="pct"/>
            <w:tcBorders>
              <w:left w:val="single" w:sz="4" w:space="0" w:color="FFFFFF" w:themeColor="accent6"/>
            </w:tcBorders>
            <w:shd w:val="clear" w:color="auto" w:fill="15272F" w:themeFill="accent1"/>
            <w:vAlign w:val="center"/>
          </w:tcPr>
          <w:p w14:paraId="74A88783" w14:textId="74FD2CAC" w:rsidR="008961B3" w:rsidRPr="00733486" w:rsidRDefault="008B61A2" w:rsidP="00420A16">
            <w:pPr>
              <w:keepNext/>
              <w:spacing w:before="120" w:after="120"/>
              <w:rPr>
                <w:rFonts w:cs="Arial"/>
                <w:b/>
                <w:bCs/>
                <w:color w:val="FFFFFF" w:themeColor="background2"/>
                <w:szCs w:val="18"/>
              </w:rPr>
            </w:pPr>
            <w:r>
              <w:rPr>
                <w:rFonts w:cs="Arial"/>
                <w:b/>
                <w:bCs/>
                <w:color w:val="FFFFFF" w:themeColor="background2"/>
                <w:szCs w:val="18"/>
              </w:rPr>
              <w:t>Proportion / weight</w:t>
            </w:r>
          </w:p>
        </w:tc>
      </w:tr>
      <w:tr w:rsidR="005C1045" w:rsidRPr="00294A1A" w14:paraId="7480887C"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3492194E" w14:textId="5B10F9BC" w:rsidR="005C1045" w:rsidRPr="00294A1A" w:rsidRDefault="005C1045" w:rsidP="005C1045">
            <w:pPr>
              <w:keepNext/>
              <w:spacing w:before="120" w:after="120"/>
              <w:rPr>
                <w:rFonts w:cs="Arial"/>
                <w:color w:val="000000"/>
                <w:sz w:val="16"/>
                <w:szCs w:val="16"/>
                <w:lang w:val="en-US"/>
              </w:rPr>
            </w:pPr>
            <w:r w:rsidRPr="0056704F">
              <w:rPr>
                <w:color w:val="auto"/>
                <w:sz w:val="16"/>
                <w:szCs w:val="16"/>
              </w:rPr>
              <w:t>Insurance expenses</w:t>
            </w:r>
          </w:p>
        </w:tc>
        <w:tc>
          <w:tcPr>
            <w:tcW w:w="0" w:type="pct"/>
            <w:tcBorders>
              <w:left w:val="single" w:sz="4" w:space="0" w:color="FFFFFF" w:themeColor="accent6"/>
            </w:tcBorders>
            <w:shd w:val="clear" w:color="auto" w:fill="F2F2F2" w:themeFill="accent6" w:themeFillShade="F2"/>
          </w:tcPr>
          <w:p w14:paraId="63E19B6B" w14:textId="35497CDC" w:rsidR="005C1045" w:rsidRPr="00263B20" w:rsidRDefault="005C1045" w:rsidP="005C1045">
            <w:pPr>
              <w:keepNext/>
              <w:spacing w:before="120" w:after="120"/>
              <w:jc w:val="right"/>
              <w:rPr>
                <w:rFonts w:cs="Arial"/>
                <w:color w:val="auto"/>
                <w:sz w:val="16"/>
                <w:szCs w:val="16"/>
              </w:rPr>
            </w:pPr>
            <w:r w:rsidRPr="00263B20">
              <w:rPr>
                <w:sz w:val="16"/>
                <w:szCs w:val="16"/>
              </w:rPr>
              <w:t>$110.0m</w:t>
            </w:r>
          </w:p>
        </w:tc>
        <w:tc>
          <w:tcPr>
            <w:tcW w:w="0" w:type="pct"/>
            <w:tcBorders>
              <w:left w:val="single" w:sz="4" w:space="0" w:color="FFFFFF" w:themeColor="accent6"/>
            </w:tcBorders>
            <w:shd w:val="clear" w:color="auto" w:fill="F2F2F2" w:themeFill="accent6" w:themeFillShade="F2"/>
          </w:tcPr>
          <w:p w14:paraId="61143D82" w14:textId="5F47DC69" w:rsidR="005C1045" w:rsidRPr="00263B20" w:rsidRDefault="005C1045" w:rsidP="005C1045">
            <w:pPr>
              <w:keepNext/>
              <w:spacing w:before="120" w:after="120"/>
              <w:jc w:val="right"/>
              <w:rPr>
                <w:rFonts w:cs="Arial"/>
                <w:color w:val="auto"/>
                <w:sz w:val="16"/>
                <w:szCs w:val="16"/>
              </w:rPr>
            </w:pPr>
            <w:r w:rsidRPr="00263B20">
              <w:rPr>
                <w:sz w:val="16"/>
                <w:szCs w:val="16"/>
              </w:rPr>
              <w:t xml:space="preserve">12.83% </w:t>
            </w:r>
          </w:p>
        </w:tc>
      </w:tr>
      <w:tr w:rsidR="005C1045" w:rsidRPr="00294A1A" w14:paraId="6AD9D66F"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657A6B3D" w14:textId="71FAEB16" w:rsidR="005C1045" w:rsidRPr="00294A1A" w:rsidRDefault="005C1045" w:rsidP="005C1045">
            <w:pPr>
              <w:keepNext/>
              <w:spacing w:before="120" w:after="120"/>
              <w:rPr>
                <w:rFonts w:cs="Arial"/>
                <w:color w:val="000000"/>
                <w:sz w:val="16"/>
                <w:szCs w:val="16"/>
                <w:lang w:val="en-US"/>
              </w:rPr>
            </w:pPr>
            <w:r w:rsidRPr="00294A1A">
              <w:rPr>
                <w:rFonts w:cs="Arial"/>
                <w:color w:val="000000"/>
                <w:sz w:val="16"/>
                <w:szCs w:val="16"/>
                <w:lang w:val="en-US"/>
              </w:rPr>
              <w:t>Resident non-labour expenses</w:t>
            </w:r>
          </w:p>
        </w:tc>
        <w:tc>
          <w:tcPr>
            <w:tcW w:w="0" w:type="pct"/>
            <w:tcBorders>
              <w:left w:val="single" w:sz="4" w:space="0" w:color="FFFFFF" w:themeColor="accent6"/>
            </w:tcBorders>
            <w:shd w:val="clear" w:color="auto" w:fill="F2F2F2" w:themeFill="accent6" w:themeFillShade="F2"/>
          </w:tcPr>
          <w:p w14:paraId="2470F966" w14:textId="42199D09" w:rsidR="005C1045" w:rsidRPr="00263B20" w:rsidRDefault="005C1045" w:rsidP="005C1045">
            <w:pPr>
              <w:keepNext/>
              <w:spacing w:before="120" w:after="120"/>
              <w:jc w:val="right"/>
              <w:rPr>
                <w:rFonts w:cs="Arial"/>
                <w:color w:val="auto"/>
                <w:sz w:val="16"/>
                <w:szCs w:val="16"/>
              </w:rPr>
            </w:pPr>
            <w:r w:rsidRPr="00263B20">
              <w:rPr>
                <w:sz w:val="16"/>
                <w:szCs w:val="16"/>
              </w:rPr>
              <w:t>$223.0m</w:t>
            </w:r>
          </w:p>
        </w:tc>
        <w:tc>
          <w:tcPr>
            <w:tcW w:w="0" w:type="pct"/>
            <w:tcBorders>
              <w:left w:val="single" w:sz="4" w:space="0" w:color="FFFFFF" w:themeColor="accent6"/>
            </w:tcBorders>
            <w:shd w:val="clear" w:color="auto" w:fill="F2F2F2" w:themeFill="accent6" w:themeFillShade="F2"/>
          </w:tcPr>
          <w:p w14:paraId="1D1C89A9" w14:textId="6BAA276D" w:rsidR="005C1045" w:rsidRPr="00263B20" w:rsidRDefault="005C1045" w:rsidP="005C1045">
            <w:pPr>
              <w:keepNext/>
              <w:spacing w:before="120" w:after="120"/>
              <w:jc w:val="right"/>
              <w:rPr>
                <w:rFonts w:cs="Arial"/>
                <w:color w:val="auto"/>
                <w:sz w:val="16"/>
                <w:szCs w:val="16"/>
              </w:rPr>
            </w:pPr>
            <w:r w:rsidRPr="00263B20">
              <w:rPr>
                <w:sz w:val="16"/>
                <w:szCs w:val="16"/>
              </w:rPr>
              <w:t xml:space="preserve">26.01% </w:t>
            </w:r>
          </w:p>
        </w:tc>
      </w:tr>
      <w:tr w:rsidR="005C1045" w:rsidRPr="00294A1A" w14:paraId="3C1406F8"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0200F10A" w14:textId="43BF1354" w:rsidR="005C1045" w:rsidRPr="00294A1A" w:rsidRDefault="005C1045" w:rsidP="005C1045">
            <w:pPr>
              <w:keepNext/>
              <w:spacing w:before="120" w:after="120"/>
              <w:rPr>
                <w:rFonts w:cs="Arial"/>
                <w:color w:val="000000"/>
                <w:sz w:val="16"/>
                <w:szCs w:val="16"/>
                <w:lang w:val="en-US"/>
              </w:rPr>
            </w:pPr>
            <w:r w:rsidRPr="00294A1A">
              <w:rPr>
                <w:rFonts w:cs="Arial"/>
                <w:color w:val="000000"/>
                <w:sz w:val="16"/>
                <w:szCs w:val="16"/>
                <w:lang w:val="en-US"/>
              </w:rPr>
              <w:t>Other direct care expenses</w:t>
            </w:r>
          </w:p>
        </w:tc>
        <w:tc>
          <w:tcPr>
            <w:tcW w:w="0" w:type="pct"/>
            <w:tcBorders>
              <w:left w:val="single" w:sz="4" w:space="0" w:color="FFFFFF" w:themeColor="accent6"/>
            </w:tcBorders>
            <w:shd w:val="clear" w:color="auto" w:fill="F2F2F2" w:themeFill="accent6" w:themeFillShade="F2"/>
          </w:tcPr>
          <w:p w14:paraId="792BC700" w14:textId="77F0FCD8" w:rsidR="005C1045" w:rsidRPr="00263B20" w:rsidRDefault="005C1045" w:rsidP="005C1045">
            <w:pPr>
              <w:keepNext/>
              <w:spacing w:before="120" w:after="120"/>
              <w:jc w:val="right"/>
              <w:rPr>
                <w:rFonts w:cs="Arial"/>
                <w:color w:val="auto"/>
                <w:sz w:val="16"/>
                <w:szCs w:val="16"/>
              </w:rPr>
            </w:pPr>
            <w:r w:rsidRPr="00263B20">
              <w:rPr>
                <w:sz w:val="16"/>
                <w:szCs w:val="16"/>
              </w:rPr>
              <w:t>$524.3m</w:t>
            </w:r>
          </w:p>
        </w:tc>
        <w:tc>
          <w:tcPr>
            <w:tcW w:w="0" w:type="pct"/>
            <w:tcBorders>
              <w:left w:val="single" w:sz="4" w:space="0" w:color="FFFFFF" w:themeColor="accent6"/>
            </w:tcBorders>
            <w:shd w:val="clear" w:color="auto" w:fill="F2F2F2" w:themeFill="accent6" w:themeFillShade="F2"/>
          </w:tcPr>
          <w:p w14:paraId="1F7E37F3" w14:textId="50EBB966" w:rsidR="005C1045" w:rsidRPr="00263B20" w:rsidRDefault="005C1045" w:rsidP="005C1045">
            <w:pPr>
              <w:keepNext/>
              <w:spacing w:before="120" w:after="120"/>
              <w:jc w:val="right"/>
              <w:rPr>
                <w:rFonts w:cs="Arial"/>
                <w:color w:val="auto"/>
                <w:sz w:val="16"/>
                <w:szCs w:val="16"/>
              </w:rPr>
            </w:pPr>
            <w:r w:rsidRPr="00263B20">
              <w:rPr>
                <w:sz w:val="16"/>
                <w:szCs w:val="16"/>
              </w:rPr>
              <w:t xml:space="preserve">61.16% </w:t>
            </w:r>
          </w:p>
        </w:tc>
      </w:tr>
      <w:tr w:rsidR="005C1045" w:rsidRPr="00294A1A" w14:paraId="16663096"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3A2FB755" w14:textId="77777777" w:rsidR="005C1045" w:rsidRPr="00294A1A" w:rsidRDefault="005C1045" w:rsidP="005C1045">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left w:val="single" w:sz="4" w:space="0" w:color="FFFFFF" w:themeColor="accent6"/>
            </w:tcBorders>
            <w:shd w:val="clear" w:color="auto" w:fill="DFEBF1" w:themeFill="accent1" w:themeFillTint="1A"/>
          </w:tcPr>
          <w:p w14:paraId="53991C35" w14:textId="0B3E41BF" w:rsidR="005C1045" w:rsidRPr="005C1045" w:rsidRDefault="005C1045" w:rsidP="005C1045">
            <w:pPr>
              <w:keepNext/>
              <w:spacing w:before="120" w:after="120"/>
              <w:jc w:val="right"/>
              <w:rPr>
                <w:rFonts w:cs="Arial"/>
                <w:b/>
                <w:color w:val="1C1C1C"/>
                <w:sz w:val="16"/>
                <w:szCs w:val="16"/>
              </w:rPr>
            </w:pPr>
            <w:r w:rsidRPr="00263B20">
              <w:rPr>
                <w:b/>
                <w:bCs/>
                <w:sz w:val="16"/>
                <w:szCs w:val="16"/>
              </w:rPr>
              <w:t>$857.2m</w:t>
            </w:r>
          </w:p>
        </w:tc>
        <w:tc>
          <w:tcPr>
            <w:tcW w:w="0" w:type="pct"/>
            <w:tcBorders>
              <w:left w:val="single" w:sz="4" w:space="0" w:color="FFFFFF" w:themeColor="accent6"/>
            </w:tcBorders>
            <w:shd w:val="clear" w:color="auto" w:fill="DFEBF1" w:themeFill="accent1" w:themeFillTint="1A"/>
          </w:tcPr>
          <w:p w14:paraId="33DBFF69" w14:textId="6E6D018B" w:rsidR="005C1045" w:rsidRPr="005C1045" w:rsidRDefault="005C1045" w:rsidP="005C1045">
            <w:pPr>
              <w:keepNext/>
              <w:spacing w:before="120" w:after="120"/>
              <w:jc w:val="right"/>
              <w:rPr>
                <w:rFonts w:cs="Arial"/>
                <w:b/>
                <w:color w:val="1C1C1C"/>
                <w:sz w:val="16"/>
                <w:szCs w:val="16"/>
              </w:rPr>
            </w:pPr>
            <w:r w:rsidRPr="00263B20">
              <w:rPr>
                <w:b/>
                <w:bCs/>
                <w:sz w:val="16"/>
                <w:szCs w:val="16"/>
              </w:rPr>
              <w:t xml:space="preserve">100.00% </w:t>
            </w:r>
          </w:p>
        </w:tc>
      </w:tr>
    </w:tbl>
    <w:p w14:paraId="69629593" w14:textId="77777777" w:rsidR="00F43522" w:rsidRPr="00BB5A75" w:rsidRDefault="00F43522" w:rsidP="00F43522">
      <w:pPr>
        <w:rPr>
          <w:sz w:val="18"/>
          <w:szCs w:val="18"/>
        </w:rPr>
      </w:pPr>
      <w:r w:rsidRPr="00BB5A75">
        <w:rPr>
          <w:sz w:val="18"/>
          <w:szCs w:val="18"/>
        </w:rPr>
        <w:t>*Components may not add to total due to rounding</w:t>
      </w:r>
    </w:p>
    <w:p w14:paraId="4CCB4B68" w14:textId="2D26C7DC" w:rsidR="00963EC4" w:rsidRDefault="00963EC4" w:rsidP="00963EC4">
      <w:pPr>
        <w:spacing w:line="259" w:lineRule="auto"/>
      </w:pPr>
      <w:r w:rsidRPr="00263B20">
        <w:rPr>
          <w:color w:val="auto"/>
        </w:rPr>
        <w:t xml:space="preserve">In the ACFR, </w:t>
      </w:r>
      <w:r w:rsidR="0055338F">
        <w:rPr>
          <w:color w:val="auto"/>
        </w:rPr>
        <w:t xml:space="preserve">insurance </w:t>
      </w:r>
      <w:r w:rsidRPr="00263B20">
        <w:rPr>
          <w:color w:val="auto"/>
        </w:rPr>
        <w:t xml:space="preserve">expenses account for approximately </w:t>
      </w:r>
      <w:r w:rsidR="0055338F">
        <w:rPr>
          <w:color w:val="auto"/>
        </w:rPr>
        <w:t>12</w:t>
      </w:r>
      <w:r w:rsidRPr="00263B20">
        <w:rPr>
          <w:color w:val="auto"/>
        </w:rPr>
        <w:t>.</w:t>
      </w:r>
      <w:r w:rsidR="0055338F">
        <w:rPr>
          <w:color w:val="auto"/>
        </w:rPr>
        <w:t>8</w:t>
      </w:r>
      <w:r w:rsidRPr="00263B20">
        <w:rPr>
          <w:color w:val="auto"/>
        </w:rPr>
        <w:t xml:space="preserve"> per cent of non-labour direct care costs, </w:t>
      </w:r>
      <w:r w:rsidR="0055338F">
        <w:rPr>
          <w:color w:val="auto"/>
        </w:rPr>
        <w:t xml:space="preserve">resident </w:t>
      </w:r>
      <w:r w:rsidR="008842B6" w:rsidRPr="00263B20">
        <w:rPr>
          <w:color w:val="auto"/>
        </w:rPr>
        <w:t>expenses account for approximately 2</w:t>
      </w:r>
      <w:r w:rsidR="0055338F">
        <w:rPr>
          <w:color w:val="auto"/>
        </w:rPr>
        <w:t>6</w:t>
      </w:r>
      <w:r w:rsidR="008842B6" w:rsidRPr="00263B20">
        <w:rPr>
          <w:color w:val="auto"/>
        </w:rPr>
        <w:t>.</w:t>
      </w:r>
      <w:r w:rsidR="0055338F">
        <w:rPr>
          <w:color w:val="auto"/>
        </w:rPr>
        <w:t>01</w:t>
      </w:r>
      <w:r w:rsidR="008842B6" w:rsidRPr="00263B20">
        <w:rPr>
          <w:color w:val="auto"/>
        </w:rPr>
        <w:t xml:space="preserve"> per cent of non-labour direct care, </w:t>
      </w:r>
      <w:r w:rsidRPr="00263B20">
        <w:rPr>
          <w:color w:val="auto"/>
        </w:rPr>
        <w:t>and other direct care expenses</w:t>
      </w:r>
      <w:r w:rsidR="0055338F">
        <w:rPr>
          <w:color w:val="auto"/>
        </w:rPr>
        <w:t xml:space="preserve"> (including administration)</w:t>
      </w:r>
      <w:r w:rsidRPr="00263B20">
        <w:rPr>
          <w:color w:val="auto"/>
        </w:rPr>
        <w:t xml:space="preserve"> account for approximately </w:t>
      </w:r>
      <w:r w:rsidR="0055338F">
        <w:rPr>
          <w:color w:val="auto"/>
        </w:rPr>
        <w:t>61</w:t>
      </w:r>
      <w:r w:rsidR="1E1133BD" w:rsidRPr="00AD4F54">
        <w:rPr>
          <w:color w:val="auto"/>
        </w:rPr>
        <w:t>.1</w:t>
      </w:r>
      <w:r w:rsidR="0055338F">
        <w:rPr>
          <w:color w:val="auto"/>
        </w:rPr>
        <w:t>6</w:t>
      </w:r>
      <w:r w:rsidRPr="00263B20">
        <w:rPr>
          <w:color w:val="auto"/>
        </w:rPr>
        <w:t xml:space="preserve"> per cent.</w:t>
      </w:r>
      <w:r w:rsidR="00351477" w:rsidRPr="00263B20">
        <w:rPr>
          <w:color w:val="auto"/>
        </w:rPr>
        <w:t xml:space="preserve"> The weights </w:t>
      </w:r>
      <w:r w:rsidR="009A6344" w:rsidRPr="00263B20">
        <w:rPr>
          <w:color w:val="auto"/>
        </w:rPr>
        <w:t xml:space="preserve">shown in </w:t>
      </w:r>
      <w:r w:rsidR="008B61A2" w:rsidRPr="00AD4F54">
        <w:rPr>
          <w:color w:val="auto"/>
        </w:rPr>
        <w:fldChar w:fldCharType="begin"/>
      </w:r>
      <w:r w:rsidR="008B61A2" w:rsidRPr="00AD4F54">
        <w:rPr>
          <w:color w:val="auto"/>
        </w:rPr>
        <w:instrText xml:space="preserve"> REF _Ref120619063 \h </w:instrText>
      </w:r>
      <w:r w:rsidR="008B61A2" w:rsidRPr="00AD4F54">
        <w:rPr>
          <w:color w:val="auto"/>
        </w:rPr>
      </w:r>
      <w:r w:rsidR="008B61A2" w:rsidRPr="00AD4F54">
        <w:rPr>
          <w:color w:val="auto"/>
        </w:rPr>
        <w:fldChar w:fldCharType="separate"/>
      </w:r>
      <w:r w:rsidR="00B1072E">
        <w:t>Table </w:t>
      </w:r>
      <w:r w:rsidR="00B1072E">
        <w:rPr>
          <w:noProof/>
        </w:rPr>
        <w:t>10</w:t>
      </w:r>
      <w:r w:rsidR="008B61A2" w:rsidRPr="00AD4F54">
        <w:rPr>
          <w:color w:val="auto"/>
        </w:rPr>
        <w:fldChar w:fldCharType="end"/>
      </w:r>
      <w:r w:rsidR="008B61A2" w:rsidRPr="00263B20">
        <w:rPr>
          <w:color w:val="auto"/>
        </w:rPr>
        <w:t xml:space="preserve"> </w:t>
      </w:r>
      <w:r w:rsidR="00351477" w:rsidRPr="00263B20">
        <w:rPr>
          <w:color w:val="auto"/>
        </w:rPr>
        <w:t xml:space="preserve">are used to combine the re-referenced index series, </w:t>
      </w:r>
      <w:r w:rsidR="00575B7A" w:rsidRPr="00263B20">
        <w:rPr>
          <w:color w:val="auto"/>
        </w:rPr>
        <w:t xml:space="preserve">resulting in </w:t>
      </w:r>
      <w:r w:rsidR="00351477" w:rsidRPr="00263B20">
        <w:rPr>
          <w:color w:val="auto"/>
        </w:rPr>
        <w:t xml:space="preserve">a composite index </w:t>
      </w:r>
      <w:r w:rsidR="00575B7A" w:rsidRPr="00263B20">
        <w:rPr>
          <w:color w:val="auto"/>
        </w:rPr>
        <w:t xml:space="preserve">series </w:t>
      </w:r>
      <w:r w:rsidR="00351477" w:rsidRPr="00263B20">
        <w:rPr>
          <w:color w:val="auto"/>
        </w:rPr>
        <w:t>for non-labour direct care costs.</w:t>
      </w:r>
      <w:r w:rsidR="00361CC1" w:rsidRPr="00263B20">
        <w:rPr>
          <w:color w:val="auto"/>
        </w:rPr>
        <w:t xml:space="preserve"> </w:t>
      </w:r>
      <w:r w:rsidR="00361CC1">
        <w:t xml:space="preserve">The </w:t>
      </w:r>
      <w:r w:rsidR="001C2F38">
        <w:t>re-referencing and weighting of the non-labour direct care index series used are given in</w:t>
      </w:r>
      <w:r w:rsidR="00393F37">
        <w:t xml:space="preserve"> </w:t>
      </w:r>
      <w:r w:rsidR="00393F37">
        <w:fldChar w:fldCharType="begin"/>
      </w:r>
      <w:r w:rsidR="00393F37">
        <w:instrText xml:space="preserve"> REF _Ref128044581 \r \h </w:instrText>
      </w:r>
      <w:r w:rsidR="00393F37">
        <w:fldChar w:fldCharType="separate"/>
      </w:r>
      <w:r w:rsidR="00B1072E">
        <w:t>Appendix A</w:t>
      </w:r>
      <w:r w:rsidR="00393F37">
        <w:fldChar w:fldCharType="end"/>
      </w:r>
      <w:r w:rsidR="00E044AA">
        <w:t>.</w:t>
      </w:r>
    </w:p>
    <w:p w14:paraId="042498C5" w14:textId="3DF27354" w:rsidR="00963EC4" w:rsidRPr="00785E43" w:rsidRDefault="00963EC4" w:rsidP="00963EC4">
      <w:pPr>
        <w:spacing w:line="259" w:lineRule="auto"/>
      </w:pPr>
      <w:r w:rsidRPr="00785E43">
        <w:t xml:space="preserve">Using the same method </w:t>
      </w:r>
      <w:r w:rsidR="000B4AB7">
        <w:t xml:space="preserve">described for </w:t>
      </w:r>
      <w:r w:rsidRPr="00785E43">
        <w:t xml:space="preserve">the </w:t>
      </w:r>
      <w:r w:rsidR="000B4AB7">
        <w:t xml:space="preserve">labour cost indexation </w:t>
      </w:r>
      <w:r w:rsidRPr="00785E43">
        <w:t xml:space="preserve">above, IHACPA has fit an exponential growth curve to </w:t>
      </w:r>
      <w:r w:rsidR="000B4AB7">
        <w:t xml:space="preserve">the </w:t>
      </w:r>
      <w:r w:rsidRPr="00785E43">
        <w:t>non-labour direct care index</w:t>
      </w:r>
      <w:r w:rsidR="000B4AB7">
        <w:t xml:space="preserve"> series</w:t>
      </w:r>
      <w:r w:rsidRPr="00785E43">
        <w:t xml:space="preserve"> to measure average annual growth. The non-labour direct</w:t>
      </w:r>
      <w:r w:rsidR="000B4AB7">
        <w:t xml:space="preserve"> care</w:t>
      </w:r>
      <w:r w:rsidRPr="00785E43">
        <w:t xml:space="preserve"> </w:t>
      </w:r>
      <w:r w:rsidR="00D30133">
        <w:t xml:space="preserve">cost </w:t>
      </w:r>
      <w:r w:rsidRPr="00785E43">
        <w:t xml:space="preserve">index </w:t>
      </w:r>
      <w:r w:rsidR="000B4AB7">
        <w:t xml:space="preserve">series </w:t>
      </w:r>
      <w:r w:rsidRPr="00785E43">
        <w:t xml:space="preserve">along with the </w:t>
      </w:r>
      <w:r w:rsidR="00EE4007">
        <w:t>three</w:t>
      </w:r>
      <w:r w:rsidR="00EE4007" w:rsidRPr="00785E43">
        <w:t xml:space="preserve"> </w:t>
      </w:r>
      <w:r w:rsidRPr="00785E43">
        <w:t>contributing CPI subgroups are shown in</w:t>
      </w:r>
      <w:r w:rsidR="00785E43">
        <w:t xml:space="preserve"> </w:t>
      </w:r>
      <w:r w:rsidR="00785E43">
        <w:fldChar w:fldCharType="begin"/>
      </w:r>
      <w:r w:rsidR="00785E43">
        <w:instrText xml:space="preserve"> REF _Ref120632138 \h </w:instrText>
      </w:r>
      <w:r w:rsidR="00785E43">
        <w:fldChar w:fldCharType="separate"/>
      </w:r>
      <w:r w:rsidR="00B1072E">
        <w:t>Figure </w:t>
      </w:r>
      <w:r w:rsidR="00B1072E">
        <w:rPr>
          <w:noProof/>
        </w:rPr>
        <w:t>2</w:t>
      </w:r>
      <w:r w:rsidR="00785E43">
        <w:fldChar w:fldCharType="end"/>
      </w:r>
      <w:r w:rsidRPr="00785E43">
        <w:t>.</w:t>
      </w:r>
    </w:p>
    <w:p w14:paraId="0B056954" w14:textId="44B9704B" w:rsidR="00963EC4" w:rsidRDefault="00273B40" w:rsidP="00785E43">
      <w:pPr>
        <w:pStyle w:val="TableFigureheading"/>
      </w:pPr>
      <w:bookmarkStart w:id="52" w:name="_Ref120632138"/>
      <w:r>
        <w:lastRenderedPageBreak/>
        <w:t>Figure </w:t>
      </w:r>
      <w:fldSimple w:instr=" SEQ Figure \* ARABIC ">
        <w:r w:rsidR="00B1072E">
          <w:rPr>
            <w:noProof/>
          </w:rPr>
          <w:t>2</w:t>
        </w:r>
      </w:fldSimple>
      <w:bookmarkEnd w:id="52"/>
      <w:r w:rsidR="00963EC4" w:rsidRPr="00785E43">
        <w:t xml:space="preserve">: Index </w:t>
      </w:r>
      <w:r w:rsidR="00785E43">
        <w:t xml:space="preserve">series </w:t>
      </w:r>
      <w:r w:rsidR="00963EC4" w:rsidRPr="00785E43">
        <w:t xml:space="preserve">used </w:t>
      </w:r>
      <w:r w:rsidR="00785E43">
        <w:t xml:space="preserve">for </w:t>
      </w:r>
      <w:r w:rsidR="00963EC4" w:rsidRPr="00785E43">
        <w:t>non-labour direct care cost growth</w:t>
      </w:r>
    </w:p>
    <w:p w14:paraId="69A671FC" w14:textId="2E4FBD31" w:rsidR="00963EC4" w:rsidRPr="003115F1" w:rsidRDefault="000A0811" w:rsidP="002C5C04">
      <w:pPr>
        <w:rPr>
          <w:highlight w:val="yellow"/>
        </w:rPr>
      </w:pPr>
      <w:r w:rsidRPr="000A0811">
        <w:rPr>
          <w:noProof/>
        </w:rPr>
        <w:t xml:space="preserve"> </w:t>
      </w:r>
      <w:r w:rsidRPr="000A0811">
        <w:rPr>
          <w:noProof/>
        </w:rPr>
        <w:drawing>
          <wp:inline distT="0" distB="0" distL="0" distR="0" wp14:anchorId="0C102750" wp14:editId="62C0DC83">
            <wp:extent cx="5182323" cy="3581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82323" cy="3581900"/>
                    </a:xfrm>
                    <a:prstGeom prst="rect">
                      <a:avLst/>
                    </a:prstGeom>
                  </pic:spPr>
                </pic:pic>
              </a:graphicData>
            </a:graphic>
          </wp:inline>
        </w:drawing>
      </w:r>
    </w:p>
    <w:p w14:paraId="316FD2C6" w14:textId="152C8636" w:rsidR="00963EC4" w:rsidRPr="003115F1" w:rsidRDefault="00963EC4" w:rsidP="00963EC4">
      <w:pPr>
        <w:spacing w:line="259" w:lineRule="auto"/>
        <w:rPr>
          <w:highlight w:val="yellow"/>
        </w:rPr>
      </w:pPr>
    </w:p>
    <w:p w14:paraId="29F5C3EF" w14:textId="4B466E81" w:rsidR="00963EC4" w:rsidRPr="003A49D1" w:rsidRDefault="003A49D1" w:rsidP="00963EC4">
      <w:pPr>
        <w:spacing w:line="259" w:lineRule="auto"/>
      </w:pPr>
      <w:r>
        <w:fldChar w:fldCharType="begin"/>
      </w:r>
      <w:r>
        <w:instrText xml:space="preserve"> REF _Ref120632138 \h </w:instrText>
      </w:r>
      <w:r>
        <w:fldChar w:fldCharType="separate"/>
      </w:r>
      <w:r w:rsidR="00B1072E">
        <w:t>Figure </w:t>
      </w:r>
      <w:r w:rsidR="00B1072E">
        <w:rPr>
          <w:noProof/>
        </w:rPr>
        <w:t>2</w:t>
      </w:r>
      <w:r>
        <w:fldChar w:fldCharType="end"/>
      </w:r>
      <w:r>
        <w:t xml:space="preserve"> </w:t>
      </w:r>
      <w:r w:rsidR="00963EC4" w:rsidRPr="003A49D1">
        <w:t xml:space="preserve">shows a plot of the non-labour direct care index, together with the </w:t>
      </w:r>
      <w:r w:rsidR="006776CB" w:rsidRPr="00263B20">
        <w:rPr>
          <w:color w:val="auto"/>
        </w:rPr>
        <w:t>three</w:t>
      </w:r>
      <w:r w:rsidR="00963EC4" w:rsidRPr="00263B20">
        <w:rPr>
          <w:color w:val="auto"/>
        </w:rPr>
        <w:t xml:space="preserve"> </w:t>
      </w:r>
      <w:r w:rsidR="00963EC4" w:rsidRPr="003A49D1">
        <w:t>CPI sub-group indexes which were used to construct it. IHACPA notes the clear seasonality of the medical supplies index, which is driven by variation in consumer pharmacy costs, which, in turn, is likely to be driven by the effect of Pharmaceutical Benefits Scheme’s</w:t>
      </w:r>
      <w:r w:rsidR="00CE7823">
        <w:t xml:space="preserve"> Safety</w:t>
      </w:r>
      <w:r w:rsidR="00963EC4" w:rsidRPr="003A49D1">
        <w:t xml:space="preserve"> Net.</w:t>
      </w:r>
    </w:p>
    <w:p w14:paraId="546A5EAC" w14:textId="5CEE6437" w:rsidR="00963EC4" w:rsidRDefault="00963EC4" w:rsidP="00963EC4">
      <w:pPr>
        <w:spacing w:line="259" w:lineRule="auto"/>
      </w:pPr>
      <w:r w:rsidRPr="003A49D1">
        <w:t>The dotted line shows the exponential regression curve fit to the non-labour direct care index as a best estimate of average annual non-labour direct care cost over that period.</w:t>
      </w:r>
    </w:p>
    <w:p w14:paraId="2EF5FF61" w14:textId="77777777" w:rsidR="006F7BDA" w:rsidRDefault="006F7BDA" w:rsidP="006F7BDA">
      <w:pPr>
        <w:spacing w:line="259" w:lineRule="auto"/>
      </w:pPr>
      <w:r>
        <w:t>The resulting model is</w:t>
      </w:r>
    </w:p>
    <w:p w14:paraId="2E52FF2F" w14:textId="5889D99B" w:rsidR="006F7BDA" w:rsidRDefault="00F03EC5" w:rsidP="006F7BDA">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=98.0282×</m:t>
          </m:r>
          <m:sSup>
            <m:sSupPr>
              <m:ctrlPr>
                <w:rPr>
                  <w:rFonts w:ascii="Cambria Math" w:hAnsi="Cambria Math"/>
                  <w:i/>
                </w:rPr>
              </m:ctrlPr>
            </m:sSupPr>
            <m:e>
              <m:r>
                <w:rPr>
                  <w:rFonts w:ascii="Cambria Math" w:hAnsi="Cambria Math"/>
                </w:rPr>
                <m:t>1.0039</m:t>
              </m:r>
            </m:e>
            <m:sup>
              <m:r>
                <w:rPr>
                  <w:rFonts w:ascii="Cambria Math" w:hAnsi="Cambria Math"/>
                </w:rPr>
                <m:t>n</m:t>
              </m:r>
            </m:sup>
          </m:sSup>
          <m:r>
            <w:rPr>
              <w:rFonts w:ascii="Cambria Math" w:hAnsi="Cambria Math"/>
            </w:rPr>
            <m:t xml:space="preserve">. </m:t>
          </m:r>
        </m:oMath>
      </m:oMathPara>
    </w:p>
    <w:p w14:paraId="41148AD6" w14:textId="4ADCCEEA" w:rsidR="006F7BDA" w:rsidRDefault="006F7BDA" w:rsidP="006F7BDA">
      <w:pPr>
        <w:spacing w:line="259" w:lineRule="auto"/>
      </w:pPr>
      <w:r>
        <w:t xml:space="preserve">This model gives an annual </w:t>
      </w:r>
      <w:r w:rsidR="001F79B8">
        <w:t>non-labour direct care</w:t>
      </w:r>
      <w:r>
        <w:t xml:space="preserve"> cost indexation rate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Pr>
          <w:rFonts w:eastAsiaTheme="minorEastAsia"/>
        </w:rPr>
        <w:t xml:space="preserve"> </w:t>
      </w:r>
      <w:r>
        <w:t xml:space="preserve">of </w:t>
      </w:r>
    </w:p>
    <w:p w14:paraId="4C1F08A3" w14:textId="3B6DF3CA" w:rsidR="006F7BDA" w:rsidRDefault="00F03EC5" w:rsidP="006F7BDA">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1.0039</m:t>
              </m:r>
            </m:e>
            <m:sup>
              <m:r>
                <w:rPr>
                  <w:rFonts w:ascii="Cambria Math" w:hAnsi="Cambria Math"/>
                </w:rPr>
                <m:t>4</m:t>
              </m:r>
            </m:sup>
          </m:sSup>
          <m:r>
            <w:rPr>
              <w:rFonts w:ascii="Cambria Math" w:hAnsi="Cambria Math"/>
            </w:rPr>
            <m:t>=1.0158</m:t>
          </m:r>
        </m:oMath>
      </m:oMathPara>
    </w:p>
    <w:p w14:paraId="5D9B2756" w14:textId="042E561E" w:rsidR="006F7BDA" w:rsidRPr="00AB1226" w:rsidRDefault="007A582B" w:rsidP="006F7BDA">
      <w:r>
        <w:t xml:space="preserve">Note that this expression may not evaluate exactly as written due to rounding. </w:t>
      </w:r>
      <w:r w:rsidR="006F7BDA">
        <w:t xml:space="preserve">Therefore, the annualised growth rate used for inflation in </w:t>
      </w:r>
      <w:r w:rsidR="008868B1">
        <w:t>non-labour direct care</w:t>
      </w:r>
      <w:r w:rsidR="006F7BDA">
        <w:t xml:space="preserve"> costs is </w:t>
      </w:r>
      <w:r w:rsidR="008863FC" w:rsidRPr="00263B20">
        <w:rPr>
          <w:color w:val="auto"/>
        </w:rPr>
        <w:t>1</w:t>
      </w:r>
      <w:r w:rsidR="006F7BDA" w:rsidRPr="00263B20">
        <w:rPr>
          <w:color w:val="auto"/>
        </w:rPr>
        <w:t>.</w:t>
      </w:r>
      <w:r w:rsidR="00964F48" w:rsidRPr="00263B20">
        <w:rPr>
          <w:color w:val="auto"/>
        </w:rPr>
        <w:t>58</w:t>
      </w:r>
      <w:r w:rsidR="006F7BDA" w:rsidRPr="006776CB">
        <w:rPr>
          <w:color w:val="FF0000"/>
        </w:rPr>
        <w:t xml:space="preserve"> </w:t>
      </w:r>
      <w:r w:rsidR="006F7BDA">
        <w:t>per cent.</w:t>
      </w:r>
    </w:p>
    <w:p w14:paraId="0FBEC4D4" w14:textId="241EF623" w:rsidR="00963EC4" w:rsidRDefault="00963EC4" w:rsidP="00963EC4">
      <w:pPr>
        <w:spacing w:line="259" w:lineRule="auto"/>
      </w:pPr>
      <w:r w:rsidRPr="003A49D1">
        <w:t>This model gives an annual indexation rate of</w:t>
      </w:r>
      <w:r w:rsidR="006776CB">
        <w:t xml:space="preserve"> </w:t>
      </w:r>
      <w:r w:rsidR="006776CB" w:rsidRPr="00263B20">
        <w:rPr>
          <w:color w:val="auto"/>
        </w:rPr>
        <w:t>1.</w:t>
      </w:r>
      <w:r w:rsidR="00964F48" w:rsidRPr="00263B20">
        <w:rPr>
          <w:color w:val="auto"/>
        </w:rPr>
        <w:t>58</w:t>
      </w:r>
      <w:r w:rsidRPr="006776CB">
        <w:rPr>
          <w:color w:val="FF0000"/>
        </w:rPr>
        <w:t xml:space="preserve"> </w:t>
      </w:r>
      <w:r w:rsidRPr="003A49D1">
        <w:t>per cent for growth in non-labour direct care costs, which will be used to index the non-labour direct care component of the</w:t>
      </w:r>
      <w:r w:rsidR="00EE34A2">
        <w:t xml:space="preserve"> aged care price.</w:t>
      </w:r>
    </w:p>
    <w:p w14:paraId="2491B26A" w14:textId="3C5978A4" w:rsidR="00963EC4" w:rsidRPr="00EE34A2" w:rsidRDefault="00963EC4" w:rsidP="00963EC4">
      <w:pPr>
        <w:spacing w:line="259" w:lineRule="auto"/>
      </w:pPr>
      <w:r w:rsidRPr="00EE34A2">
        <w:t>As the Department</w:t>
      </w:r>
      <w:r w:rsidR="004D2F1B">
        <w:t xml:space="preserve"> of Health and Aged Care</w:t>
      </w:r>
      <w:r w:rsidRPr="00EE34A2">
        <w:t xml:space="preserve">’s </w:t>
      </w:r>
      <w:r w:rsidR="00673AD2">
        <w:t>price</w:t>
      </w:r>
      <w:r w:rsidR="00673AD2" w:rsidRPr="00EE34A2">
        <w:t xml:space="preserve"> </w:t>
      </w:r>
      <w:r w:rsidRPr="00EE34A2">
        <w:t xml:space="preserve">has been calculated to apply </w:t>
      </w:r>
      <w:r w:rsidR="00EE4007">
        <w:t>for the 2022-23 year</w:t>
      </w:r>
      <w:r w:rsidRPr="00EE34A2">
        <w:t xml:space="preserve">, and RACPA23 will apply from </w:t>
      </w:r>
      <w:r w:rsidR="00EE4007">
        <w:t>2023-24</w:t>
      </w:r>
      <w:r w:rsidRPr="00EE34A2">
        <w:t xml:space="preserve">, IHACPA has used these growth rates to index the relevant cost proportions </w:t>
      </w:r>
      <w:r w:rsidR="00EE4007">
        <w:t>for 12</w:t>
      </w:r>
      <w:r w:rsidRPr="00EE34A2">
        <w:t xml:space="preserve"> months.</w:t>
      </w:r>
    </w:p>
    <w:p w14:paraId="420B49B7" w14:textId="14533DC8" w:rsidR="00963EC4" w:rsidRPr="003115F1" w:rsidRDefault="00963EC4" w:rsidP="00963EC4">
      <w:pPr>
        <w:spacing w:line="259" w:lineRule="auto"/>
        <w:rPr>
          <w:highlight w:val="yellow"/>
        </w:rPr>
      </w:pPr>
      <w:r w:rsidRPr="00EE34A2">
        <w:t xml:space="preserve">The result of applying these indexation rates to relevant proportions of the </w:t>
      </w:r>
      <w:r w:rsidR="008B7341">
        <w:t>price</w:t>
      </w:r>
      <w:r w:rsidRPr="00EE34A2">
        <w:t xml:space="preserve"> is summarised in </w:t>
      </w:r>
      <w:r w:rsidR="006C6F62">
        <w:fldChar w:fldCharType="begin"/>
      </w:r>
      <w:r w:rsidR="006C6F62">
        <w:instrText xml:space="preserve"> REF _Ref120632650 \h </w:instrText>
      </w:r>
      <w:r w:rsidR="006C6F62">
        <w:fldChar w:fldCharType="separate"/>
      </w:r>
      <w:r w:rsidR="00B1072E">
        <w:t>Table </w:t>
      </w:r>
      <w:r w:rsidR="00B1072E">
        <w:rPr>
          <w:noProof/>
        </w:rPr>
        <w:t>11</w:t>
      </w:r>
      <w:r w:rsidR="006C6F62">
        <w:fldChar w:fldCharType="end"/>
      </w:r>
      <w:r w:rsidRPr="00EE34A2">
        <w:t>.</w:t>
      </w:r>
    </w:p>
    <w:p w14:paraId="4617D369" w14:textId="529460DE" w:rsidR="00963EC4" w:rsidRPr="00EE34A2" w:rsidRDefault="00273B40" w:rsidP="00EE34A2">
      <w:pPr>
        <w:pStyle w:val="TableFigureheading"/>
      </w:pPr>
      <w:bookmarkStart w:id="53" w:name="_Ref120632650"/>
      <w:r>
        <w:lastRenderedPageBreak/>
        <w:t>Table </w:t>
      </w:r>
      <w:fldSimple w:instr=" SEQ Table \* ARABIC ">
        <w:r w:rsidR="00B1072E">
          <w:rPr>
            <w:noProof/>
          </w:rPr>
          <w:t>11</w:t>
        </w:r>
      </w:fldSimple>
      <w:bookmarkEnd w:id="53"/>
      <w:r w:rsidR="00963EC4" w:rsidRPr="00EE34A2">
        <w:t>: Applying indexation to labour and non-labour components</w:t>
      </w:r>
    </w:p>
    <w:tbl>
      <w:tblPr>
        <w:tblStyle w:val="IHPATable"/>
        <w:tblW w:w="5000" w:type="pct"/>
        <w:tblLook w:val="0020" w:firstRow="1" w:lastRow="0" w:firstColumn="0" w:lastColumn="0" w:noHBand="0" w:noVBand="0"/>
        <w:tblCaption w:val="Table 10"/>
        <w:tblDescription w:val="Ongoing seconded employees 2021"/>
      </w:tblPr>
      <w:tblGrid>
        <w:gridCol w:w="2882"/>
        <w:gridCol w:w="2928"/>
        <w:gridCol w:w="1743"/>
        <w:gridCol w:w="2193"/>
      </w:tblGrid>
      <w:tr w:rsidR="00EE34A2" w:rsidRPr="00733486" w14:paraId="446034A5" w14:textId="77777777" w:rsidTr="00420A16">
        <w:trPr>
          <w:cnfStyle w:val="100000000000" w:firstRow="1" w:lastRow="0" w:firstColumn="0" w:lastColumn="0" w:oddVBand="0" w:evenVBand="0" w:oddHBand="0" w:evenHBand="0" w:firstRowFirstColumn="0" w:firstRowLastColumn="0" w:lastRowFirstColumn="0" w:lastRowLastColumn="0"/>
          <w:trHeight w:val="20"/>
        </w:trPr>
        <w:tc>
          <w:tcPr>
            <w:tcW w:w="1479" w:type="pct"/>
            <w:tcBorders>
              <w:right w:val="single" w:sz="4" w:space="0" w:color="FFFFFF" w:themeColor="background2"/>
            </w:tcBorders>
            <w:shd w:val="clear" w:color="auto" w:fill="15272F" w:themeFill="text1"/>
            <w:vAlign w:val="center"/>
          </w:tcPr>
          <w:p w14:paraId="621341CF" w14:textId="77777777" w:rsidR="00EE34A2" w:rsidRPr="00733486" w:rsidRDefault="00EE34A2" w:rsidP="00420A16">
            <w:pPr>
              <w:keepNext/>
              <w:spacing w:before="120" w:after="120"/>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1502" w:type="pct"/>
            <w:tcBorders>
              <w:right w:val="single" w:sz="4" w:space="0" w:color="FFFFFF" w:themeColor="background2"/>
            </w:tcBorders>
            <w:shd w:val="clear" w:color="auto" w:fill="15272F" w:themeFill="text1"/>
            <w:vAlign w:val="center"/>
          </w:tcPr>
          <w:p w14:paraId="17D09870" w14:textId="26886031" w:rsidR="00EE34A2" w:rsidRPr="00733486" w:rsidRDefault="00EE34A2" w:rsidP="00420A16">
            <w:pPr>
              <w:keepNext/>
              <w:spacing w:before="120" w:after="120"/>
              <w:rPr>
                <w:rFonts w:cs="Arial"/>
                <w:b/>
                <w:bCs/>
                <w:color w:val="FFFFFF" w:themeColor="background2"/>
                <w:szCs w:val="18"/>
              </w:rPr>
            </w:pPr>
            <w:r>
              <w:rPr>
                <w:rFonts w:cs="Arial"/>
                <w:b/>
                <w:bCs/>
                <w:color w:val="FFFFFF" w:themeColor="background2"/>
                <w:szCs w:val="18"/>
              </w:rPr>
              <w:t>F</w:t>
            </w:r>
            <w:r w:rsidR="006D1E79">
              <w:rPr>
                <w:rFonts w:cs="Arial"/>
                <w:b/>
                <w:bCs/>
                <w:color w:val="FFFFFF" w:themeColor="background2"/>
                <w:szCs w:val="18"/>
              </w:rPr>
              <w:t xml:space="preserve">air </w:t>
            </w:r>
            <w:r>
              <w:rPr>
                <w:rFonts w:cs="Arial"/>
                <w:b/>
                <w:bCs/>
                <w:color w:val="FFFFFF" w:themeColor="background2"/>
                <w:szCs w:val="18"/>
              </w:rPr>
              <w:t>W</w:t>
            </w:r>
            <w:r w:rsidR="006D1E79">
              <w:rPr>
                <w:rFonts w:cs="Arial"/>
                <w:b/>
                <w:bCs/>
                <w:color w:val="FFFFFF" w:themeColor="background2"/>
                <w:szCs w:val="18"/>
              </w:rPr>
              <w:t xml:space="preserve">ork </w:t>
            </w:r>
            <w:r>
              <w:rPr>
                <w:rFonts w:cs="Arial"/>
                <w:b/>
                <w:bCs/>
                <w:color w:val="FFFFFF" w:themeColor="background2"/>
                <w:szCs w:val="18"/>
              </w:rPr>
              <w:t>C</w:t>
            </w:r>
            <w:r w:rsidR="006D1E79">
              <w:rPr>
                <w:rFonts w:cs="Arial"/>
                <w:b/>
                <w:bCs/>
                <w:color w:val="FFFFFF" w:themeColor="background2"/>
                <w:szCs w:val="18"/>
              </w:rPr>
              <w:t>ommission</w:t>
            </w:r>
            <w:r>
              <w:rPr>
                <w:rFonts w:cs="Arial"/>
                <w:b/>
                <w:bCs/>
                <w:color w:val="FFFFFF" w:themeColor="background2"/>
                <w:szCs w:val="18"/>
              </w:rPr>
              <w:t xml:space="preserve"> interim decision and Superannuation Guarantee adjusted </w:t>
            </w:r>
            <w:r w:rsidRPr="00733486">
              <w:rPr>
                <w:rFonts w:cs="Arial"/>
                <w:b/>
                <w:bCs/>
                <w:color w:val="FFFFFF" w:themeColor="background2"/>
                <w:szCs w:val="18"/>
              </w:rPr>
              <w:t>price</w:t>
            </w:r>
            <w:r>
              <w:rPr>
                <w:rFonts w:cs="Arial"/>
                <w:b/>
                <w:bCs/>
                <w:color w:val="FFFFFF" w:themeColor="background2"/>
                <w:szCs w:val="18"/>
              </w:rPr>
              <w:t xml:space="preserve"> (2022-23 dollars)</w:t>
            </w:r>
          </w:p>
        </w:tc>
        <w:tc>
          <w:tcPr>
            <w:tcW w:w="894" w:type="pct"/>
            <w:tcBorders>
              <w:left w:val="single" w:sz="4" w:space="0" w:color="FFFFFF" w:themeColor="background2"/>
            </w:tcBorders>
            <w:shd w:val="clear" w:color="auto" w:fill="15272F" w:themeFill="text1"/>
            <w:vAlign w:val="center"/>
          </w:tcPr>
          <w:p w14:paraId="3874CC4A" w14:textId="63CE19C5" w:rsidR="00EE34A2" w:rsidRPr="00733486" w:rsidRDefault="00EE34A2" w:rsidP="00420A16">
            <w:pPr>
              <w:keepNext/>
              <w:spacing w:before="120" w:after="120"/>
              <w:rPr>
                <w:rFonts w:cs="Arial"/>
                <w:b/>
                <w:bCs/>
                <w:color w:val="FFFFFF" w:themeColor="background2"/>
                <w:szCs w:val="18"/>
              </w:rPr>
            </w:pPr>
            <w:r>
              <w:rPr>
                <w:rFonts w:cs="Arial"/>
                <w:b/>
                <w:bCs/>
                <w:color w:val="FFFFFF" w:themeColor="background2"/>
                <w:szCs w:val="18"/>
              </w:rPr>
              <w:t>Indexation</w:t>
            </w:r>
          </w:p>
        </w:tc>
        <w:tc>
          <w:tcPr>
            <w:tcW w:w="1125" w:type="pct"/>
            <w:tcBorders>
              <w:left w:val="single" w:sz="4" w:space="0" w:color="FFFFFF" w:themeColor="background2"/>
            </w:tcBorders>
            <w:shd w:val="clear" w:color="auto" w:fill="15272F" w:themeFill="text1"/>
            <w:vAlign w:val="center"/>
          </w:tcPr>
          <w:p w14:paraId="73CE1749" w14:textId="4267C45F" w:rsidR="00EE34A2" w:rsidRPr="00733486" w:rsidRDefault="00EE34A2" w:rsidP="00420A16">
            <w:pPr>
              <w:keepNext/>
              <w:spacing w:before="120" w:after="120"/>
              <w:rPr>
                <w:rFonts w:cs="Arial"/>
                <w:b/>
                <w:bCs/>
                <w:color w:val="FFFFFF" w:themeColor="background2"/>
                <w:szCs w:val="18"/>
              </w:rPr>
            </w:pPr>
            <w:r>
              <w:rPr>
                <w:rFonts w:cs="Arial"/>
                <w:b/>
                <w:bCs/>
                <w:color w:val="FFFFFF" w:themeColor="background2"/>
                <w:szCs w:val="18"/>
              </w:rPr>
              <w:t>Price after indexation (2023-24 dollars)</w:t>
            </w:r>
          </w:p>
        </w:tc>
      </w:tr>
      <w:tr w:rsidR="00FD05FF" w:rsidRPr="00294A1A" w14:paraId="7EEFAB4C"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vAlign w:val="center"/>
          </w:tcPr>
          <w:p w14:paraId="0D4CD0A6" w14:textId="77777777" w:rsidR="00FD05FF" w:rsidRPr="00294A1A" w:rsidRDefault="00FD05FF" w:rsidP="00FD05FF">
            <w:pPr>
              <w:keepNext/>
              <w:spacing w:before="120" w:after="120"/>
              <w:rPr>
                <w:rFonts w:cs="Arial"/>
                <w:color w:val="000000"/>
                <w:sz w:val="16"/>
                <w:szCs w:val="16"/>
                <w:lang w:val="en-US"/>
              </w:rPr>
            </w:pPr>
            <w:r w:rsidRPr="00294A1A">
              <w:rPr>
                <w:rFonts w:cs="Arial"/>
                <w:color w:val="000000"/>
                <w:sz w:val="16"/>
                <w:szCs w:val="16"/>
                <w:lang w:val="en-US"/>
              </w:rPr>
              <w:t>Labour costs (imputed)</w:t>
            </w:r>
          </w:p>
        </w:tc>
        <w:tc>
          <w:tcPr>
            <w:tcW w:w="0" w:type="pct"/>
            <w:tcBorders>
              <w:right w:val="single" w:sz="4" w:space="0" w:color="FFFFFF" w:themeColor="background2"/>
            </w:tcBorders>
            <w:shd w:val="clear" w:color="auto" w:fill="F2F2F2" w:themeFill="accent6" w:themeFillShade="F2"/>
            <w:vAlign w:val="center"/>
          </w:tcPr>
          <w:p w14:paraId="56ED2E6B" w14:textId="390EAE2E"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209.88</w:t>
            </w:r>
          </w:p>
        </w:tc>
        <w:tc>
          <w:tcPr>
            <w:tcW w:w="0" w:type="pct"/>
            <w:tcBorders>
              <w:left w:val="single" w:sz="4" w:space="0" w:color="FFFFFF" w:themeColor="background2"/>
            </w:tcBorders>
            <w:shd w:val="clear" w:color="auto" w:fill="F2F2F2" w:themeFill="accent6" w:themeFillShade="F2"/>
            <w:vAlign w:val="center"/>
          </w:tcPr>
          <w:p w14:paraId="641AAEF6" w14:textId="033CFC92"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2.70%</w:t>
            </w:r>
          </w:p>
        </w:tc>
        <w:tc>
          <w:tcPr>
            <w:tcW w:w="0" w:type="pct"/>
            <w:tcBorders>
              <w:left w:val="single" w:sz="4" w:space="0" w:color="FFFFFF" w:themeColor="background2"/>
            </w:tcBorders>
            <w:shd w:val="clear" w:color="auto" w:fill="F2F2F2" w:themeFill="accent6" w:themeFillShade="F2"/>
            <w:vAlign w:val="center"/>
          </w:tcPr>
          <w:p w14:paraId="6EB70960" w14:textId="55B2290E"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215.54</w:t>
            </w:r>
          </w:p>
        </w:tc>
      </w:tr>
      <w:tr w:rsidR="00FD05FF" w:rsidRPr="00294A1A" w14:paraId="6BFC7B83"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vAlign w:val="center"/>
          </w:tcPr>
          <w:p w14:paraId="4B8B7387" w14:textId="77777777" w:rsidR="00FD05FF" w:rsidRPr="00294A1A" w:rsidRDefault="00FD05FF" w:rsidP="00FD05FF">
            <w:pPr>
              <w:keepNext/>
              <w:spacing w:before="120" w:after="120"/>
              <w:rPr>
                <w:rFonts w:cs="Arial"/>
                <w:color w:val="000000"/>
                <w:sz w:val="16"/>
                <w:szCs w:val="16"/>
                <w:lang w:val="en-US"/>
              </w:rPr>
            </w:pPr>
            <w:r w:rsidRPr="00294A1A">
              <w:rPr>
                <w:rFonts w:cs="Arial"/>
                <w:color w:val="000000"/>
                <w:sz w:val="16"/>
                <w:szCs w:val="16"/>
                <w:lang w:val="en-US"/>
              </w:rPr>
              <w:t>Non-labour costs</w:t>
            </w:r>
          </w:p>
        </w:tc>
        <w:tc>
          <w:tcPr>
            <w:tcW w:w="0" w:type="pct"/>
            <w:tcBorders>
              <w:right w:val="single" w:sz="4" w:space="0" w:color="FFFFFF" w:themeColor="background2"/>
            </w:tcBorders>
            <w:shd w:val="clear" w:color="auto" w:fill="F2F2F2" w:themeFill="accent6" w:themeFillShade="F2"/>
            <w:vAlign w:val="center"/>
          </w:tcPr>
          <w:p w14:paraId="3FDBD1B1" w14:textId="474F1996"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27.13</w:t>
            </w:r>
          </w:p>
        </w:tc>
        <w:tc>
          <w:tcPr>
            <w:tcW w:w="0" w:type="pct"/>
            <w:tcBorders>
              <w:left w:val="single" w:sz="4" w:space="0" w:color="FFFFFF" w:themeColor="background2"/>
            </w:tcBorders>
            <w:shd w:val="clear" w:color="auto" w:fill="F2F2F2" w:themeFill="accent6" w:themeFillShade="F2"/>
            <w:vAlign w:val="center"/>
          </w:tcPr>
          <w:p w14:paraId="6F08505C" w14:textId="409577F1"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1.58%</w:t>
            </w:r>
          </w:p>
        </w:tc>
        <w:tc>
          <w:tcPr>
            <w:tcW w:w="0" w:type="pct"/>
            <w:tcBorders>
              <w:left w:val="single" w:sz="4" w:space="0" w:color="FFFFFF" w:themeColor="background2"/>
            </w:tcBorders>
            <w:shd w:val="clear" w:color="auto" w:fill="F2F2F2" w:themeFill="accent6" w:themeFillShade="F2"/>
            <w:vAlign w:val="center"/>
          </w:tcPr>
          <w:p w14:paraId="2CFFCA31" w14:textId="41273A55"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27.56</w:t>
            </w:r>
          </w:p>
        </w:tc>
      </w:tr>
      <w:tr w:rsidR="00FD05FF" w:rsidRPr="00294A1A" w14:paraId="3F74EC09"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501B35E4" w14:textId="77777777" w:rsidR="00FD05FF" w:rsidRPr="00294A1A" w:rsidRDefault="00FD05FF" w:rsidP="00FD05FF">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right w:val="single" w:sz="4" w:space="0" w:color="FFFFFF" w:themeColor="background2"/>
            </w:tcBorders>
            <w:shd w:val="clear" w:color="auto" w:fill="DFEBF1" w:themeFill="text2" w:themeFillTint="1A"/>
            <w:vAlign w:val="center"/>
          </w:tcPr>
          <w:p w14:paraId="3EEF5BD9" w14:textId="14E3D6D1"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237.01</w:t>
            </w:r>
          </w:p>
        </w:tc>
        <w:tc>
          <w:tcPr>
            <w:tcW w:w="0" w:type="pct"/>
            <w:tcBorders>
              <w:left w:val="single" w:sz="4" w:space="0" w:color="FFFFFF" w:themeColor="background2"/>
            </w:tcBorders>
            <w:shd w:val="clear" w:color="auto" w:fill="DFEBF1" w:themeFill="text2" w:themeFillTint="1A"/>
            <w:vAlign w:val="center"/>
          </w:tcPr>
          <w:p w14:paraId="7FA35C82" w14:textId="03B4BE3C"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2.57%</w:t>
            </w:r>
          </w:p>
        </w:tc>
        <w:tc>
          <w:tcPr>
            <w:tcW w:w="0" w:type="pct"/>
            <w:tcBorders>
              <w:left w:val="single" w:sz="4" w:space="0" w:color="FFFFFF" w:themeColor="background2"/>
            </w:tcBorders>
            <w:shd w:val="clear" w:color="auto" w:fill="DFEBF1" w:themeFill="text2" w:themeFillTint="1A"/>
            <w:vAlign w:val="center"/>
          </w:tcPr>
          <w:p w14:paraId="3920EEC6" w14:textId="47F2C103"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243.10</w:t>
            </w:r>
          </w:p>
        </w:tc>
      </w:tr>
    </w:tbl>
    <w:p w14:paraId="038FE167" w14:textId="77777777" w:rsidR="00EE34A2" w:rsidRPr="00BB5A75" w:rsidRDefault="00EE34A2" w:rsidP="00EE34A2">
      <w:pPr>
        <w:rPr>
          <w:sz w:val="18"/>
          <w:szCs w:val="18"/>
        </w:rPr>
      </w:pPr>
      <w:r w:rsidRPr="00BB5A75">
        <w:rPr>
          <w:sz w:val="18"/>
          <w:szCs w:val="18"/>
        </w:rPr>
        <w:t>*Components may not add to total due to rounding</w:t>
      </w:r>
    </w:p>
    <w:p w14:paraId="2EE3F5A6" w14:textId="241B8571" w:rsidR="00834A54" w:rsidRDefault="00963EC4" w:rsidP="00963EC4">
      <w:pPr>
        <w:spacing w:line="259" w:lineRule="auto"/>
      </w:pPr>
      <w:r w:rsidRPr="00EE34A2">
        <w:t xml:space="preserve">This methodology results in </w:t>
      </w:r>
      <w:r w:rsidR="00B424B1">
        <w:t xml:space="preserve">a </w:t>
      </w:r>
      <w:r w:rsidR="00B4393A">
        <w:t xml:space="preserve">residential aged care priced </w:t>
      </w:r>
      <w:r w:rsidRPr="00EE34A2">
        <w:t xml:space="preserve">for </w:t>
      </w:r>
      <w:r w:rsidR="00B4393A">
        <w:t xml:space="preserve">RACPA23 </w:t>
      </w:r>
      <w:r w:rsidRPr="00EE34A2">
        <w:t>of $24</w:t>
      </w:r>
      <w:r w:rsidR="007626C6">
        <w:t>9</w:t>
      </w:r>
      <w:r w:rsidRPr="00EE34A2">
        <w:t>.</w:t>
      </w:r>
      <w:r w:rsidR="007626C6">
        <w:t>07</w:t>
      </w:r>
      <w:r w:rsidRPr="00EE34A2">
        <w:t xml:space="preserve"> per </w:t>
      </w:r>
      <w:r w:rsidR="00CC37FB">
        <w:t>national weighted activity unit</w:t>
      </w:r>
      <w:r w:rsidRPr="00EE34A2">
        <w:t>.</w:t>
      </w:r>
    </w:p>
    <w:p w14:paraId="7323D850" w14:textId="1CDDB2E7" w:rsidR="00206D63" w:rsidRDefault="00206D63" w:rsidP="005B4443">
      <w:pPr>
        <w:pStyle w:val="Heading2"/>
      </w:pPr>
      <w:bookmarkStart w:id="54" w:name="_Ref120619926"/>
      <w:bookmarkStart w:id="55" w:name="_Ref120709855"/>
      <w:bookmarkStart w:id="56" w:name="_Ref120711503"/>
      <w:bookmarkStart w:id="57" w:name="_Ref120712537"/>
      <w:bookmarkStart w:id="58" w:name="_Toc134183610"/>
      <w:r>
        <w:t>Hotel cost</w:t>
      </w:r>
      <w:bookmarkEnd w:id="54"/>
      <w:r w:rsidR="005568AF">
        <w:t xml:space="preserve"> indexation</w:t>
      </w:r>
      <w:bookmarkEnd w:id="55"/>
      <w:bookmarkEnd w:id="56"/>
      <w:bookmarkEnd w:id="57"/>
      <w:bookmarkEnd w:id="58"/>
    </w:p>
    <w:p w14:paraId="5EC1897D" w14:textId="674F2F23" w:rsidR="00BB3F92" w:rsidRDefault="00BB3F92" w:rsidP="00D73C6E">
      <w:pPr>
        <w:keepNext/>
      </w:pPr>
      <w:r>
        <w:t xml:space="preserve">The indexation rate for hotel costs is constructed similarly to the non-labour direct care cost index in section </w:t>
      </w:r>
      <w:r>
        <w:fldChar w:fldCharType="begin"/>
      </w:r>
      <w:r>
        <w:instrText xml:space="preserve"> REF _Ref120689228 \r \p \h </w:instrText>
      </w:r>
      <w:r>
        <w:fldChar w:fldCharType="separate"/>
      </w:r>
      <w:r w:rsidR="00B1072E">
        <w:t>5.3 above</w:t>
      </w:r>
      <w:r>
        <w:fldChar w:fldCharType="end"/>
      </w:r>
      <w:r>
        <w:t xml:space="preserve">, although hotel costs have a different composition to non-labour direct care costs, so different </w:t>
      </w:r>
      <w:r w:rsidR="00140898">
        <w:t xml:space="preserve">index series are used. According to </w:t>
      </w:r>
      <w:r w:rsidR="004104DE">
        <w:t>Part</w:t>
      </w:r>
      <w:r w:rsidR="00A051FD">
        <w:t>s</w:t>
      </w:r>
      <w:r w:rsidR="004104DE">
        <w:t xml:space="preserve"> </w:t>
      </w:r>
      <w:r w:rsidR="00A051FD">
        <w:t>2 and 3</w:t>
      </w:r>
      <w:r w:rsidR="004104DE">
        <w:t xml:space="preserve"> of </w:t>
      </w:r>
      <w:r w:rsidR="004104DE" w:rsidRPr="004104DE">
        <w:t xml:space="preserve">Schedule 1—Care and services for residential care services of the </w:t>
      </w:r>
      <w:r w:rsidR="00B2594A" w:rsidRPr="00D55AF7">
        <w:rPr>
          <w:i/>
          <w:iCs/>
        </w:rPr>
        <w:t>Quality of Care Principles 2014</w:t>
      </w:r>
      <w:r w:rsidR="004104DE" w:rsidRPr="004104DE">
        <w:t xml:space="preserve"> under section 96-1 of the </w:t>
      </w:r>
      <w:r w:rsidR="004104DE" w:rsidRPr="00D55AF7">
        <w:rPr>
          <w:i/>
          <w:iCs/>
        </w:rPr>
        <w:t>Aged Care Act 1997</w:t>
      </w:r>
      <w:r w:rsidR="00A63550">
        <w:t xml:space="preserve"> (the Schedule). While the Schedule includes maintenance as part of</w:t>
      </w:r>
      <w:r>
        <w:t xml:space="preserve"> hotel costs</w:t>
      </w:r>
      <w:r w:rsidR="00A63550">
        <w:t xml:space="preserve">, </w:t>
      </w:r>
      <w:r w:rsidR="00E01A84">
        <w:t xml:space="preserve">the Government and StewartBrown have both </w:t>
      </w:r>
      <w:r w:rsidR="00E84E5E">
        <w:t>re-categorised maintenance</w:t>
      </w:r>
      <w:r>
        <w:t xml:space="preserve"> </w:t>
      </w:r>
      <w:r w:rsidR="00E84E5E">
        <w:t>as an accommodation cost.</w:t>
      </w:r>
      <w:r w:rsidR="003022EA">
        <w:t xml:space="preserve"> </w:t>
      </w:r>
      <w:r w:rsidR="00E84E5E">
        <w:t xml:space="preserve">Therefore, the hotel costs used for indexation </w:t>
      </w:r>
      <w:r w:rsidR="00B27CFE">
        <w:t xml:space="preserve">the hotel cost analysis for RACPA23 </w:t>
      </w:r>
      <w:r>
        <w:t>comprise:</w:t>
      </w:r>
    </w:p>
    <w:p w14:paraId="41C46CC2" w14:textId="3E998C2F" w:rsidR="00BB3F92" w:rsidRDefault="00BB3F92" w:rsidP="00BB3F92">
      <w:pPr>
        <w:pStyle w:val="ListLevel1"/>
        <w:keepNext/>
        <w:ind w:left="1077" w:hanging="357"/>
      </w:pPr>
      <w:r>
        <w:t>Labour for catering, cleaning, laundry, and maintenance</w:t>
      </w:r>
    </w:p>
    <w:p w14:paraId="278D1AFB" w14:textId="23A3AB90" w:rsidR="00BB3F92" w:rsidRDefault="00BB3F92" w:rsidP="00BB3F92">
      <w:pPr>
        <w:pStyle w:val="ListLevel1"/>
        <w:keepNext/>
        <w:ind w:left="1077" w:hanging="357"/>
      </w:pPr>
      <w:r>
        <w:t>Catering consumables and contracts</w:t>
      </w:r>
    </w:p>
    <w:p w14:paraId="6B50D41E" w14:textId="58F96789" w:rsidR="00BB3F92" w:rsidRDefault="00BB3F92" w:rsidP="00BB3F92">
      <w:pPr>
        <w:pStyle w:val="ListLevel1"/>
        <w:keepNext/>
        <w:ind w:left="1077" w:hanging="357"/>
      </w:pPr>
      <w:r>
        <w:t>Cleaning consumables and contracts</w:t>
      </w:r>
    </w:p>
    <w:p w14:paraId="16E660F0" w14:textId="7305E3C2" w:rsidR="00BB3F92" w:rsidRDefault="00BB3F92" w:rsidP="00BB3F92">
      <w:pPr>
        <w:pStyle w:val="ListLevel1"/>
        <w:keepNext/>
        <w:ind w:left="1077" w:hanging="357"/>
      </w:pPr>
      <w:r>
        <w:t>Laundry consumables and contracts</w:t>
      </w:r>
    </w:p>
    <w:p w14:paraId="6497F004" w14:textId="3CD32FA6" w:rsidR="00BB3F92" w:rsidRDefault="00BB3F92" w:rsidP="00BB3F92">
      <w:pPr>
        <w:pStyle w:val="ListLevel1"/>
        <w:keepNext/>
        <w:ind w:left="1077" w:hanging="357"/>
      </w:pPr>
      <w:r>
        <w:t>Utilities, including electricity, gas, council rates and rubbish removal</w:t>
      </w:r>
    </w:p>
    <w:p w14:paraId="33DFA88A" w14:textId="65998654" w:rsidR="00BB3F92" w:rsidRDefault="00BB3F92" w:rsidP="00BB3F92">
      <w:pPr>
        <w:pStyle w:val="ListLevel1"/>
        <w:keepNext/>
        <w:ind w:left="1077" w:hanging="357"/>
      </w:pPr>
      <w:r>
        <w:t xml:space="preserve">Motor vehicle operation, </w:t>
      </w:r>
      <w:r w:rsidR="00411310">
        <w:t>maintenance,</w:t>
      </w:r>
      <w:r>
        <w:t xml:space="preserve"> and repair (</w:t>
      </w:r>
      <w:r w:rsidR="00C13D1E">
        <w:t>e.g.,</w:t>
      </w:r>
      <w:r>
        <w:t xml:space="preserve"> bus)</w:t>
      </w:r>
    </w:p>
    <w:p w14:paraId="26517CDE" w14:textId="7CCF5444" w:rsidR="00BB3F92" w:rsidRDefault="00BB3F92" w:rsidP="00BB3F92">
      <w:pPr>
        <w:pStyle w:val="ListLevel1"/>
        <w:keepNext/>
        <w:ind w:left="1077" w:hanging="357"/>
      </w:pPr>
      <w:r>
        <w:t>Other administrative expenses, including WorkCover premiums for hotel staff</w:t>
      </w:r>
    </w:p>
    <w:p w14:paraId="1F30161C" w14:textId="30C003B9" w:rsidR="00BB3F92" w:rsidRDefault="00BB3F92" w:rsidP="00BB3F92">
      <w:pPr>
        <w:pStyle w:val="ListLevel1"/>
        <w:keepNext/>
        <w:ind w:left="1077" w:hanging="357"/>
      </w:pPr>
      <w:r>
        <w:t>Corporate administrative expenses, and</w:t>
      </w:r>
    </w:p>
    <w:p w14:paraId="12CCF243" w14:textId="515B8A93" w:rsidR="00BB3F92" w:rsidRDefault="00BB3F92" w:rsidP="00BB3F92">
      <w:pPr>
        <w:pStyle w:val="ListLevel1"/>
      </w:pPr>
      <w:r>
        <w:t>Other hotel expenses not covered above.</w:t>
      </w:r>
    </w:p>
    <w:p w14:paraId="63423F59" w14:textId="4A39D381" w:rsidR="00CB6C97" w:rsidRDefault="00CB6C97" w:rsidP="00C77833">
      <w:r>
        <w:t xml:space="preserve">Administrative expenses have been apportioned to hotel according to the proportions </w:t>
      </w:r>
      <w:r w:rsidR="004A4819">
        <w:t xml:space="preserve">published in the StewartBrown </w:t>
      </w:r>
      <w:r w:rsidR="004A4819" w:rsidRPr="004A4819">
        <w:t>Aged Care Financial Performance Survey Report</w:t>
      </w:r>
      <w:r w:rsidR="004A4819">
        <w:t>.</w:t>
      </w:r>
    </w:p>
    <w:p w14:paraId="3A09C4D4" w14:textId="77777777" w:rsidR="00C77833" w:rsidRDefault="00C77833" w:rsidP="00263B20">
      <w:pPr>
        <w:keepNext/>
      </w:pPr>
      <w:r>
        <w:t>IHACPA has used quarterly index numbers from the ABS index time series:</w:t>
      </w:r>
    </w:p>
    <w:p w14:paraId="1C21F9A6" w14:textId="6257B62B" w:rsidR="00C77833" w:rsidRDefault="005616FD" w:rsidP="00263B20">
      <w:pPr>
        <w:pStyle w:val="ListLevel1"/>
        <w:keepNext/>
      </w:pPr>
      <w:r w:rsidRPr="00F31458">
        <w:rPr>
          <w:i/>
          <w:iCs/>
        </w:rPr>
        <w:t>6345.0 Wage Price Index, Australia</w:t>
      </w:r>
      <w:r w:rsidRPr="00F31458">
        <w:t>, September 2022</w:t>
      </w:r>
      <w:r w:rsidR="00C77833">
        <w:t>, and</w:t>
      </w:r>
    </w:p>
    <w:p w14:paraId="0C03A193" w14:textId="0DA4B963" w:rsidR="00C77833" w:rsidRDefault="00C77833" w:rsidP="00C77833">
      <w:pPr>
        <w:pStyle w:val="ListLevel1"/>
      </w:pPr>
      <w:r w:rsidRPr="00F31458">
        <w:rPr>
          <w:i/>
          <w:iCs/>
        </w:rPr>
        <w:t>6</w:t>
      </w:r>
      <w:r w:rsidR="005616FD" w:rsidRPr="00F31458">
        <w:rPr>
          <w:i/>
          <w:iCs/>
        </w:rPr>
        <w:t>041.0 Consumer Price Index, Australia</w:t>
      </w:r>
      <w:r w:rsidR="005616FD" w:rsidRPr="00F31458">
        <w:t xml:space="preserve">, </w:t>
      </w:r>
      <w:r w:rsidR="00B27CFE">
        <w:t>December</w:t>
      </w:r>
      <w:r w:rsidR="00B27CFE" w:rsidRPr="00F31458">
        <w:t xml:space="preserve"> </w:t>
      </w:r>
      <w:r w:rsidR="005616FD" w:rsidRPr="00F31458">
        <w:t>2022</w:t>
      </w:r>
      <w:r>
        <w:t xml:space="preserve">. </w:t>
      </w:r>
    </w:p>
    <w:p w14:paraId="5B76AFC2" w14:textId="09122F7F" w:rsidR="00BB3F92" w:rsidRDefault="00BB3F92" w:rsidP="00BB3F92">
      <w:r>
        <w:t xml:space="preserve">IHACPA have </w:t>
      </w:r>
      <w:r w:rsidR="00E937AC">
        <w:t>selected</w:t>
      </w:r>
      <w:r w:rsidR="007A624A">
        <w:t xml:space="preserve"> following</w:t>
      </w:r>
      <w:r w:rsidR="00E937AC">
        <w:t xml:space="preserve"> index series</w:t>
      </w:r>
      <w:r>
        <w:t xml:space="preserve">, predominately CPI subgroups, to construct a specific index for </w:t>
      </w:r>
      <w:r w:rsidR="00DC58B2">
        <w:t xml:space="preserve">series </w:t>
      </w:r>
      <w:r>
        <w:t>hotel costs</w:t>
      </w:r>
      <w:r w:rsidR="00DC58B2">
        <w:t>. This have been selected to</w:t>
      </w:r>
      <w:r>
        <w:t xml:space="preserve"> aligns </w:t>
      </w:r>
      <w:r w:rsidR="00DC58B2">
        <w:t xml:space="preserve">as closely as possible </w:t>
      </w:r>
      <w:r>
        <w:t xml:space="preserve">with the hotel cost components listed above. These are summarised in </w:t>
      </w:r>
      <w:r w:rsidR="007A624A">
        <w:fldChar w:fldCharType="begin"/>
      </w:r>
      <w:r w:rsidR="007A624A">
        <w:instrText xml:space="preserve"> REF _Ref120689326 \h </w:instrText>
      </w:r>
      <w:r w:rsidR="007A624A">
        <w:fldChar w:fldCharType="separate"/>
      </w:r>
      <w:r w:rsidR="00B1072E">
        <w:t>Table </w:t>
      </w:r>
      <w:r w:rsidR="00B1072E">
        <w:rPr>
          <w:noProof/>
        </w:rPr>
        <w:t>12</w:t>
      </w:r>
      <w:r w:rsidR="007A624A">
        <w:fldChar w:fldCharType="end"/>
      </w:r>
      <w:r>
        <w:t>.</w:t>
      </w:r>
    </w:p>
    <w:p w14:paraId="734180E3" w14:textId="79EC6B5B" w:rsidR="00BB3F92" w:rsidRDefault="00273B40" w:rsidP="007A624A">
      <w:pPr>
        <w:pStyle w:val="TableFigureheading"/>
      </w:pPr>
      <w:bookmarkStart w:id="59" w:name="_Ref120689326"/>
      <w:r>
        <w:lastRenderedPageBreak/>
        <w:t>Table </w:t>
      </w:r>
      <w:fldSimple w:instr=" SEQ Table \* ARABIC ">
        <w:r w:rsidR="00B1072E">
          <w:rPr>
            <w:noProof/>
          </w:rPr>
          <w:t>12</w:t>
        </w:r>
      </w:fldSimple>
      <w:bookmarkEnd w:id="59"/>
      <w:r w:rsidR="00BB3F92">
        <w:t xml:space="preserve">: </w:t>
      </w:r>
      <w:r w:rsidR="0009501F">
        <w:t>Index series selection for hotel cost indexation</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969"/>
        <w:gridCol w:w="4376"/>
        <w:gridCol w:w="1401"/>
      </w:tblGrid>
      <w:tr w:rsidR="000509C4" w:rsidRPr="00E83B00" w14:paraId="2B2D3F9E" w14:textId="77777777" w:rsidTr="3C40FBB0">
        <w:trPr>
          <w:cnfStyle w:val="100000000000" w:firstRow="1" w:lastRow="0" w:firstColumn="0" w:lastColumn="0" w:oddVBand="0" w:evenVBand="0" w:oddHBand="0" w:evenHBand="0" w:firstRowFirstColumn="0" w:firstRowLastColumn="0" w:lastRowFirstColumn="0" w:lastRowLastColumn="0"/>
          <w:cantSplit/>
          <w:trHeight w:val="20"/>
          <w:tblHeader/>
        </w:trPr>
        <w:tc>
          <w:tcPr>
            <w:tcW w:w="2036" w:type="pct"/>
            <w:tcBorders>
              <w:bottom w:val="single" w:sz="4" w:space="0" w:color="DFEBF1" w:themeColor="accent1" w:themeTint="1A"/>
              <w:right w:val="single" w:sz="4" w:space="0" w:color="FFFFFF" w:themeColor="accent6"/>
            </w:tcBorders>
            <w:vAlign w:val="center"/>
          </w:tcPr>
          <w:p w14:paraId="7BF33219" w14:textId="4EFEB7B1" w:rsidR="0009501F" w:rsidRPr="00E83B00" w:rsidRDefault="00F77CA2" w:rsidP="00420A16">
            <w:pPr>
              <w:spacing w:before="120" w:after="120"/>
              <w:rPr>
                <w:b/>
                <w:bCs/>
                <w:color w:val="FFFFFF" w:themeColor="background2"/>
                <w:szCs w:val="18"/>
              </w:rPr>
            </w:pPr>
            <w:r>
              <w:rPr>
                <w:b/>
                <w:bCs/>
                <w:color w:val="FFFFFF" w:themeColor="background2"/>
                <w:szCs w:val="18"/>
                <w:lang w:val="en-US"/>
              </w:rPr>
              <w:t xml:space="preserve">Hotel </w:t>
            </w:r>
            <w:r w:rsidR="0009501F">
              <w:rPr>
                <w:b/>
                <w:bCs/>
                <w:color w:val="FFFFFF" w:themeColor="background2"/>
                <w:szCs w:val="18"/>
                <w:lang w:val="en-US"/>
              </w:rPr>
              <w:t>cost component</w:t>
            </w:r>
          </w:p>
        </w:tc>
        <w:tc>
          <w:tcPr>
            <w:tcW w:w="2245" w:type="pct"/>
            <w:tcBorders>
              <w:left w:val="single" w:sz="4" w:space="0" w:color="FFFFFF" w:themeColor="accent6"/>
              <w:bottom w:val="single" w:sz="4" w:space="0" w:color="DFEBF1" w:themeColor="accent1" w:themeTint="1A"/>
              <w:right w:val="single" w:sz="4" w:space="0" w:color="FFFFFF" w:themeColor="accent6"/>
            </w:tcBorders>
            <w:vAlign w:val="center"/>
          </w:tcPr>
          <w:p w14:paraId="3BD5D667" w14:textId="0225C4E6" w:rsidR="0009501F" w:rsidRPr="00E83B00" w:rsidRDefault="00F77CA2" w:rsidP="00420A16">
            <w:pPr>
              <w:spacing w:before="120" w:after="120"/>
              <w:rPr>
                <w:b/>
                <w:bCs/>
                <w:color w:val="FFFFFF" w:themeColor="background2"/>
                <w:szCs w:val="18"/>
              </w:rPr>
            </w:pPr>
            <w:r>
              <w:rPr>
                <w:b/>
                <w:bCs/>
                <w:color w:val="FFFFFF" w:themeColor="background2"/>
                <w:szCs w:val="18"/>
              </w:rPr>
              <w:t>Selected Index</w:t>
            </w:r>
          </w:p>
        </w:tc>
        <w:tc>
          <w:tcPr>
            <w:tcW w:w="719" w:type="pct"/>
            <w:tcBorders>
              <w:left w:val="single" w:sz="4" w:space="0" w:color="FFFFFF" w:themeColor="accent6"/>
              <w:bottom w:val="single" w:sz="4" w:space="0" w:color="DFEBF1" w:themeColor="accent1" w:themeTint="1A"/>
            </w:tcBorders>
            <w:vAlign w:val="center"/>
          </w:tcPr>
          <w:p w14:paraId="158F07DC" w14:textId="77777777" w:rsidR="0009501F" w:rsidRDefault="0009501F" w:rsidP="00A504D6">
            <w:pPr>
              <w:spacing w:before="120" w:after="120"/>
              <w:rPr>
                <w:b/>
                <w:bCs/>
                <w:color w:val="FFFFFF" w:themeColor="background2"/>
                <w:szCs w:val="18"/>
              </w:rPr>
            </w:pPr>
            <w:r>
              <w:rPr>
                <w:b/>
                <w:bCs/>
                <w:color w:val="FFFFFF" w:themeColor="background2"/>
                <w:szCs w:val="18"/>
              </w:rPr>
              <w:t>Series ID</w:t>
            </w:r>
          </w:p>
        </w:tc>
      </w:tr>
      <w:tr w:rsidR="000509C4" w:rsidRPr="004E67F4" w14:paraId="5028535C"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01EE48D3" w14:textId="1FD27D8D" w:rsidR="008A0ECA" w:rsidRPr="00A504D6" w:rsidRDefault="000509C4">
            <w:pPr>
              <w:spacing w:before="120" w:after="120"/>
              <w:rPr>
                <w:color w:val="1C1C1C"/>
                <w:sz w:val="16"/>
                <w:szCs w:val="16"/>
              </w:rPr>
            </w:pPr>
            <w:r>
              <w:rPr>
                <w:sz w:val="16"/>
                <w:szCs w:val="16"/>
              </w:rPr>
              <w:t>Hotel labour</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2D6C7183" w14:textId="093DDEA5" w:rsidR="008A0ECA" w:rsidRPr="00A504D6" w:rsidRDefault="00E05FF4" w:rsidP="008A0ECA">
            <w:pPr>
              <w:spacing w:before="120" w:after="120"/>
              <w:rPr>
                <w:color w:val="1C1C1C"/>
                <w:sz w:val="16"/>
                <w:szCs w:val="16"/>
              </w:rPr>
            </w:pPr>
            <w:r w:rsidRPr="00E05FF4">
              <w:rPr>
                <w:color w:val="1C1C1C"/>
                <w:sz w:val="16"/>
                <w:szCs w:val="16"/>
              </w:rPr>
              <w:t>Total hourly rates of pay excluding bonuses; Private; Health care and social assistance</w:t>
            </w:r>
          </w:p>
        </w:tc>
        <w:tc>
          <w:tcPr>
            <w:tcW w:w="0" w:type="pct"/>
            <w:tcBorders>
              <w:top w:val="single" w:sz="4" w:space="0" w:color="DFEBF1" w:themeColor="accent1" w:themeTint="1A"/>
              <w:bottom w:val="single" w:sz="4" w:space="0" w:color="DFEBF1" w:themeColor="accent1" w:themeTint="1A"/>
            </w:tcBorders>
            <w:vAlign w:val="center"/>
          </w:tcPr>
          <w:p w14:paraId="344B8489" w14:textId="2010B225" w:rsidR="008A0ECA" w:rsidRPr="00A504D6" w:rsidRDefault="00E05FF4" w:rsidP="00A504D6">
            <w:pPr>
              <w:spacing w:before="120" w:after="120"/>
              <w:rPr>
                <w:color w:val="1C1C1C"/>
                <w:sz w:val="16"/>
                <w:szCs w:val="16"/>
              </w:rPr>
            </w:pPr>
            <w:r w:rsidRPr="00E05FF4">
              <w:rPr>
                <w:color w:val="1C1C1C"/>
                <w:sz w:val="16"/>
                <w:szCs w:val="16"/>
              </w:rPr>
              <w:t>A2602929A</w:t>
            </w:r>
          </w:p>
        </w:tc>
      </w:tr>
      <w:tr w:rsidR="000509C4" w:rsidRPr="004E67F4" w14:paraId="265AB9FD"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3612D739" w14:textId="75C98F64" w:rsidR="008A0ECA" w:rsidRPr="00A504D6" w:rsidRDefault="008A0ECA">
            <w:pPr>
              <w:spacing w:before="120" w:after="120"/>
              <w:rPr>
                <w:color w:val="1C1C1C"/>
                <w:sz w:val="16"/>
                <w:szCs w:val="16"/>
              </w:rPr>
            </w:pPr>
            <w:r w:rsidRPr="00A504D6">
              <w:rPr>
                <w:sz w:val="16"/>
                <w:szCs w:val="16"/>
              </w:rPr>
              <w:t>Catering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0BD787A4" w14:textId="05B4064D" w:rsidR="008A0ECA" w:rsidRPr="00A504D6" w:rsidRDefault="003242F5" w:rsidP="008A0ECA">
            <w:pPr>
              <w:spacing w:before="120" w:after="120"/>
              <w:rPr>
                <w:color w:val="1C1C1C"/>
                <w:sz w:val="16"/>
                <w:szCs w:val="16"/>
              </w:rPr>
            </w:pPr>
            <w:r w:rsidRPr="00A504D6">
              <w:rPr>
                <w:color w:val="1C1C1C"/>
                <w:sz w:val="16"/>
                <w:szCs w:val="16"/>
              </w:rPr>
              <w:t>Food and non-alcoholic beverages</w:t>
            </w:r>
          </w:p>
        </w:tc>
        <w:tc>
          <w:tcPr>
            <w:tcW w:w="0" w:type="pct"/>
            <w:tcBorders>
              <w:top w:val="single" w:sz="4" w:space="0" w:color="DFEBF1" w:themeColor="accent1" w:themeTint="1A"/>
              <w:bottom w:val="single" w:sz="4" w:space="0" w:color="DFEBF1" w:themeColor="accent1" w:themeTint="1A"/>
            </w:tcBorders>
            <w:vAlign w:val="center"/>
          </w:tcPr>
          <w:p w14:paraId="667B6190" w14:textId="12CBD47A" w:rsidR="008A0ECA" w:rsidRPr="00A504D6" w:rsidRDefault="003A11FF" w:rsidP="00A504D6">
            <w:pPr>
              <w:spacing w:before="120" w:after="120"/>
              <w:rPr>
                <w:color w:val="1C1C1C"/>
                <w:sz w:val="16"/>
                <w:szCs w:val="16"/>
              </w:rPr>
            </w:pPr>
            <w:r w:rsidRPr="003A11FF">
              <w:rPr>
                <w:color w:val="1C1C1C"/>
                <w:sz w:val="16"/>
                <w:szCs w:val="16"/>
              </w:rPr>
              <w:t>A2325891R</w:t>
            </w:r>
          </w:p>
        </w:tc>
      </w:tr>
      <w:tr w:rsidR="008A0ECA" w:rsidRPr="004E67F4" w14:paraId="35A7368E"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156C56B9" w14:textId="508ED468" w:rsidR="008A0ECA" w:rsidRPr="00A504D6" w:rsidRDefault="008A0ECA">
            <w:pPr>
              <w:spacing w:before="120" w:after="120"/>
              <w:rPr>
                <w:color w:val="1C1C1C"/>
                <w:sz w:val="16"/>
                <w:szCs w:val="16"/>
              </w:rPr>
            </w:pPr>
            <w:r w:rsidRPr="00A504D6">
              <w:rPr>
                <w:sz w:val="16"/>
                <w:szCs w:val="16"/>
              </w:rPr>
              <w:t>Cleaning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7847A9DB" w14:textId="6F2482CA" w:rsidR="008A0ECA" w:rsidRPr="00A504D6" w:rsidRDefault="001F442F" w:rsidP="001F442F">
            <w:pPr>
              <w:spacing w:before="120" w:after="120"/>
              <w:rPr>
                <w:color w:val="1C1C1C"/>
                <w:sz w:val="16"/>
                <w:szCs w:val="16"/>
              </w:rPr>
            </w:pPr>
            <w:r w:rsidRPr="00A504D6">
              <w:rPr>
                <w:color w:val="1C1C1C"/>
                <w:sz w:val="16"/>
                <w:szCs w:val="16"/>
              </w:rPr>
              <w:t>Furnishings, household equipment and services</w:t>
            </w:r>
          </w:p>
        </w:tc>
        <w:tc>
          <w:tcPr>
            <w:tcW w:w="0" w:type="pct"/>
            <w:tcBorders>
              <w:top w:val="single" w:sz="4" w:space="0" w:color="DFEBF1" w:themeColor="accent1" w:themeTint="1A"/>
              <w:bottom w:val="single" w:sz="4" w:space="0" w:color="DFEBF1" w:themeColor="accent1" w:themeTint="1A"/>
            </w:tcBorders>
            <w:vAlign w:val="center"/>
          </w:tcPr>
          <w:p w14:paraId="704C2EAB" w14:textId="6471A521" w:rsidR="008A0ECA" w:rsidRPr="00A504D6" w:rsidRDefault="004A3164" w:rsidP="00A504D6">
            <w:pPr>
              <w:spacing w:before="120" w:after="120"/>
              <w:rPr>
                <w:color w:val="1C1C1C"/>
                <w:sz w:val="16"/>
                <w:szCs w:val="16"/>
              </w:rPr>
            </w:pPr>
            <w:r w:rsidRPr="004A3164">
              <w:rPr>
                <w:color w:val="1C1C1C"/>
                <w:sz w:val="16"/>
                <w:szCs w:val="16"/>
              </w:rPr>
              <w:t>A2326026R</w:t>
            </w:r>
          </w:p>
        </w:tc>
      </w:tr>
      <w:tr w:rsidR="008A0ECA" w:rsidRPr="004E67F4" w14:paraId="629C1DAA"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5169FEC3" w14:textId="127774F9" w:rsidR="008A0ECA" w:rsidRPr="00A504D6" w:rsidRDefault="008A0ECA">
            <w:pPr>
              <w:spacing w:before="120" w:after="120"/>
              <w:rPr>
                <w:color w:val="1C1C1C"/>
                <w:sz w:val="16"/>
                <w:szCs w:val="16"/>
              </w:rPr>
            </w:pPr>
            <w:r w:rsidRPr="00A504D6">
              <w:rPr>
                <w:sz w:val="16"/>
                <w:szCs w:val="16"/>
              </w:rPr>
              <w:t>Laundry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6A5F5B4D" w14:textId="1F12E512" w:rsidR="008A0ECA" w:rsidRPr="00A504D6" w:rsidRDefault="001F442F" w:rsidP="008A0ECA">
            <w:pPr>
              <w:spacing w:before="120" w:after="120"/>
              <w:rPr>
                <w:color w:val="1C1C1C"/>
                <w:sz w:val="16"/>
                <w:szCs w:val="16"/>
              </w:rPr>
            </w:pPr>
            <w:r w:rsidRPr="00A504D6">
              <w:rPr>
                <w:color w:val="1C1C1C"/>
                <w:sz w:val="16"/>
                <w:szCs w:val="16"/>
              </w:rPr>
              <w:t>Cleaning, repair and hire of clothing and footwear</w:t>
            </w:r>
          </w:p>
        </w:tc>
        <w:tc>
          <w:tcPr>
            <w:tcW w:w="0" w:type="pct"/>
            <w:tcBorders>
              <w:top w:val="single" w:sz="4" w:space="0" w:color="DFEBF1" w:themeColor="accent1" w:themeTint="1A"/>
              <w:bottom w:val="single" w:sz="4" w:space="0" w:color="DFEBF1" w:themeColor="accent1" w:themeTint="1A"/>
            </w:tcBorders>
            <w:vAlign w:val="center"/>
          </w:tcPr>
          <w:p w14:paraId="673E785B" w14:textId="271B103A" w:rsidR="008A0ECA" w:rsidRPr="00A504D6" w:rsidRDefault="003A11FF" w:rsidP="00A504D6">
            <w:pPr>
              <w:spacing w:before="120" w:after="120"/>
              <w:rPr>
                <w:color w:val="1C1C1C"/>
                <w:sz w:val="16"/>
                <w:szCs w:val="16"/>
              </w:rPr>
            </w:pPr>
            <w:r w:rsidRPr="003A11FF">
              <w:rPr>
                <w:color w:val="1C1C1C"/>
                <w:sz w:val="16"/>
                <w:szCs w:val="16"/>
              </w:rPr>
              <w:t>A2328051C</w:t>
            </w:r>
          </w:p>
        </w:tc>
      </w:tr>
      <w:tr w:rsidR="008A0ECA" w:rsidRPr="004E67F4" w14:paraId="5917988B"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10E42F5E" w14:textId="258F29BF" w:rsidR="008A0ECA" w:rsidRPr="00A504D6" w:rsidRDefault="008A0ECA">
            <w:pPr>
              <w:spacing w:before="120" w:after="120"/>
              <w:rPr>
                <w:color w:val="1C1C1C"/>
                <w:sz w:val="16"/>
                <w:szCs w:val="16"/>
              </w:rPr>
            </w:pPr>
            <w:r w:rsidRPr="00A504D6">
              <w:rPr>
                <w:sz w:val="16"/>
                <w:szCs w:val="16"/>
              </w:rPr>
              <w:t>Utilities, including electricity, gas, council rates and rubbish removal</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1CF9D9DB" w14:textId="54C3FB39" w:rsidR="008A0ECA" w:rsidRPr="00A504D6" w:rsidRDefault="001F442F" w:rsidP="008A0ECA">
            <w:pPr>
              <w:spacing w:before="120" w:after="120"/>
              <w:rPr>
                <w:color w:val="1C1C1C"/>
                <w:sz w:val="16"/>
                <w:szCs w:val="16"/>
              </w:rPr>
            </w:pPr>
            <w:r w:rsidRPr="00A504D6">
              <w:rPr>
                <w:color w:val="1C1C1C"/>
                <w:sz w:val="16"/>
                <w:szCs w:val="16"/>
              </w:rPr>
              <w:t>Utilities</w:t>
            </w:r>
          </w:p>
        </w:tc>
        <w:tc>
          <w:tcPr>
            <w:tcW w:w="0" w:type="pct"/>
            <w:tcBorders>
              <w:top w:val="single" w:sz="4" w:space="0" w:color="DFEBF1" w:themeColor="accent1" w:themeTint="1A"/>
              <w:bottom w:val="single" w:sz="4" w:space="0" w:color="DFEBF1" w:themeColor="accent1" w:themeTint="1A"/>
            </w:tcBorders>
            <w:vAlign w:val="center"/>
          </w:tcPr>
          <w:p w14:paraId="38275C95" w14:textId="0BCF04C8" w:rsidR="008A0ECA" w:rsidRPr="00A504D6" w:rsidRDefault="004A3164" w:rsidP="00A504D6">
            <w:pPr>
              <w:spacing w:before="120" w:after="120"/>
              <w:rPr>
                <w:color w:val="1C1C1C"/>
                <w:sz w:val="16"/>
                <w:szCs w:val="16"/>
              </w:rPr>
            </w:pPr>
            <w:r w:rsidRPr="004A3164">
              <w:rPr>
                <w:color w:val="1C1C1C"/>
                <w:sz w:val="16"/>
                <w:szCs w:val="16"/>
              </w:rPr>
              <w:t>A2326521X</w:t>
            </w:r>
          </w:p>
        </w:tc>
      </w:tr>
      <w:tr w:rsidR="008A0ECA" w:rsidRPr="004E67F4" w14:paraId="70C08FA6"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7C6AC4C4" w14:textId="00455E9F" w:rsidR="008A0ECA" w:rsidRPr="00A504D6" w:rsidRDefault="008A0ECA">
            <w:pPr>
              <w:spacing w:before="120" w:after="120"/>
              <w:rPr>
                <w:color w:val="1C1C1C"/>
                <w:sz w:val="16"/>
                <w:szCs w:val="16"/>
              </w:rPr>
            </w:pPr>
            <w:r w:rsidRPr="00A504D6">
              <w:rPr>
                <w:sz w:val="16"/>
                <w:szCs w:val="16"/>
              </w:rPr>
              <w:t xml:space="preserve">Motor vehicle operation, </w:t>
            </w:r>
            <w:r w:rsidR="00411310" w:rsidRPr="00A504D6">
              <w:rPr>
                <w:sz w:val="16"/>
                <w:szCs w:val="16"/>
              </w:rPr>
              <w:t>maintenance,</w:t>
            </w:r>
            <w:r w:rsidRPr="00A504D6">
              <w:rPr>
                <w:sz w:val="16"/>
                <w:szCs w:val="16"/>
              </w:rPr>
              <w:t xml:space="preserve"> and repair</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270B949B" w14:textId="334F0D7A" w:rsidR="008A0ECA" w:rsidRPr="00A504D6" w:rsidRDefault="001F442F" w:rsidP="008A0ECA">
            <w:pPr>
              <w:spacing w:before="120" w:after="120"/>
              <w:rPr>
                <w:color w:val="1C1C1C"/>
                <w:sz w:val="16"/>
                <w:szCs w:val="16"/>
              </w:rPr>
            </w:pPr>
            <w:r w:rsidRPr="00A504D6">
              <w:rPr>
                <w:color w:val="1C1C1C"/>
                <w:sz w:val="16"/>
                <w:szCs w:val="16"/>
              </w:rPr>
              <w:t>Private motoring</w:t>
            </w:r>
          </w:p>
        </w:tc>
        <w:tc>
          <w:tcPr>
            <w:tcW w:w="0" w:type="pct"/>
            <w:tcBorders>
              <w:top w:val="single" w:sz="4" w:space="0" w:color="DFEBF1" w:themeColor="accent1" w:themeTint="1A"/>
              <w:bottom w:val="single" w:sz="4" w:space="0" w:color="DFEBF1" w:themeColor="accent1" w:themeTint="1A"/>
            </w:tcBorders>
            <w:vAlign w:val="center"/>
          </w:tcPr>
          <w:p w14:paraId="0250CC77" w14:textId="1099E321" w:rsidR="008A0ECA" w:rsidRPr="00A504D6" w:rsidRDefault="004A3164" w:rsidP="00A504D6">
            <w:pPr>
              <w:spacing w:before="120" w:after="120"/>
              <w:rPr>
                <w:color w:val="1C1C1C"/>
                <w:sz w:val="16"/>
                <w:szCs w:val="16"/>
              </w:rPr>
            </w:pPr>
            <w:r w:rsidRPr="004A3164">
              <w:rPr>
                <w:color w:val="1C1C1C"/>
                <w:sz w:val="16"/>
                <w:szCs w:val="16"/>
              </w:rPr>
              <w:t>A2326656J</w:t>
            </w:r>
          </w:p>
        </w:tc>
      </w:tr>
      <w:tr w:rsidR="00C237DE" w:rsidRPr="00C7405B" w14:paraId="348101F0" w14:textId="77777777" w:rsidTr="00C7405B">
        <w:trPr>
          <w:cnfStyle w:val="000000100000" w:firstRow="0" w:lastRow="0" w:firstColumn="0" w:lastColumn="0" w:oddVBand="0" w:evenVBand="0" w:oddHBand="1" w:evenHBand="0" w:firstRowFirstColumn="0" w:firstRowLastColumn="0" w:lastRowFirstColumn="0" w:lastRowLastColumn="0"/>
          <w:cantSplit/>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3CE88321" w14:textId="1D30818C" w:rsidR="55901832" w:rsidRDefault="55901832" w:rsidP="00263B20">
            <w:pPr>
              <w:spacing w:before="120" w:after="120"/>
              <w:rPr>
                <w:sz w:val="16"/>
                <w:szCs w:val="16"/>
              </w:rPr>
            </w:pPr>
            <w:r w:rsidRPr="65BCC4D4">
              <w:rPr>
                <w:sz w:val="16"/>
                <w:szCs w:val="16"/>
              </w:rPr>
              <w:t>WorkCover premiums for hotel staff</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6BBFB687" w14:textId="48E6118C" w:rsidR="65BCC4D4" w:rsidRPr="00263B20" w:rsidRDefault="060E4CF1" w:rsidP="00263B20">
            <w:pPr>
              <w:spacing w:before="120" w:after="120"/>
              <w:rPr>
                <w:sz w:val="16"/>
                <w:szCs w:val="16"/>
              </w:rPr>
            </w:pPr>
            <w:r w:rsidRPr="00263B20">
              <w:rPr>
                <w:sz w:val="16"/>
                <w:szCs w:val="16"/>
              </w:rPr>
              <w:t>Insurance</w:t>
            </w:r>
          </w:p>
        </w:tc>
        <w:tc>
          <w:tcPr>
            <w:tcW w:w="0" w:type="dxa"/>
            <w:tcBorders>
              <w:top w:val="single" w:sz="4" w:space="0" w:color="DFEBF1" w:themeColor="accent1" w:themeTint="1A"/>
              <w:bottom w:val="single" w:sz="4" w:space="0" w:color="DFEBF1" w:themeColor="accent1" w:themeTint="1A"/>
            </w:tcBorders>
            <w:vAlign w:val="center"/>
          </w:tcPr>
          <w:p w14:paraId="14CB6BEC" w14:textId="5ED8810C" w:rsidR="65BCC4D4" w:rsidRPr="00263B20" w:rsidRDefault="060E4CF1" w:rsidP="00263B20">
            <w:pPr>
              <w:spacing w:before="120" w:after="120"/>
              <w:rPr>
                <w:sz w:val="16"/>
                <w:szCs w:val="16"/>
              </w:rPr>
            </w:pPr>
            <w:r w:rsidRPr="00263B20">
              <w:rPr>
                <w:sz w:val="16"/>
                <w:szCs w:val="16"/>
              </w:rPr>
              <w:t>A3602878J</w:t>
            </w:r>
          </w:p>
        </w:tc>
      </w:tr>
      <w:tr w:rsidR="008A0ECA" w:rsidRPr="004E67F4" w14:paraId="60C418D1"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3D60B36F" w14:textId="105A1B7B" w:rsidR="008A0ECA" w:rsidRPr="00A504D6" w:rsidRDefault="008A0ECA">
            <w:pPr>
              <w:spacing w:before="120" w:after="120"/>
              <w:rPr>
                <w:color w:val="1C1C1C"/>
                <w:sz w:val="16"/>
                <w:szCs w:val="16"/>
              </w:rPr>
            </w:pPr>
            <w:r w:rsidRPr="00A504D6">
              <w:rPr>
                <w:sz w:val="16"/>
                <w:szCs w:val="16"/>
              </w:rPr>
              <w:t xml:space="preserve">Other administrative expenses, including </w:t>
            </w:r>
            <w:r w:rsidR="003022EA">
              <w:rPr>
                <w:sz w:val="16"/>
                <w:szCs w:val="16"/>
              </w:rPr>
              <w:t>c</w:t>
            </w:r>
            <w:r w:rsidR="00A504D6" w:rsidRPr="00A504D6">
              <w:rPr>
                <w:sz w:val="16"/>
                <w:szCs w:val="16"/>
              </w:rPr>
              <w:t>orporate</w:t>
            </w:r>
            <w:r w:rsidR="6A119AE0" w:rsidRPr="65BCC4D4">
              <w:rPr>
                <w:sz w:val="16"/>
                <w:szCs w:val="16"/>
              </w:rPr>
              <w:t xml:space="preserve"> </w:t>
            </w:r>
            <w:r w:rsidR="004F3823">
              <w:rPr>
                <w:sz w:val="16"/>
                <w:szCs w:val="16"/>
              </w:rPr>
              <w:t>recharge</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41D081D1" w14:textId="252DE2EC" w:rsidR="008A0ECA" w:rsidRPr="00A504D6" w:rsidRDefault="007B42BF" w:rsidP="008A0ECA">
            <w:pPr>
              <w:spacing w:before="120" w:after="120"/>
              <w:rPr>
                <w:color w:val="1C1C1C"/>
                <w:sz w:val="16"/>
                <w:szCs w:val="16"/>
              </w:rPr>
            </w:pPr>
            <w:r w:rsidRPr="00A504D6">
              <w:rPr>
                <w:color w:val="1C1C1C"/>
                <w:sz w:val="16"/>
                <w:szCs w:val="16"/>
              </w:rPr>
              <w:t>Other financial services</w:t>
            </w:r>
          </w:p>
        </w:tc>
        <w:tc>
          <w:tcPr>
            <w:tcW w:w="0" w:type="pct"/>
            <w:tcBorders>
              <w:top w:val="single" w:sz="4" w:space="0" w:color="DFEBF1" w:themeColor="accent1" w:themeTint="1A"/>
              <w:bottom w:val="single" w:sz="4" w:space="0" w:color="DFEBF1" w:themeColor="accent1" w:themeTint="1A"/>
            </w:tcBorders>
            <w:vAlign w:val="center"/>
          </w:tcPr>
          <w:p w14:paraId="7710F641" w14:textId="67259F0E" w:rsidR="008A0ECA" w:rsidRPr="00A504D6" w:rsidRDefault="000419C3" w:rsidP="00A504D6">
            <w:pPr>
              <w:spacing w:before="120" w:after="120"/>
              <w:rPr>
                <w:color w:val="1C1C1C"/>
                <w:sz w:val="16"/>
                <w:szCs w:val="16"/>
              </w:rPr>
            </w:pPr>
            <w:r w:rsidRPr="000419C3">
              <w:rPr>
                <w:color w:val="1C1C1C"/>
                <w:sz w:val="16"/>
                <w:szCs w:val="16"/>
              </w:rPr>
              <w:t>A2332776R</w:t>
            </w:r>
          </w:p>
        </w:tc>
      </w:tr>
      <w:tr w:rsidR="0098407B" w:rsidRPr="004E67F4" w14:paraId="5A5CDC9D"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6B92581C" w14:textId="31F6B75F" w:rsidR="0098407B" w:rsidRPr="00A504D6" w:rsidRDefault="00B47738">
            <w:pPr>
              <w:spacing w:before="120" w:after="120"/>
              <w:rPr>
                <w:sz w:val="16"/>
                <w:szCs w:val="16"/>
              </w:rPr>
            </w:pPr>
            <w:r w:rsidRPr="00A504D6">
              <w:rPr>
                <w:sz w:val="16"/>
                <w:szCs w:val="16"/>
              </w:rPr>
              <w:t>Other hotel expenses not covered above</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10761345" w14:textId="261E6893" w:rsidR="007B42BF" w:rsidRPr="00A504D6" w:rsidRDefault="007B42BF" w:rsidP="00764504">
            <w:pPr>
              <w:pStyle w:val="ListLevel1"/>
              <w:numPr>
                <w:ilvl w:val="0"/>
                <w:numId w:val="0"/>
              </w:numPr>
              <w:rPr>
                <w:sz w:val="16"/>
                <w:szCs w:val="16"/>
              </w:rPr>
            </w:pPr>
            <w:r w:rsidRPr="00A504D6">
              <w:rPr>
                <w:sz w:val="16"/>
                <w:szCs w:val="16"/>
              </w:rPr>
              <w:t>Audio, visual</w:t>
            </w:r>
            <w:r w:rsidR="00764504">
              <w:rPr>
                <w:sz w:val="16"/>
                <w:szCs w:val="16"/>
              </w:rPr>
              <w:t>,</w:t>
            </w:r>
            <w:r w:rsidRPr="00A504D6">
              <w:rPr>
                <w:sz w:val="16"/>
                <w:szCs w:val="16"/>
              </w:rPr>
              <w:t xml:space="preserve"> and computing equipment and services</w:t>
            </w:r>
          </w:p>
          <w:p w14:paraId="1CCDFA50" w14:textId="779E98D4" w:rsidR="007B42BF" w:rsidRPr="00A504D6" w:rsidRDefault="007B42BF" w:rsidP="00764504">
            <w:pPr>
              <w:pStyle w:val="ListLevel1"/>
              <w:numPr>
                <w:ilvl w:val="0"/>
                <w:numId w:val="0"/>
              </w:numPr>
              <w:rPr>
                <w:sz w:val="16"/>
                <w:szCs w:val="16"/>
              </w:rPr>
            </w:pPr>
            <w:r w:rsidRPr="00A504D6">
              <w:rPr>
                <w:sz w:val="16"/>
                <w:szCs w:val="16"/>
              </w:rPr>
              <w:t>Newspapers, books</w:t>
            </w:r>
            <w:r w:rsidR="00764504">
              <w:rPr>
                <w:sz w:val="16"/>
                <w:szCs w:val="16"/>
              </w:rPr>
              <w:t>,</w:t>
            </w:r>
            <w:r w:rsidRPr="00A504D6">
              <w:rPr>
                <w:sz w:val="16"/>
                <w:szCs w:val="16"/>
              </w:rPr>
              <w:t xml:space="preserve"> and stationery</w:t>
            </w:r>
          </w:p>
          <w:p w14:paraId="684B232E" w14:textId="1A59FD85" w:rsidR="0098407B" w:rsidRPr="00A504D6" w:rsidRDefault="007B42BF" w:rsidP="00764504">
            <w:pPr>
              <w:pStyle w:val="ListLevel1"/>
              <w:numPr>
                <w:ilvl w:val="0"/>
                <w:numId w:val="0"/>
              </w:numPr>
              <w:rPr>
                <w:sz w:val="16"/>
                <w:szCs w:val="16"/>
              </w:rPr>
            </w:pPr>
            <w:r w:rsidRPr="00A504D6">
              <w:rPr>
                <w:sz w:val="16"/>
                <w:szCs w:val="16"/>
              </w:rPr>
              <w:t>Other recreation, sport</w:t>
            </w:r>
            <w:r w:rsidR="00764504">
              <w:rPr>
                <w:sz w:val="16"/>
                <w:szCs w:val="16"/>
              </w:rPr>
              <w:t>,</w:t>
            </w:r>
            <w:r w:rsidRPr="00A504D6">
              <w:rPr>
                <w:sz w:val="16"/>
                <w:szCs w:val="16"/>
              </w:rPr>
              <w:t xml:space="preserve"> and culture</w:t>
            </w:r>
          </w:p>
        </w:tc>
        <w:tc>
          <w:tcPr>
            <w:tcW w:w="0" w:type="pct"/>
            <w:tcBorders>
              <w:top w:val="single" w:sz="4" w:space="0" w:color="DFEBF1" w:themeColor="accent1" w:themeTint="1A"/>
              <w:bottom w:val="single" w:sz="4" w:space="0" w:color="DFEBF1" w:themeColor="accent1" w:themeTint="1A"/>
            </w:tcBorders>
            <w:vAlign w:val="center"/>
          </w:tcPr>
          <w:p w14:paraId="5893A883" w14:textId="77777777" w:rsidR="0098407B" w:rsidRPr="00906A4F" w:rsidRDefault="004A3164" w:rsidP="00764504">
            <w:pPr>
              <w:pStyle w:val="ListLevel1"/>
              <w:numPr>
                <w:ilvl w:val="0"/>
                <w:numId w:val="0"/>
              </w:numPr>
              <w:rPr>
                <w:sz w:val="16"/>
                <w:szCs w:val="16"/>
              </w:rPr>
            </w:pPr>
            <w:r w:rsidRPr="00906A4F">
              <w:rPr>
                <w:sz w:val="16"/>
                <w:szCs w:val="16"/>
              </w:rPr>
              <w:t>A3604423X</w:t>
            </w:r>
          </w:p>
          <w:p w14:paraId="16AE9FC0" w14:textId="77777777" w:rsidR="004A3164" w:rsidRPr="00906A4F" w:rsidRDefault="000419C3" w:rsidP="00764504">
            <w:pPr>
              <w:pStyle w:val="ListLevel1"/>
              <w:numPr>
                <w:ilvl w:val="0"/>
                <w:numId w:val="0"/>
              </w:numPr>
              <w:rPr>
                <w:sz w:val="16"/>
                <w:szCs w:val="16"/>
              </w:rPr>
            </w:pPr>
            <w:r w:rsidRPr="00906A4F">
              <w:rPr>
                <w:sz w:val="16"/>
                <w:szCs w:val="16"/>
              </w:rPr>
              <w:t>A3604408A</w:t>
            </w:r>
          </w:p>
          <w:p w14:paraId="2591830A" w14:textId="1B322674" w:rsidR="000419C3" w:rsidRPr="00A504D6" w:rsidRDefault="000419C3" w:rsidP="00764504">
            <w:pPr>
              <w:pStyle w:val="ListLevel1"/>
              <w:numPr>
                <w:ilvl w:val="0"/>
                <w:numId w:val="0"/>
              </w:numPr>
              <w:rPr>
                <w:color w:val="1C1C1C"/>
                <w:sz w:val="16"/>
                <w:szCs w:val="16"/>
              </w:rPr>
            </w:pPr>
            <w:r w:rsidRPr="00906A4F">
              <w:rPr>
                <w:sz w:val="16"/>
                <w:szCs w:val="16"/>
              </w:rPr>
              <w:t>A2331381C</w:t>
            </w:r>
          </w:p>
        </w:tc>
      </w:tr>
    </w:tbl>
    <w:p w14:paraId="65816517" w14:textId="77777777" w:rsidR="00BB3F92" w:rsidRDefault="00BB3F92" w:rsidP="00BB3F92"/>
    <w:p w14:paraId="5B9E6E25" w14:textId="3E5F31B5" w:rsidR="00A80861" w:rsidRDefault="00BB3F92" w:rsidP="00BB3F92">
      <w:r w:rsidRPr="00A80861">
        <w:t>As with the non-labour direct care index</w:t>
      </w:r>
      <w:r w:rsidR="00A80861">
        <w:t xml:space="preserve"> series construction described in section </w:t>
      </w:r>
      <w:r w:rsidR="00A80861">
        <w:fldChar w:fldCharType="begin"/>
      </w:r>
      <w:r w:rsidR="00A80861">
        <w:instrText xml:space="preserve"> REF _Ref120690951 \r \p \h </w:instrText>
      </w:r>
      <w:r w:rsidR="00A80861">
        <w:fldChar w:fldCharType="separate"/>
      </w:r>
      <w:r w:rsidR="00B1072E">
        <w:t>5.3 above</w:t>
      </w:r>
      <w:r w:rsidR="00A80861">
        <w:fldChar w:fldCharType="end"/>
      </w:r>
      <w:r w:rsidRPr="00A80861">
        <w:t xml:space="preserve">, a composite index </w:t>
      </w:r>
      <w:r w:rsidR="00A80861">
        <w:t xml:space="preserve">series </w:t>
      </w:r>
      <w:r w:rsidRPr="00A80861">
        <w:t>(the hotel index</w:t>
      </w:r>
      <w:r w:rsidR="00A80861">
        <w:t xml:space="preserve"> series</w:t>
      </w:r>
      <w:r w:rsidRPr="00A80861">
        <w:t>) was constructed using the above ABS index</w:t>
      </w:r>
      <w:r w:rsidR="00A80861">
        <w:t xml:space="preserve"> series</w:t>
      </w:r>
      <w:r w:rsidRPr="00A80861">
        <w:t>,</w:t>
      </w:r>
      <w:r w:rsidR="00A80861">
        <w:t xml:space="preserve"> re-referenced to equal 100.0 in the </w:t>
      </w:r>
      <w:r w:rsidR="3F96BCB0">
        <w:t xml:space="preserve">December </w:t>
      </w:r>
      <w:r w:rsidR="1D12A992">
        <w:t>2022</w:t>
      </w:r>
      <w:r w:rsidR="00A80861">
        <w:t xml:space="preserve"> quarter, and</w:t>
      </w:r>
      <w:r w:rsidRPr="00A80861">
        <w:t xml:space="preserve"> weighted according to the </w:t>
      </w:r>
      <w:r w:rsidR="001C46E1">
        <w:t xml:space="preserve">cost </w:t>
      </w:r>
      <w:r w:rsidRPr="00A80861">
        <w:t>proportions</w:t>
      </w:r>
      <w:r w:rsidR="00A80861" w:rsidRPr="00A80861">
        <w:t xml:space="preserve"> in the </w:t>
      </w:r>
      <w:r w:rsidR="00A80861">
        <w:t xml:space="preserve">trimmed, adjusted </w:t>
      </w:r>
      <w:r w:rsidR="00EB0933">
        <w:t>ACFR 2020-21</w:t>
      </w:r>
      <w:r w:rsidRPr="00A80861">
        <w:t>.</w:t>
      </w:r>
      <w:r w:rsidR="00A80861">
        <w:t xml:space="preserve"> These </w:t>
      </w:r>
      <w:r w:rsidR="001C46E1">
        <w:t xml:space="preserve">cost proportions are summarised in </w:t>
      </w:r>
      <w:r w:rsidR="001C46E1">
        <w:fldChar w:fldCharType="begin"/>
      </w:r>
      <w:r w:rsidR="001C46E1">
        <w:instrText xml:space="preserve"> REF _Ref120691054 \h </w:instrText>
      </w:r>
      <w:r w:rsidR="001C46E1">
        <w:fldChar w:fldCharType="separate"/>
      </w:r>
      <w:r w:rsidR="00B1072E">
        <w:t>Table </w:t>
      </w:r>
      <w:r w:rsidR="00B1072E">
        <w:rPr>
          <w:noProof/>
        </w:rPr>
        <w:t>13</w:t>
      </w:r>
      <w:r w:rsidR="001C46E1">
        <w:fldChar w:fldCharType="end"/>
      </w:r>
      <w:r w:rsidR="001C46E1">
        <w:t>.</w:t>
      </w:r>
    </w:p>
    <w:p w14:paraId="3401F1BA" w14:textId="36CC59DA" w:rsidR="001C46E1" w:rsidRDefault="00273B40" w:rsidP="001C46E1">
      <w:pPr>
        <w:pStyle w:val="TableFigureheading"/>
      </w:pPr>
      <w:bookmarkStart w:id="60" w:name="_Ref120691054"/>
      <w:r>
        <w:lastRenderedPageBreak/>
        <w:t>Table </w:t>
      </w:r>
      <w:fldSimple w:instr=" SEQ Table \* ARABIC ">
        <w:r w:rsidR="00B1072E">
          <w:rPr>
            <w:noProof/>
          </w:rPr>
          <w:t>13</w:t>
        </w:r>
      </w:fldSimple>
      <w:bookmarkEnd w:id="60"/>
      <w:r w:rsidR="001C46E1">
        <w:t xml:space="preserve">: Hotel cost proportions in the trimmed, adjusted </w:t>
      </w:r>
      <w:r w:rsidR="00EB0933">
        <w:t>ACFR 2020-21</w:t>
      </w:r>
    </w:p>
    <w:tbl>
      <w:tblPr>
        <w:tblStyle w:val="IHPATable"/>
        <w:tblW w:w="4481" w:type="pct"/>
        <w:tblLook w:val="0020" w:firstRow="1" w:lastRow="0" w:firstColumn="0" w:lastColumn="0" w:noHBand="0" w:noVBand="0"/>
        <w:tblCaption w:val="Table 10"/>
        <w:tblDescription w:val="Ongoing seconded employees 2021"/>
      </w:tblPr>
      <w:tblGrid>
        <w:gridCol w:w="5101"/>
        <w:gridCol w:w="2323"/>
        <w:gridCol w:w="1310"/>
      </w:tblGrid>
      <w:tr w:rsidR="00D5755F" w:rsidRPr="00733486" w14:paraId="4975A468" w14:textId="77777777" w:rsidTr="00263B20">
        <w:trPr>
          <w:cnfStyle w:val="100000000000" w:firstRow="1" w:lastRow="0" w:firstColumn="0" w:lastColumn="0" w:oddVBand="0" w:evenVBand="0" w:oddHBand="0" w:evenHBand="0" w:firstRowFirstColumn="0" w:firstRowLastColumn="0" w:lastRowFirstColumn="0" w:lastRowLastColumn="0"/>
          <w:trHeight w:val="20"/>
        </w:trPr>
        <w:tc>
          <w:tcPr>
            <w:tcW w:w="2920" w:type="pct"/>
            <w:tcBorders>
              <w:right w:val="single" w:sz="4" w:space="0" w:color="FFFFFF" w:themeColor="accent6"/>
            </w:tcBorders>
            <w:shd w:val="clear" w:color="auto" w:fill="15272F" w:themeFill="accent1"/>
            <w:vAlign w:val="center"/>
          </w:tcPr>
          <w:p w14:paraId="49A334F3" w14:textId="2B7A1C82" w:rsidR="008B61A2" w:rsidRPr="00733486" w:rsidRDefault="004474A1" w:rsidP="008B61A2">
            <w:pPr>
              <w:keepNext/>
              <w:spacing w:before="120" w:after="120"/>
              <w:rPr>
                <w:rFonts w:cs="Arial"/>
                <w:b/>
                <w:bCs/>
                <w:color w:val="FFFFFF" w:themeColor="background2"/>
                <w:szCs w:val="18"/>
                <w:lang w:val="en-US"/>
              </w:rPr>
            </w:pPr>
            <w:r>
              <w:rPr>
                <w:rFonts w:cs="Arial"/>
                <w:b/>
                <w:bCs/>
                <w:color w:val="FFFFFF" w:themeColor="background2"/>
                <w:szCs w:val="18"/>
                <w:lang w:val="en-US"/>
              </w:rPr>
              <w:t>Hotel cost</w:t>
            </w:r>
            <w:r w:rsidR="008B61A2">
              <w:rPr>
                <w:rFonts w:cs="Arial"/>
                <w:b/>
                <w:bCs/>
                <w:color w:val="FFFFFF" w:themeColor="background2"/>
                <w:szCs w:val="18"/>
                <w:lang w:val="en-US"/>
              </w:rPr>
              <w:t xml:space="preserve"> c</w:t>
            </w:r>
            <w:r w:rsidR="008B61A2" w:rsidRPr="00733486">
              <w:rPr>
                <w:rFonts w:cs="Arial"/>
                <w:b/>
                <w:bCs/>
                <w:color w:val="FFFFFF" w:themeColor="background2"/>
                <w:szCs w:val="18"/>
                <w:lang w:val="en-US"/>
              </w:rPr>
              <w:t>omponent</w:t>
            </w:r>
          </w:p>
        </w:tc>
        <w:tc>
          <w:tcPr>
            <w:tcW w:w="1330" w:type="pct"/>
            <w:tcBorders>
              <w:left w:val="single" w:sz="4" w:space="0" w:color="FFFFFF" w:themeColor="accent6"/>
            </w:tcBorders>
            <w:shd w:val="clear" w:color="auto" w:fill="15272F" w:themeFill="accent1"/>
            <w:vAlign w:val="center"/>
          </w:tcPr>
          <w:p w14:paraId="153339F4" w14:textId="29B6FDE4" w:rsidR="008B61A2" w:rsidRPr="00733486" w:rsidRDefault="008B61A2" w:rsidP="008B61A2">
            <w:pPr>
              <w:keepNext/>
              <w:spacing w:before="120" w:after="120"/>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Pr>
                <w:rFonts w:cs="Arial"/>
                <w:b/>
                <w:bCs/>
                <w:color w:val="FFFFFF" w:themeColor="background2"/>
                <w:szCs w:val="18"/>
              </w:rPr>
              <w:t>)</w:t>
            </w:r>
          </w:p>
        </w:tc>
        <w:tc>
          <w:tcPr>
            <w:tcW w:w="750" w:type="pct"/>
            <w:tcBorders>
              <w:left w:val="single" w:sz="4" w:space="0" w:color="FFFFFF" w:themeColor="accent6"/>
            </w:tcBorders>
            <w:shd w:val="clear" w:color="auto" w:fill="15272F" w:themeFill="accent1"/>
            <w:vAlign w:val="center"/>
          </w:tcPr>
          <w:p w14:paraId="6942F9CA" w14:textId="4D88D075" w:rsidR="008B61A2" w:rsidRPr="00733486" w:rsidRDefault="008B61A2" w:rsidP="008B61A2">
            <w:pPr>
              <w:keepNext/>
              <w:spacing w:before="120" w:after="120"/>
              <w:rPr>
                <w:rFonts w:cs="Arial"/>
                <w:b/>
                <w:bCs/>
                <w:color w:val="FFFFFF" w:themeColor="background2"/>
                <w:szCs w:val="18"/>
              </w:rPr>
            </w:pPr>
            <w:r>
              <w:rPr>
                <w:rFonts w:cs="Arial"/>
                <w:b/>
                <w:bCs/>
                <w:color w:val="FFFFFF" w:themeColor="background2"/>
                <w:szCs w:val="18"/>
              </w:rPr>
              <w:t>Proportion / weight</w:t>
            </w:r>
          </w:p>
        </w:tc>
      </w:tr>
      <w:tr w:rsidR="00D5755F" w:rsidRPr="00C219EA" w14:paraId="7B4AF7EF"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41310472" w14:textId="5376E608" w:rsidR="00AE678C" w:rsidRPr="00BE5E19" w:rsidRDefault="00AE678C" w:rsidP="00AE678C">
            <w:pPr>
              <w:keepNext/>
              <w:spacing w:before="120" w:after="120"/>
              <w:rPr>
                <w:rFonts w:ascii="Futura PT Book" w:hAnsi="Futura PT Book" w:cs="Futura PT Book"/>
                <w:color w:val="000000"/>
                <w:sz w:val="16"/>
                <w:szCs w:val="16"/>
                <w:lang w:val="en-US"/>
              </w:rPr>
            </w:pPr>
            <w:r>
              <w:rPr>
                <w:sz w:val="16"/>
                <w:szCs w:val="16"/>
              </w:rPr>
              <w:t>Hotel labour</w:t>
            </w:r>
          </w:p>
        </w:tc>
        <w:tc>
          <w:tcPr>
            <w:tcW w:w="1330" w:type="pct"/>
            <w:tcBorders>
              <w:left w:val="single" w:sz="4" w:space="0" w:color="FFFFFF" w:themeColor="accent6"/>
            </w:tcBorders>
            <w:shd w:val="clear" w:color="auto" w:fill="F2F2F2" w:themeFill="accent6" w:themeFillShade="F2"/>
            <w:vAlign w:val="center"/>
          </w:tcPr>
          <w:p w14:paraId="10845B04" w14:textId="0245B87C" w:rsidR="00AE678C" w:rsidRPr="00AE678C" w:rsidRDefault="00AE678C">
            <w:pPr>
              <w:keepNext/>
              <w:spacing w:before="120" w:after="120"/>
              <w:jc w:val="right"/>
              <w:rPr>
                <w:color w:val="1C1C1C"/>
                <w:sz w:val="16"/>
                <w:szCs w:val="16"/>
              </w:rPr>
            </w:pPr>
            <w:r w:rsidRPr="00263B20">
              <w:rPr>
                <w:sz w:val="16"/>
                <w:szCs w:val="16"/>
              </w:rPr>
              <w:t>$975.1m</w:t>
            </w:r>
          </w:p>
        </w:tc>
        <w:tc>
          <w:tcPr>
            <w:tcW w:w="750" w:type="pct"/>
            <w:tcBorders>
              <w:left w:val="single" w:sz="4" w:space="0" w:color="FFFFFF" w:themeColor="accent6"/>
            </w:tcBorders>
            <w:shd w:val="clear" w:color="auto" w:fill="F2F2F2" w:themeFill="accent6" w:themeFillShade="F2"/>
            <w:vAlign w:val="center"/>
          </w:tcPr>
          <w:p w14:paraId="40A45483" w14:textId="4F1B6DEE" w:rsidR="00AE678C" w:rsidRPr="00AE678C" w:rsidRDefault="00AE678C">
            <w:pPr>
              <w:keepNext/>
              <w:spacing w:before="120" w:after="120"/>
              <w:jc w:val="right"/>
              <w:rPr>
                <w:color w:val="1C1C1C"/>
                <w:sz w:val="16"/>
                <w:szCs w:val="16"/>
              </w:rPr>
            </w:pPr>
            <w:r w:rsidRPr="00263B20">
              <w:rPr>
                <w:sz w:val="16"/>
                <w:szCs w:val="16"/>
              </w:rPr>
              <w:t xml:space="preserve">43.73% </w:t>
            </w:r>
          </w:p>
        </w:tc>
      </w:tr>
      <w:tr w:rsidR="00D5755F" w:rsidRPr="00C219EA" w14:paraId="086344B1"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5B0B0E5F" w14:textId="1363AE28"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Catering consumables and contracts</w:t>
            </w:r>
          </w:p>
        </w:tc>
        <w:tc>
          <w:tcPr>
            <w:tcW w:w="1330" w:type="pct"/>
            <w:tcBorders>
              <w:left w:val="single" w:sz="4" w:space="0" w:color="FFFFFF" w:themeColor="accent6"/>
            </w:tcBorders>
            <w:shd w:val="clear" w:color="auto" w:fill="F2F2F2" w:themeFill="accent6" w:themeFillShade="F2"/>
            <w:vAlign w:val="center"/>
          </w:tcPr>
          <w:p w14:paraId="52333C03" w14:textId="15ABDF6E" w:rsidR="00AE678C" w:rsidRPr="00AE678C" w:rsidRDefault="00AE678C">
            <w:pPr>
              <w:keepNext/>
              <w:spacing w:before="120" w:after="120"/>
              <w:jc w:val="right"/>
              <w:rPr>
                <w:color w:val="1C1C1C"/>
                <w:sz w:val="16"/>
                <w:szCs w:val="16"/>
              </w:rPr>
            </w:pPr>
            <w:r w:rsidRPr="00263B20">
              <w:rPr>
                <w:sz w:val="16"/>
                <w:szCs w:val="16"/>
              </w:rPr>
              <w:t>$492.5m</w:t>
            </w:r>
          </w:p>
        </w:tc>
        <w:tc>
          <w:tcPr>
            <w:tcW w:w="750" w:type="pct"/>
            <w:tcBorders>
              <w:left w:val="single" w:sz="4" w:space="0" w:color="FFFFFF" w:themeColor="accent6"/>
            </w:tcBorders>
            <w:shd w:val="clear" w:color="auto" w:fill="F2F2F2" w:themeFill="accent6" w:themeFillShade="F2"/>
            <w:vAlign w:val="center"/>
          </w:tcPr>
          <w:p w14:paraId="12920F57" w14:textId="12E16E5C" w:rsidR="00AE678C" w:rsidRPr="00AE678C" w:rsidRDefault="00AE678C">
            <w:pPr>
              <w:keepNext/>
              <w:spacing w:before="120" w:after="120"/>
              <w:jc w:val="right"/>
              <w:rPr>
                <w:color w:val="1C1C1C"/>
                <w:sz w:val="16"/>
                <w:szCs w:val="16"/>
              </w:rPr>
            </w:pPr>
            <w:r w:rsidRPr="00263B20">
              <w:rPr>
                <w:sz w:val="16"/>
                <w:szCs w:val="16"/>
              </w:rPr>
              <w:t xml:space="preserve">22.09% </w:t>
            </w:r>
          </w:p>
        </w:tc>
      </w:tr>
      <w:tr w:rsidR="00D5755F" w:rsidRPr="00C219EA" w14:paraId="786BA966"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5810C25E" w14:textId="721CE18F"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Cleaning consumables and contracts</w:t>
            </w:r>
          </w:p>
        </w:tc>
        <w:tc>
          <w:tcPr>
            <w:tcW w:w="1330" w:type="pct"/>
            <w:tcBorders>
              <w:left w:val="single" w:sz="4" w:space="0" w:color="FFFFFF" w:themeColor="accent6"/>
            </w:tcBorders>
            <w:shd w:val="clear" w:color="auto" w:fill="F2F2F2" w:themeFill="accent6" w:themeFillShade="F2"/>
            <w:vAlign w:val="center"/>
          </w:tcPr>
          <w:p w14:paraId="15FD77C7" w14:textId="2B5E37EC" w:rsidR="00AE678C" w:rsidRPr="00AE678C" w:rsidRDefault="00AE678C">
            <w:pPr>
              <w:keepNext/>
              <w:spacing w:before="120" w:after="120"/>
              <w:jc w:val="right"/>
              <w:rPr>
                <w:color w:val="1C1C1C"/>
                <w:sz w:val="16"/>
                <w:szCs w:val="16"/>
              </w:rPr>
            </w:pPr>
            <w:r w:rsidRPr="00263B20">
              <w:rPr>
                <w:sz w:val="16"/>
                <w:szCs w:val="16"/>
              </w:rPr>
              <w:t>$110.2m</w:t>
            </w:r>
          </w:p>
        </w:tc>
        <w:tc>
          <w:tcPr>
            <w:tcW w:w="750" w:type="pct"/>
            <w:tcBorders>
              <w:left w:val="single" w:sz="4" w:space="0" w:color="FFFFFF" w:themeColor="accent6"/>
            </w:tcBorders>
            <w:shd w:val="clear" w:color="auto" w:fill="F2F2F2" w:themeFill="accent6" w:themeFillShade="F2"/>
            <w:vAlign w:val="center"/>
          </w:tcPr>
          <w:p w14:paraId="37E8C8C9" w14:textId="3568D35B" w:rsidR="00AE678C" w:rsidRPr="00AE678C" w:rsidRDefault="00AE678C">
            <w:pPr>
              <w:keepNext/>
              <w:spacing w:before="120" w:after="120"/>
              <w:jc w:val="right"/>
              <w:rPr>
                <w:color w:val="1C1C1C"/>
                <w:sz w:val="16"/>
                <w:szCs w:val="16"/>
              </w:rPr>
            </w:pPr>
            <w:r w:rsidRPr="00263B20">
              <w:rPr>
                <w:sz w:val="16"/>
                <w:szCs w:val="16"/>
              </w:rPr>
              <w:t xml:space="preserve">4.94% </w:t>
            </w:r>
          </w:p>
        </w:tc>
      </w:tr>
      <w:tr w:rsidR="00D5755F" w:rsidRPr="00C219EA" w14:paraId="36E722BF"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67595E7A" w14:textId="59063185"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Laundry consumables and contracts</w:t>
            </w:r>
          </w:p>
        </w:tc>
        <w:tc>
          <w:tcPr>
            <w:tcW w:w="1330" w:type="pct"/>
            <w:tcBorders>
              <w:left w:val="single" w:sz="4" w:space="0" w:color="FFFFFF" w:themeColor="accent6"/>
            </w:tcBorders>
            <w:shd w:val="clear" w:color="auto" w:fill="F2F2F2" w:themeFill="accent6" w:themeFillShade="F2"/>
            <w:vAlign w:val="center"/>
          </w:tcPr>
          <w:p w14:paraId="6A8A56C5" w14:textId="7FBE0E50" w:rsidR="00AE678C" w:rsidRPr="00AE678C" w:rsidRDefault="00AE678C">
            <w:pPr>
              <w:keepNext/>
              <w:spacing w:before="120" w:after="120"/>
              <w:jc w:val="right"/>
              <w:rPr>
                <w:color w:val="1C1C1C"/>
                <w:sz w:val="16"/>
                <w:szCs w:val="16"/>
              </w:rPr>
            </w:pPr>
            <w:r w:rsidRPr="00263B20">
              <w:rPr>
                <w:sz w:val="16"/>
                <w:szCs w:val="16"/>
              </w:rPr>
              <w:t>$54.7m</w:t>
            </w:r>
          </w:p>
        </w:tc>
        <w:tc>
          <w:tcPr>
            <w:tcW w:w="750" w:type="pct"/>
            <w:tcBorders>
              <w:left w:val="single" w:sz="4" w:space="0" w:color="FFFFFF" w:themeColor="accent6"/>
            </w:tcBorders>
            <w:shd w:val="clear" w:color="auto" w:fill="F2F2F2" w:themeFill="accent6" w:themeFillShade="F2"/>
            <w:vAlign w:val="center"/>
          </w:tcPr>
          <w:p w14:paraId="582FA559" w14:textId="38E2F708" w:rsidR="00AE678C" w:rsidRPr="00AE678C" w:rsidRDefault="00AE678C">
            <w:pPr>
              <w:keepNext/>
              <w:spacing w:before="120" w:after="120"/>
              <w:jc w:val="right"/>
              <w:rPr>
                <w:color w:val="1C1C1C"/>
                <w:sz w:val="16"/>
                <w:szCs w:val="16"/>
              </w:rPr>
            </w:pPr>
            <w:r w:rsidRPr="00263B20">
              <w:rPr>
                <w:sz w:val="16"/>
                <w:szCs w:val="16"/>
              </w:rPr>
              <w:t xml:space="preserve">2.45% </w:t>
            </w:r>
          </w:p>
        </w:tc>
      </w:tr>
      <w:tr w:rsidR="00D5755F" w:rsidRPr="00C219EA" w14:paraId="56F5187B"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6A9775AE" w14:textId="5C026233"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Utilities, including electricity, gas, council rates and rubbish removal</w:t>
            </w:r>
          </w:p>
        </w:tc>
        <w:tc>
          <w:tcPr>
            <w:tcW w:w="1330" w:type="pct"/>
            <w:tcBorders>
              <w:left w:val="single" w:sz="4" w:space="0" w:color="FFFFFF" w:themeColor="accent6"/>
            </w:tcBorders>
            <w:shd w:val="clear" w:color="auto" w:fill="F2F2F2" w:themeFill="accent6" w:themeFillShade="F2"/>
            <w:vAlign w:val="center"/>
          </w:tcPr>
          <w:p w14:paraId="4F8A83B4" w14:textId="0BCD5377" w:rsidR="00AE678C" w:rsidRPr="00AE678C" w:rsidRDefault="00AE678C">
            <w:pPr>
              <w:keepNext/>
              <w:spacing w:before="120" w:after="120"/>
              <w:jc w:val="right"/>
              <w:rPr>
                <w:color w:val="1C1C1C"/>
                <w:sz w:val="16"/>
                <w:szCs w:val="16"/>
              </w:rPr>
            </w:pPr>
            <w:r w:rsidRPr="00263B20">
              <w:rPr>
                <w:sz w:val="16"/>
                <w:szCs w:val="16"/>
              </w:rPr>
              <w:t>$220.7m</w:t>
            </w:r>
          </w:p>
        </w:tc>
        <w:tc>
          <w:tcPr>
            <w:tcW w:w="750" w:type="pct"/>
            <w:tcBorders>
              <w:left w:val="single" w:sz="4" w:space="0" w:color="FFFFFF" w:themeColor="accent6"/>
            </w:tcBorders>
            <w:shd w:val="clear" w:color="auto" w:fill="F2F2F2" w:themeFill="accent6" w:themeFillShade="F2"/>
            <w:vAlign w:val="center"/>
          </w:tcPr>
          <w:p w14:paraId="0FEB7506" w14:textId="43F26FAD" w:rsidR="00AE678C" w:rsidRPr="00AE678C" w:rsidRDefault="00AE678C">
            <w:pPr>
              <w:keepNext/>
              <w:spacing w:before="120" w:after="120"/>
              <w:jc w:val="right"/>
              <w:rPr>
                <w:color w:val="1C1C1C"/>
                <w:sz w:val="16"/>
                <w:szCs w:val="16"/>
              </w:rPr>
            </w:pPr>
            <w:r w:rsidRPr="00263B20">
              <w:rPr>
                <w:sz w:val="16"/>
                <w:szCs w:val="16"/>
              </w:rPr>
              <w:t xml:space="preserve">9.90% </w:t>
            </w:r>
          </w:p>
        </w:tc>
      </w:tr>
      <w:tr w:rsidR="00D5755F" w:rsidRPr="00C219EA" w14:paraId="477F83B4"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6B54F370" w14:textId="4D2484C0"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Motor vehicle operation, maintenance, and repair</w:t>
            </w:r>
          </w:p>
        </w:tc>
        <w:tc>
          <w:tcPr>
            <w:tcW w:w="1330" w:type="pct"/>
            <w:tcBorders>
              <w:left w:val="single" w:sz="4" w:space="0" w:color="FFFFFF" w:themeColor="accent6"/>
            </w:tcBorders>
            <w:shd w:val="clear" w:color="auto" w:fill="F2F2F2" w:themeFill="accent6" w:themeFillShade="F2"/>
            <w:vAlign w:val="center"/>
          </w:tcPr>
          <w:p w14:paraId="350BF54B" w14:textId="59F6ADF1" w:rsidR="00AE678C" w:rsidRPr="00AE678C" w:rsidRDefault="00AE678C">
            <w:pPr>
              <w:keepNext/>
              <w:spacing w:before="120" w:after="120"/>
              <w:jc w:val="right"/>
              <w:rPr>
                <w:color w:val="1C1C1C"/>
                <w:sz w:val="16"/>
                <w:szCs w:val="16"/>
              </w:rPr>
            </w:pPr>
            <w:r w:rsidRPr="00263B20">
              <w:rPr>
                <w:sz w:val="16"/>
                <w:szCs w:val="16"/>
              </w:rPr>
              <w:t>$6.3m</w:t>
            </w:r>
          </w:p>
        </w:tc>
        <w:tc>
          <w:tcPr>
            <w:tcW w:w="750" w:type="pct"/>
            <w:tcBorders>
              <w:left w:val="single" w:sz="4" w:space="0" w:color="FFFFFF" w:themeColor="accent6"/>
            </w:tcBorders>
            <w:shd w:val="clear" w:color="auto" w:fill="F2F2F2" w:themeFill="accent6" w:themeFillShade="F2"/>
            <w:vAlign w:val="center"/>
          </w:tcPr>
          <w:p w14:paraId="26CDFD6A" w14:textId="55C3635D" w:rsidR="00AE678C" w:rsidRPr="00AE678C" w:rsidRDefault="00AE678C">
            <w:pPr>
              <w:keepNext/>
              <w:spacing w:before="120" w:after="120"/>
              <w:jc w:val="right"/>
              <w:rPr>
                <w:color w:val="1C1C1C"/>
                <w:sz w:val="16"/>
                <w:szCs w:val="16"/>
              </w:rPr>
            </w:pPr>
            <w:r w:rsidRPr="00263B20">
              <w:rPr>
                <w:sz w:val="16"/>
                <w:szCs w:val="16"/>
              </w:rPr>
              <w:t xml:space="preserve">0.28% </w:t>
            </w:r>
          </w:p>
        </w:tc>
      </w:tr>
      <w:tr w:rsidR="00C237DE" w:rsidRPr="00D4016C" w14:paraId="035949E7" w14:textId="77777777" w:rsidTr="00D5755F">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2904A0A7" w14:textId="128FAAD5" w:rsidR="00AE678C" w:rsidRDefault="00AE678C" w:rsidP="00263B20">
            <w:pPr>
              <w:keepNext/>
              <w:spacing w:before="120" w:after="120"/>
              <w:rPr>
                <w:sz w:val="16"/>
                <w:szCs w:val="16"/>
              </w:rPr>
            </w:pPr>
            <w:r w:rsidRPr="24F2CE1B">
              <w:rPr>
                <w:sz w:val="16"/>
                <w:szCs w:val="16"/>
              </w:rPr>
              <w:t>WorkCover premiums and insurance</w:t>
            </w:r>
          </w:p>
        </w:tc>
        <w:tc>
          <w:tcPr>
            <w:tcW w:w="1330" w:type="pct"/>
            <w:tcBorders>
              <w:left w:val="single" w:sz="4" w:space="0" w:color="FFFFFF" w:themeColor="accent6"/>
            </w:tcBorders>
            <w:shd w:val="clear" w:color="auto" w:fill="F2F2F2" w:themeFill="accent6" w:themeFillShade="F2"/>
            <w:vAlign w:val="center"/>
          </w:tcPr>
          <w:p w14:paraId="1E1A2675" w14:textId="677BE4D8" w:rsidR="00AE678C" w:rsidRPr="00AE678C" w:rsidRDefault="00AE678C" w:rsidP="00263B20">
            <w:pPr>
              <w:keepNext/>
              <w:spacing w:before="120" w:after="120"/>
              <w:jc w:val="right"/>
              <w:rPr>
                <w:sz w:val="16"/>
                <w:szCs w:val="16"/>
              </w:rPr>
            </w:pPr>
            <w:r w:rsidRPr="00263B20">
              <w:rPr>
                <w:sz w:val="16"/>
                <w:szCs w:val="16"/>
              </w:rPr>
              <w:t>$19.8m</w:t>
            </w:r>
          </w:p>
        </w:tc>
        <w:tc>
          <w:tcPr>
            <w:tcW w:w="738" w:type="pct"/>
            <w:tcBorders>
              <w:left w:val="single" w:sz="4" w:space="0" w:color="FFFFFF" w:themeColor="accent6"/>
            </w:tcBorders>
            <w:shd w:val="clear" w:color="auto" w:fill="F2F2F2" w:themeFill="accent6" w:themeFillShade="F2"/>
            <w:vAlign w:val="center"/>
          </w:tcPr>
          <w:p w14:paraId="001CD97F" w14:textId="17071AB2" w:rsidR="00AE678C" w:rsidRPr="00AE678C" w:rsidRDefault="00AE678C" w:rsidP="00263B20">
            <w:pPr>
              <w:keepNext/>
              <w:spacing w:before="120" w:after="120"/>
              <w:jc w:val="right"/>
              <w:rPr>
                <w:sz w:val="16"/>
                <w:szCs w:val="16"/>
              </w:rPr>
            </w:pPr>
            <w:r w:rsidRPr="00263B20">
              <w:rPr>
                <w:sz w:val="16"/>
                <w:szCs w:val="16"/>
              </w:rPr>
              <w:t xml:space="preserve">0.89% </w:t>
            </w:r>
          </w:p>
        </w:tc>
      </w:tr>
      <w:tr w:rsidR="00D5755F" w:rsidRPr="00C219EA" w14:paraId="30356B86"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56DAEB4F" w14:textId="6D6B5D42"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Other administrative expenses</w:t>
            </w:r>
          </w:p>
        </w:tc>
        <w:tc>
          <w:tcPr>
            <w:tcW w:w="1330" w:type="pct"/>
            <w:tcBorders>
              <w:left w:val="single" w:sz="4" w:space="0" w:color="FFFFFF" w:themeColor="accent6"/>
            </w:tcBorders>
            <w:shd w:val="clear" w:color="auto" w:fill="F2F2F2" w:themeFill="accent6" w:themeFillShade="F2"/>
            <w:vAlign w:val="center"/>
          </w:tcPr>
          <w:p w14:paraId="278212C3" w14:textId="15508C2E" w:rsidR="00AE678C" w:rsidRPr="00AE678C" w:rsidRDefault="00AE678C">
            <w:pPr>
              <w:keepNext/>
              <w:spacing w:before="120" w:after="120"/>
              <w:jc w:val="right"/>
              <w:rPr>
                <w:color w:val="1C1C1C"/>
                <w:sz w:val="16"/>
                <w:szCs w:val="16"/>
              </w:rPr>
            </w:pPr>
            <w:r w:rsidRPr="00263B20">
              <w:rPr>
                <w:sz w:val="16"/>
                <w:szCs w:val="16"/>
              </w:rPr>
              <w:t>$340.3m</w:t>
            </w:r>
          </w:p>
        </w:tc>
        <w:tc>
          <w:tcPr>
            <w:tcW w:w="750" w:type="pct"/>
            <w:tcBorders>
              <w:left w:val="single" w:sz="4" w:space="0" w:color="FFFFFF" w:themeColor="accent6"/>
            </w:tcBorders>
            <w:shd w:val="clear" w:color="auto" w:fill="F2F2F2" w:themeFill="accent6" w:themeFillShade="F2"/>
            <w:vAlign w:val="center"/>
          </w:tcPr>
          <w:p w14:paraId="44168D3E" w14:textId="0D33F4E9" w:rsidR="00AE678C" w:rsidRPr="00AE678C" w:rsidRDefault="00AE678C">
            <w:pPr>
              <w:keepNext/>
              <w:spacing w:before="120" w:after="120"/>
              <w:jc w:val="right"/>
              <w:rPr>
                <w:color w:val="1C1C1C"/>
                <w:sz w:val="16"/>
                <w:szCs w:val="16"/>
              </w:rPr>
            </w:pPr>
            <w:r w:rsidRPr="00263B20">
              <w:rPr>
                <w:sz w:val="16"/>
                <w:szCs w:val="16"/>
              </w:rPr>
              <w:t xml:space="preserve">15.26% </w:t>
            </w:r>
          </w:p>
        </w:tc>
      </w:tr>
      <w:tr w:rsidR="00D5755F" w:rsidRPr="00C219EA" w14:paraId="2FCCCC63"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tcPr>
          <w:p w14:paraId="06167D92" w14:textId="3DA3BC2F" w:rsidR="00AE678C" w:rsidRPr="00BE5E19" w:rsidRDefault="00AE678C" w:rsidP="00AE678C">
            <w:pPr>
              <w:keepNext/>
              <w:spacing w:before="120" w:after="120"/>
              <w:rPr>
                <w:rFonts w:ascii="Futura PT Book" w:hAnsi="Futura PT Book" w:cs="Futura PT Book"/>
                <w:color w:val="000000"/>
                <w:sz w:val="16"/>
                <w:szCs w:val="16"/>
                <w:lang w:val="en-US"/>
              </w:rPr>
            </w:pPr>
            <w:r w:rsidRPr="00A504D6">
              <w:rPr>
                <w:sz w:val="16"/>
                <w:szCs w:val="16"/>
              </w:rPr>
              <w:t>Other hotel expenses not covered above</w:t>
            </w:r>
          </w:p>
        </w:tc>
        <w:tc>
          <w:tcPr>
            <w:tcW w:w="1330" w:type="pct"/>
            <w:tcBorders>
              <w:left w:val="single" w:sz="4" w:space="0" w:color="FFFFFF" w:themeColor="accent6"/>
            </w:tcBorders>
            <w:shd w:val="clear" w:color="auto" w:fill="F2F2F2" w:themeFill="accent6" w:themeFillShade="F2"/>
            <w:vAlign w:val="center"/>
          </w:tcPr>
          <w:p w14:paraId="27DBF354" w14:textId="79FF834A" w:rsidR="00AE678C" w:rsidRPr="00AE678C" w:rsidRDefault="00AE678C">
            <w:pPr>
              <w:keepNext/>
              <w:spacing w:before="120" w:after="120"/>
              <w:jc w:val="right"/>
              <w:rPr>
                <w:color w:val="1C1C1C"/>
                <w:sz w:val="16"/>
                <w:szCs w:val="16"/>
              </w:rPr>
            </w:pPr>
            <w:r w:rsidRPr="00263B20">
              <w:rPr>
                <w:sz w:val="16"/>
                <w:szCs w:val="16"/>
              </w:rPr>
              <w:t>$30.6m</w:t>
            </w:r>
          </w:p>
        </w:tc>
        <w:tc>
          <w:tcPr>
            <w:tcW w:w="750" w:type="pct"/>
            <w:tcBorders>
              <w:left w:val="single" w:sz="4" w:space="0" w:color="FFFFFF" w:themeColor="accent6"/>
            </w:tcBorders>
            <w:shd w:val="clear" w:color="auto" w:fill="F2F2F2" w:themeFill="accent6" w:themeFillShade="F2"/>
            <w:vAlign w:val="center"/>
          </w:tcPr>
          <w:p w14:paraId="3C129437" w14:textId="17C5446E" w:rsidR="00AE678C" w:rsidRPr="00AE678C" w:rsidRDefault="00AE678C">
            <w:pPr>
              <w:keepNext/>
              <w:spacing w:before="120" w:after="120"/>
              <w:jc w:val="right"/>
              <w:rPr>
                <w:color w:val="1C1C1C"/>
                <w:sz w:val="16"/>
                <w:szCs w:val="16"/>
              </w:rPr>
            </w:pPr>
            <w:r w:rsidRPr="00263B20">
              <w:rPr>
                <w:sz w:val="16"/>
                <w:szCs w:val="16"/>
              </w:rPr>
              <w:t xml:space="preserve">0.46% </w:t>
            </w:r>
          </w:p>
        </w:tc>
      </w:tr>
      <w:tr w:rsidR="00D5755F" w:rsidRPr="00294A1A" w14:paraId="50D7F547"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shd w:val="clear" w:color="auto" w:fill="DFEBF1" w:themeFill="accent1" w:themeFillTint="1A"/>
            <w:vAlign w:val="center"/>
          </w:tcPr>
          <w:p w14:paraId="5EC9B39A" w14:textId="77777777" w:rsidR="00AE678C" w:rsidRPr="00294A1A" w:rsidRDefault="00AE678C" w:rsidP="00AE678C">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1330" w:type="pct"/>
            <w:tcBorders>
              <w:left w:val="single" w:sz="4" w:space="0" w:color="FFFFFF" w:themeColor="accent6"/>
            </w:tcBorders>
            <w:shd w:val="clear" w:color="auto" w:fill="DFEBF1" w:themeFill="accent1" w:themeFillTint="1A"/>
            <w:vAlign w:val="center"/>
          </w:tcPr>
          <w:p w14:paraId="7AFBF947" w14:textId="5A6485E4" w:rsidR="00AE678C" w:rsidRPr="00AE678C" w:rsidRDefault="00AE678C">
            <w:pPr>
              <w:keepNext/>
              <w:spacing w:before="120" w:after="120"/>
              <w:jc w:val="right"/>
              <w:rPr>
                <w:rFonts w:cs="Arial"/>
                <w:b/>
                <w:color w:val="1C1C1C"/>
                <w:sz w:val="16"/>
                <w:szCs w:val="16"/>
              </w:rPr>
            </w:pPr>
            <w:r w:rsidRPr="00263B20">
              <w:rPr>
                <w:b/>
                <w:bCs/>
                <w:sz w:val="16"/>
                <w:szCs w:val="16"/>
              </w:rPr>
              <w:t>$2,250.4m</w:t>
            </w:r>
          </w:p>
        </w:tc>
        <w:tc>
          <w:tcPr>
            <w:tcW w:w="750" w:type="pct"/>
            <w:tcBorders>
              <w:left w:val="single" w:sz="4" w:space="0" w:color="FFFFFF" w:themeColor="accent6"/>
            </w:tcBorders>
            <w:shd w:val="clear" w:color="auto" w:fill="DFEBF1" w:themeFill="accent1" w:themeFillTint="1A"/>
            <w:vAlign w:val="center"/>
          </w:tcPr>
          <w:p w14:paraId="2F970CEF" w14:textId="05DEE0E5" w:rsidR="00AE678C" w:rsidRPr="00AE678C" w:rsidRDefault="00AE678C">
            <w:pPr>
              <w:keepNext/>
              <w:spacing w:before="120" w:after="120"/>
              <w:jc w:val="right"/>
              <w:rPr>
                <w:rFonts w:cs="Arial"/>
                <w:b/>
                <w:color w:val="1C1C1C"/>
                <w:sz w:val="16"/>
                <w:szCs w:val="16"/>
              </w:rPr>
            </w:pPr>
            <w:r w:rsidRPr="00263B20">
              <w:rPr>
                <w:b/>
                <w:bCs/>
                <w:sz w:val="16"/>
                <w:szCs w:val="16"/>
              </w:rPr>
              <w:t xml:space="preserve">100% </w:t>
            </w:r>
          </w:p>
        </w:tc>
      </w:tr>
    </w:tbl>
    <w:p w14:paraId="07E99770" w14:textId="77777777" w:rsidR="001C46E1" w:rsidRPr="00BB5A75" w:rsidRDefault="001C46E1" w:rsidP="001C46E1">
      <w:pPr>
        <w:rPr>
          <w:sz w:val="18"/>
          <w:szCs w:val="18"/>
        </w:rPr>
      </w:pPr>
      <w:r w:rsidRPr="00BB5A75">
        <w:rPr>
          <w:sz w:val="18"/>
          <w:szCs w:val="18"/>
        </w:rPr>
        <w:t>*Components may not add to total due to rounding</w:t>
      </w:r>
    </w:p>
    <w:p w14:paraId="78C18704" w14:textId="16571373" w:rsidR="00575B7A" w:rsidRDefault="00575B7A" w:rsidP="00575B7A">
      <w:pPr>
        <w:spacing w:line="259" w:lineRule="auto"/>
      </w:pPr>
      <w:r>
        <w:t>As with the non-labour direct care index series construct</w:t>
      </w:r>
      <w:r w:rsidR="0058421C">
        <w:t xml:space="preserve">ion described in section </w:t>
      </w:r>
      <w:r w:rsidR="0058421C">
        <w:fldChar w:fldCharType="begin"/>
      </w:r>
      <w:r w:rsidR="0058421C">
        <w:instrText xml:space="preserve"> REF _Ref120692922 \r \p \h </w:instrText>
      </w:r>
      <w:r w:rsidR="0058421C">
        <w:fldChar w:fldCharType="separate"/>
      </w:r>
      <w:r w:rsidR="00B1072E">
        <w:t>5.3 above</w:t>
      </w:r>
      <w:r w:rsidR="0058421C">
        <w:fldChar w:fldCharType="end"/>
      </w:r>
      <w:r w:rsidR="0058421C">
        <w:t>, t</w:t>
      </w:r>
      <w:r>
        <w:t xml:space="preserve">he </w:t>
      </w:r>
      <w:r w:rsidR="0058421C">
        <w:t xml:space="preserve">re-referenced index series from </w:t>
      </w:r>
      <w:r w:rsidR="0058421C">
        <w:fldChar w:fldCharType="begin"/>
      </w:r>
      <w:r w:rsidR="0058421C">
        <w:instrText xml:space="preserve"> REF _Ref120689326 \h </w:instrText>
      </w:r>
      <w:r w:rsidR="0058421C">
        <w:fldChar w:fldCharType="separate"/>
      </w:r>
      <w:r w:rsidR="00B1072E">
        <w:t>Table </w:t>
      </w:r>
      <w:r w:rsidR="00B1072E">
        <w:rPr>
          <w:noProof/>
        </w:rPr>
        <w:t>12</w:t>
      </w:r>
      <w:r w:rsidR="0058421C">
        <w:fldChar w:fldCharType="end"/>
      </w:r>
      <w:r w:rsidR="0058421C">
        <w:t xml:space="preserve"> are combined using the </w:t>
      </w:r>
      <w:r>
        <w:t xml:space="preserve">weights shown in </w:t>
      </w:r>
      <w:r>
        <w:fldChar w:fldCharType="begin"/>
      </w:r>
      <w:r>
        <w:instrText xml:space="preserve"> REF _Ref120691054 \h </w:instrText>
      </w:r>
      <w:r>
        <w:fldChar w:fldCharType="separate"/>
      </w:r>
      <w:r w:rsidR="00B1072E">
        <w:t>Table </w:t>
      </w:r>
      <w:r w:rsidR="00B1072E">
        <w:rPr>
          <w:noProof/>
        </w:rPr>
        <w:t>13</w:t>
      </w:r>
      <w:r>
        <w:fldChar w:fldCharType="end"/>
      </w:r>
      <w:r w:rsidR="0058421C">
        <w:t>.</w:t>
      </w:r>
      <w:r w:rsidR="00010FAE">
        <w:t xml:space="preserve"> T</w:t>
      </w:r>
      <w:r w:rsidR="0058421C">
        <w:t xml:space="preserve">he </w:t>
      </w:r>
      <w:r>
        <w:t>resulting composite index series for</w:t>
      </w:r>
      <w:r w:rsidR="00010FAE">
        <w:t xml:space="preserve"> hotel </w:t>
      </w:r>
      <w:r>
        <w:t>care costs</w:t>
      </w:r>
      <w:r w:rsidR="00D30133">
        <w:t xml:space="preserve"> is shown in detail in</w:t>
      </w:r>
      <w:r w:rsidR="005221FC">
        <w:t xml:space="preserve"> </w:t>
      </w:r>
      <w:r w:rsidR="005221FC">
        <w:fldChar w:fldCharType="begin"/>
      </w:r>
      <w:r w:rsidR="005221FC">
        <w:instrText xml:space="preserve"> REF _Ref128044581 \r \h </w:instrText>
      </w:r>
      <w:r w:rsidR="005221FC">
        <w:fldChar w:fldCharType="separate"/>
      </w:r>
      <w:r w:rsidR="00B1072E">
        <w:t>Appendix A</w:t>
      </w:r>
      <w:r w:rsidR="005221FC">
        <w:fldChar w:fldCharType="end"/>
      </w:r>
      <w:r>
        <w:t>.</w:t>
      </w:r>
    </w:p>
    <w:p w14:paraId="33659778" w14:textId="59666688" w:rsidR="00575B7A" w:rsidRPr="00785E43" w:rsidRDefault="00575B7A" w:rsidP="00575B7A">
      <w:pPr>
        <w:spacing w:line="259" w:lineRule="auto"/>
      </w:pPr>
      <w:r w:rsidRPr="00785E43">
        <w:t xml:space="preserve">Using the same method </w:t>
      </w:r>
      <w:r>
        <w:t xml:space="preserve">described for </w:t>
      </w:r>
      <w:r w:rsidRPr="00785E43">
        <w:t xml:space="preserve">the </w:t>
      </w:r>
      <w:r w:rsidR="00D30133">
        <w:t>non-</w:t>
      </w:r>
      <w:r>
        <w:t xml:space="preserve">labour </w:t>
      </w:r>
      <w:r w:rsidR="00D30133">
        <w:t xml:space="preserve">direct care </w:t>
      </w:r>
      <w:r>
        <w:t xml:space="preserve">cost indexation </w:t>
      </w:r>
      <w:r w:rsidR="00D30133">
        <w:fldChar w:fldCharType="begin"/>
      </w:r>
      <w:r w:rsidR="00D30133">
        <w:instrText xml:space="preserve"> REF _Ref120692922 \r \p \h </w:instrText>
      </w:r>
      <w:r w:rsidR="00D30133">
        <w:fldChar w:fldCharType="separate"/>
      </w:r>
      <w:r w:rsidR="00B1072E">
        <w:t>5.3 above</w:t>
      </w:r>
      <w:r w:rsidR="00D30133">
        <w:fldChar w:fldCharType="end"/>
      </w:r>
      <w:r w:rsidRPr="00785E43">
        <w:t xml:space="preserve">, IHACPA has fit an exponential growth curve to </w:t>
      </w:r>
      <w:r>
        <w:t xml:space="preserve">the </w:t>
      </w:r>
      <w:r w:rsidR="00D30133">
        <w:t>hotel cost</w:t>
      </w:r>
      <w:r w:rsidRPr="00785E43">
        <w:t xml:space="preserve"> index</w:t>
      </w:r>
      <w:r>
        <w:t xml:space="preserve"> series</w:t>
      </w:r>
      <w:r w:rsidRPr="00785E43">
        <w:t xml:space="preserve"> to measure average annual growth. The </w:t>
      </w:r>
      <w:r w:rsidR="00D30133">
        <w:t xml:space="preserve">hotel cost </w:t>
      </w:r>
      <w:r w:rsidRPr="00785E43">
        <w:t xml:space="preserve">index </w:t>
      </w:r>
      <w:r>
        <w:t xml:space="preserve">series </w:t>
      </w:r>
      <w:r w:rsidRPr="00785E43">
        <w:t xml:space="preserve">along with the </w:t>
      </w:r>
      <w:r w:rsidR="00CA1C50">
        <w:t xml:space="preserve">highest </w:t>
      </w:r>
      <w:r w:rsidRPr="00785E43">
        <w:t xml:space="preserve">contributing </w:t>
      </w:r>
      <w:r w:rsidR="00D30133">
        <w:t xml:space="preserve">index series </w:t>
      </w:r>
      <w:r w:rsidRPr="00785E43">
        <w:t>are shown in</w:t>
      </w:r>
      <w:r w:rsidR="00CA1C50">
        <w:t xml:space="preserve"> </w:t>
      </w:r>
      <w:r w:rsidR="00CA1C50">
        <w:fldChar w:fldCharType="begin"/>
      </w:r>
      <w:r w:rsidR="00CA1C50">
        <w:instrText xml:space="preserve"> REF _Ref120689365 \h </w:instrText>
      </w:r>
      <w:r w:rsidR="00CA1C50">
        <w:fldChar w:fldCharType="separate"/>
      </w:r>
      <w:r w:rsidR="00B1072E">
        <w:t>Figure </w:t>
      </w:r>
      <w:r w:rsidR="00B1072E">
        <w:rPr>
          <w:noProof/>
        </w:rPr>
        <w:t>3</w:t>
      </w:r>
      <w:r w:rsidR="00CA1C50">
        <w:fldChar w:fldCharType="end"/>
      </w:r>
      <w:r w:rsidRPr="00785E43">
        <w:t>.</w:t>
      </w:r>
    </w:p>
    <w:p w14:paraId="713A6FC8" w14:textId="49287720" w:rsidR="00BB3F92" w:rsidRPr="007A624A" w:rsidRDefault="00273B40" w:rsidP="007A624A">
      <w:pPr>
        <w:pStyle w:val="TableFigureheading"/>
      </w:pPr>
      <w:bookmarkStart w:id="61" w:name="_Ref120689365"/>
      <w:r>
        <w:lastRenderedPageBreak/>
        <w:t>Figure </w:t>
      </w:r>
      <w:fldSimple w:instr=" SEQ Figure \* ARABIC ">
        <w:r w:rsidR="00B1072E">
          <w:rPr>
            <w:noProof/>
          </w:rPr>
          <w:t>3</w:t>
        </w:r>
      </w:fldSimple>
      <w:bookmarkEnd w:id="61"/>
      <w:r w:rsidR="00BB3F92" w:rsidRPr="007A624A">
        <w:t xml:space="preserve">: </w:t>
      </w:r>
      <w:r w:rsidR="00DF54FC">
        <w:t>I</w:t>
      </w:r>
      <w:r w:rsidR="00BB3F92" w:rsidRPr="007A624A">
        <w:t xml:space="preserve">ndex </w:t>
      </w:r>
      <w:r w:rsidR="00DF54FC">
        <w:t>series used for hotel cost growth</w:t>
      </w:r>
    </w:p>
    <w:p w14:paraId="69DF377A" w14:textId="10661458" w:rsidR="00BB3F92" w:rsidRPr="007A624A" w:rsidRDefault="007D2866" w:rsidP="00BB3F92">
      <w:pPr>
        <w:rPr>
          <w:highlight w:val="yellow"/>
        </w:rPr>
      </w:pPr>
      <w:r w:rsidRPr="007D2866">
        <w:rPr>
          <w:noProof/>
        </w:rPr>
        <w:t xml:space="preserve"> </w:t>
      </w:r>
      <w:r w:rsidRPr="007D2866">
        <w:rPr>
          <w:noProof/>
        </w:rPr>
        <w:drawing>
          <wp:inline distT="0" distB="0" distL="0" distR="0" wp14:anchorId="30B71F2B" wp14:editId="7C338FA8">
            <wp:extent cx="5239481" cy="35056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39481" cy="3505689"/>
                    </a:xfrm>
                    <a:prstGeom prst="rect">
                      <a:avLst/>
                    </a:prstGeom>
                  </pic:spPr>
                </pic:pic>
              </a:graphicData>
            </a:graphic>
          </wp:inline>
        </w:drawing>
      </w:r>
    </w:p>
    <w:p w14:paraId="33602BD9" w14:textId="77777777" w:rsidR="00BB3F92" w:rsidRPr="007A624A" w:rsidRDefault="00BB3F92" w:rsidP="00BB3F92">
      <w:pPr>
        <w:rPr>
          <w:highlight w:val="yellow"/>
        </w:rPr>
      </w:pPr>
    </w:p>
    <w:p w14:paraId="0B7EE639" w14:textId="12540855" w:rsidR="00BB3F92" w:rsidRPr="00404D8B" w:rsidRDefault="00BB3F92" w:rsidP="00BB3F92">
      <w:r w:rsidRPr="00404D8B">
        <w:t>Unlike the non-labour index presented in</w:t>
      </w:r>
      <w:r w:rsidR="00404D8B" w:rsidRPr="00404D8B">
        <w:t xml:space="preserve"> </w:t>
      </w:r>
      <w:r w:rsidR="00404D8B" w:rsidRPr="00404D8B">
        <w:fldChar w:fldCharType="begin"/>
      </w:r>
      <w:r w:rsidR="00404D8B" w:rsidRPr="00404D8B">
        <w:instrText xml:space="preserve"> REF _Ref120632138 \h  \* MERGEFORMAT </w:instrText>
      </w:r>
      <w:r w:rsidR="00404D8B" w:rsidRPr="00404D8B">
        <w:fldChar w:fldCharType="separate"/>
      </w:r>
      <w:r w:rsidR="00B1072E">
        <w:t>Figure 2</w:t>
      </w:r>
      <w:r w:rsidR="00404D8B" w:rsidRPr="00404D8B">
        <w:fldChar w:fldCharType="end"/>
      </w:r>
      <w:r w:rsidRPr="00404D8B">
        <w:t xml:space="preserve">, the hotel </w:t>
      </w:r>
      <w:r w:rsidR="007A4AF0">
        <w:t xml:space="preserve">cost </w:t>
      </w:r>
      <w:r w:rsidRPr="00404D8B">
        <w:t xml:space="preserve">index </w:t>
      </w:r>
      <w:r w:rsidR="007A4AF0">
        <w:t xml:space="preserve">series </w:t>
      </w:r>
      <w:r w:rsidRPr="00404D8B">
        <w:t xml:space="preserve">shows that more recent observations reflect the higher inflation rate observed in the Australian economy. For this reason, IHACPA </w:t>
      </w:r>
      <w:r w:rsidR="007A4AF0">
        <w:t>has</w:t>
      </w:r>
      <w:r w:rsidRPr="00404D8B">
        <w:t xml:space="preserve"> us</w:t>
      </w:r>
      <w:r w:rsidR="007A4AF0">
        <w:t>ed</w:t>
      </w:r>
      <w:r w:rsidRPr="00404D8B">
        <w:t xml:space="preserve"> only the most recent year of the index </w:t>
      </w:r>
      <w:r w:rsidR="007A4AF0">
        <w:t xml:space="preserve">series </w:t>
      </w:r>
      <w:r w:rsidRPr="00404D8B">
        <w:t>when fitting the growth model for hotel costs. This ensures that recent inflation is more accurately reflected.</w:t>
      </w:r>
    </w:p>
    <w:p w14:paraId="684D7009" w14:textId="77777777" w:rsidR="00D36888" w:rsidRDefault="00D36888" w:rsidP="00D36888">
      <w:pPr>
        <w:spacing w:line="259" w:lineRule="auto"/>
      </w:pPr>
      <w:r>
        <w:t>The resulting model is</w:t>
      </w:r>
    </w:p>
    <w:p w14:paraId="7DD0026D" w14:textId="384AD117" w:rsidR="00D36888" w:rsidRDefault="00F03EC5" w:rsidP="00D36888">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=99.3048×</m:t>
          </m:r>
          <m:sSup>
            <m:sSupPr>
              <m:ctrlPr>
                <w:rPr>
                  <w:rFonts w:ascii="Cambria Math" w:hAnsi="Cambria Math"/>
                  <w:i/>
                </w:rPr>
              </m:ctrlPr>
            </m:sSupPr>
            <m:e>
              <m:r>
                <w:rPr>
                  <w:rFonts w:ascii="Cambria Math" w:hAnsi="Cambria Math"/>
                </w:rPr>
                <m:t>1.0126</m:t>
              </m:r>
            </m:e>
            <m:sup>
              <m:r>
                <w:rPr>
                  <w:rFonts w:ascii="Cambria Math" w:hAnsi="Cambria Math"/>
                </w:rPr>
                <m:t>n</m:t>
              </m:r>
            </m:sup>
          </m:sSup>
          <m:r>
            <w:rPr>
              <w:rFonts w:ascii="Cambria Math" w:hAnsi="Cambria Math"/>
            </w:rPr>
            <m:t xml:space="preserve">. </m:t>
          </m:r>
        </m:oMath>
      </m:oMathPara>
    </w:p>
    <w:p w14:paraId="2FFA04C9" w14:textId="1607569B" w:rsidR="00D36888" w:rsidRDefault="00D36888" w:rsidP="00D36888">
      <w:pPr>
        <w:spacing w:line="259" w:lineRule="auto"/>
      </w:pPr>
      <w:r>
        <w:t xml:space="preserve">This model gives an annual </w:t>
      </w:r>
      <w:r w:rsidR="003C497D">
        <w:t>hotel</w:t>
      </w:r>
      <w:r>
        <w:t xml:space="preserve"> cost indexation rate </w:t>
      </w:r>
      <m:oMath>
        <m:sSub>
          <m:sSubPr>
            <m:ctrlPr>
              <w:rPr>
                <w:rFonts w:ascii="Cambria Math" w:hAnsi="Cambria Math"/>
                <w:i/>
              </w:rPr>
            </m:ctrlPr>
          </m:sSubPr>
          <m:e>
            <m:r>
              <w:rPr>
                <w:rFonts w:ascii="Cambria Math" w:hAnsi="Cambria Math"/>
              </w:rPr>
              <m:t>i</m:t>
            </m:r>
          </m:e>
          <m:sub>
            <m:r>
              <w:rPr>
                <w:rFonts w:ascii="Cambria Math" w:hAnsi="Cambria Math"/>
              </w:rPr>
              <m:t>H</m:t>
            </m:r>
          </m:sub>
        </m:sSub>
      </m:oMath>
      <w:r>
        <w:rPr>
          <w:rFonts w:eastAsiaTheme="minorEastAsia"/>
        </w:rPr>
        <w:t xml:space="preserve"> </w:t>
      </w:r>
      <w:r>
        <w:t xml:space="preserve">of </w:t>
      </w:r>
    </w:p>
    <w:p w14:paraId="25967028" w14:textId="1CB769C9" w:rsidR="00D36888" w:rsidRDefault="00F03EC5" w:rsidP="00D36888">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H</m:t>
              </m:r>
            </m:sub>
          </m:sSub>
          <m:r>
            <w:rPr>
              <w:rFonts w:ascii="Cambria Math" w:hAnsi="Cambria Math"/>
            </w:rPr>
            <m:t>=</m:t>
          </m:r>
          <m:sSup>
            <m:sSupPr>
              <m:ctrlPr>
                <w:rPr>
                  <w:rFonts w:ascii="Cambria Math" w:hAnsi="Cambria Math"/>
                  <w:i/>
                </w:rPr>
              </m:ctrlPr>
            </m:sSupPr>
            <m:e>
              <m:r>
                <w:rPr>
                  <w:rFonts w:ascii="Cambria Math" w:hAnsi="Cambria Math"/>
                </w:rPr>
                <m:t>1.0126</m:t>
              </m:r>
            </m:e>
            <m:sup>
              <m:r>
                <w:rPr>
                  <w:rFonts w:ascii="Cambria Math" w:hAnsi="Cambria Math"/>
                </w:rPr>
                <m:t>4</m:t>
              </m:r>
            </m:sup>
          </m:sSup>
          <m:r>
            <w:rPr>
              <w:rFonts w:ascii="Cambria Math" w:hAnsi="Cambria Math"/>
            </w:rPr>
            <m:t>=1.0514</m:t>
          </m:r>
        </m:oMath>
      </m:oMathPara>
    </w:p>
    <w:p w14:paraId="17597FE8" w14:textId="2F4F9678" w:rsidR="00D36888" w:rsidRPr="00AB1226" w:rsidRDefault="00D36888" w:rsidP="00D36888">
      <w:r>
        <w:t xml:space="preserve">Note that this expression may not evaluate exactly as written due to rounding. Therefore, the annualised growth rate used for inflation in </w:t>
      </w:r>
      <w:r w:rsidR="008868B1">
        <w:t>hotel</w:t>
      </w:r>
      <w:r>
        <w:t xml:space="preserve"> costs is </w:t>
      </w:r>
      <w:r w:rsidR="0002630A">
        <w:t>5</w:t>
      </w:r>
      <w:r w:rsidR="00EC0541">
        <w:t>.</w:t>
      </w:r>
      <w:r w:rsidR="0002630A">
        <w:t>14</w:t>
      </w:r>
      <w:r>
        <w:t xml:space="preserve"> per cent.</w:t>
      </w:r>
    </w:p>
    <w:p w14:paraId="66FD78B4" w14:textId="77777777" w:rsidR="00834A54" w:rsidRDefault="00834A54">
      <w:pPr>
        <w:spacing w:line="259" w:lineRule="auto"/>
      </w:pPr>
      <w:r>
        <w:br w:type="page"/>
      </w:r>
    </w:p>
    <w:p w14:paraId="6CDE7589" w14:textId="02884C44" w:rsidR="00834A54" w:rsidRDefault="00834A54" w:rsidP="00C073F7">
      <w:pPr>
        <w:pStyle w:val="Heading1"/>
      </w:pPr>
      <w:bookmarkStart w:id="62" w:name="_Ref120602533"/>
      <w:bookmarkStart w:id="63" w:name="_Ref120602553"/>
      <w:bookmarkStart w:id="64" w:name="_Toc120797014"/>
      <w:bookmarkStart w:id="65" w:name="_Ref120797310"/>
      <w:bookmarkStart w:id="66" w:name="_Ref128043770"/>
      <w:bookmarkStart w:id="67" w:name="_Toc134183611"/>
      <w:r>
        <w:lastRenderedPageBreak/>
        <w:t>Hotel cost</w:t>
      </w:r>
      <w:bookmarkEnd w:id="62"/>
      <w:bookmarkEnd w:id="63"/>
      <w:r w:rsidR="00CC45B5">
        <w:t xml:space="preserve"> gap</w:t>
      </w:r>
      <w:bookmarkEnd w:id="64"/>
      <w:bookmarkEnd w:id="65"/>
      <w:bookmarkEnd w:id="66"/>
      <w:bookmarkEnd w:id="67"/>
    </w:p>
    <w:p w14:paraId="09B2A9B9" w14:textId="7CFEE2D4" w:rsidR="002261A6" w:rsidRDefault="009E26FC" w:rsidP="00D00C25">
      <w:r>
        <w:t>The Independent Health and Aged Care Pricing Authority (</w:t>
      </w:r>
      <w:r w:rsidR="0045086C" w:rsidRPr="0045086C">
        <w:t>IHACPA</w:t>
      </w:r>
      <w:r>
        <w:t>)</w:t>
      </w:r>
      <w:r w:rsidR="0045086C" w:rsidRPr="0045086C">
        <w:t xml:space="preserve"> </w:t>
      </w:r>
      <w:r w:rsidR="0045086C">
        <w:t xml:space="preserve">is required to </w:t>
      </w:r>
      <w:r w:rsidR="0045086C" w:rsidRPr="0045086C">
        <w:t xml:space="preserve">provide advice to the Department of Health and Aged Care on the gap between the costs of delivering required hotel services, and the revenue received from the </w:t>
      </w:r>
      <w:r w:rsidR="00BD1146">
        <w:t>basic daily fee (</w:t>
      </w:r>
      <w:r w:rsidR="0045086C" w:rsidRPr="0045086C">
        <w:t>BDF</w:t>
      </w:r>
      <w:r w:rsidR="00BD1146">
        <w:t>).</w:t>
      </w:r>
      <w:r w:rsidR="002261A6">
        <w:t xml:space="preserve"> </w:t>
      </w:r>
    </w:p>
    <w:p w14:paraId="7CBA58DC" w14:textId="6BA64AC7" w:rsidR="0045086C" w:rsidRDefault="006D517F" w:rsidP="00D00C25">
      <w:r>
        <w:t>T</w:t>
      </w:r>
      <w:r w:rsidR="00BD1146">
        <w:t xml:space="preserve">he </w:t>
      </w:r>
      <w:r w:rsidR="00673AD2">
        <w:t>Aged Care Financial Report (</w:t>
      </w:r>
      <w:r w:rsidR="00EB0933">
        <w:t>ACFR</w:t>
      </w:r>
      <w:r w:rsidR="00673AD2">
        <w:t>)</w:t>
      </w:r>
      <w:r w:rsidR="00EB0933">
        <w:t xml:space="preserve"> 2020-21</w:t>
      </w:r>
      <w:r w:rsidR="00BD1146">
        <w:t xml:space="preserve"> </w:t>
      </w:r>
      <w:r w:rsidR="00BA08B8">
        <w:t xml:space="preserve">includes all necessary data items related to the cost for </w:t>
      </w:r>
      <w:r w:rsidR="00BD1146">
        <w:t xml:space="preserve">hotel </w:t>
      </w:r>
      <w:r w:rsidR="00BA08B8">
        <w:t xml:space="preserve">services, and the </w:t>
      </w:r>
      <w:r w:rsidR="00BD1146">
        <w:t>revenue</w:t>
      </w:r>
      <w:r w:rsidR="005C3632">
        <w:t xml:space="preserve"> </w:t>
      </w:r>
      <w:r w:rsidR="00BA08B8">
        <w:t>received for hotel related services. T</w:t>
      </w:r>
      <w:r w:rsidR="00BD110D">
        <w:t xml:space="preserve">hese items together allow the gap between hotel costs and revenue to be calculated </w:t>
      </w:r>
      <w:r w:rsidR="005C3632">
        <w:t>to inform</w:t>
      </w:r>
      <w:r w:rsidR="002261A6">
        <w:t xml:space="preserve"> </w:t>
      </w:r>
      <w:r w:rsidR="00CC37FB">
        <w:t>the Residential Aged Care Pricing Advice 2023-24</w:t>
      </w:r>
      <w:r w:rsidR="005C3632">
        <w:t>.</w:t>
      </w:r>
    </w:p>
    <w:p w14:paraId="71A7A530" w14:textId="535BE49D" w:rsidR="00C25392" w:rsidRDefault="00C25392" w:rsidP="00C25392">
      <w:r>
        <w:t>As hotel costs are reported at a highly aggregated level (</w:t>
      </w:r>
      <w:r w:rsidR="00C13D1E">
        <w:t>e.g.,</w:t>
      </w:r>
      <w:r>
        <w:t xml:space="preserve"> “Total Hotel Expenses” and “Total Administration Expenses”), rather than having to rely on more nuanced breakdowns used for the pricing setting, the entire ACFR 2020-21 data set is used to derive hotel costs and revenue.</w:t>
      </w:r>
    </w:p>
    <w:p w14:paraId="082CEDBF" w14:textId="0047EA17" w:rsidR="005C3632" w:rsidRPr="0045086C" w:rsidRDefault="005C3632" w:rsidP="00D00C25">
      <w:r>
        <w:t>IHACPA’s approach to quantifying cost and revenue is detailed in respective sections below.</w:t>
      </w:r>
    </w:p>
    <w:p w14:paraId="4B0A1EF6" w14:textId="2EFF1569" w:rsidR="00834A54" w:rsidRDefault="00CC45B5" w:rsidP="005B4443">
      <w:pPr>
        <w:pStyle w:val="Heading2"/>
      </w:pPr>
      <w:bookmarkStart w:id="68" w:name="_Toc134183612"/>
      <w:r>
        <w:t>Hotel costs</w:t>
      </w:r>
      <w:bookmarkEnd w:id="68"/>
    </w:p>
    <w:p w14:paraId="356858B5" w14:textId="20E8A093" w:rsidR="0045086C" w:rsidRDefault="00756385" w:rsidP="00D00C25">
      <w:r>
        <w:t>Elements of h</w:t>
      </w:r>
      <w:r w:rsidR="0045086C">
        <w:t xml:space="preserve">otel costs in scope are outlined in </w:t>
      </w:r>
      <w:r w:rsidR="005C3632">
        <w:t xml:space="preserve">Part 1 of </w:t>
      </w:r>
      <w:r w:rsidR="0045086C">
        <w:t xml:space="preserve">the </w:t>
      </w:r>
      <w:r w:rsidR="00A051FD" w:rsidRPr="004104DE">
        <w:t xml:space="preserve">Schedule 1—Care and services for residential care services of the </w:t>
      </w:r>
      <w:r w:rsidR="00B2594A" w:rsidRPr="00F31458">
        <w:rPr>
          <w:i/>
          <w:iCs/>
        </w:rPr>
        <w:t>Quality of Care Principles 2014</w:t>
      </w:r>
      <w:r w:rsidR="00A051FD" w:rsidRPr="004104DE">
        <w:t xml:space="preserve"> under section 96-1 of the </w:t>
      </w:r>
      <w:r w:rsidR="00A051FD" w:rsidRPr="0050641E">
        <w:rPr>
          <w:i/>
          <w:iCs/>
        </w:rPr>
        <w:t>Aged Care Act 1997</w:t>
      </w:r>
      <w:r w:rsidR="00A07A61">
        <w:rPr>
          <w:i/>
          <w:iCs/>
        </w:rPr>
        <w:t xml:space="preserve"> </w:t>
      </w:r>
      <w:r w:rsidR="00A07A61" w:rsidRPr="00A07A61">
        <w:t>(the S</w:t>
      </w:r>
      <w:r w:rsidR="00A07A61">
        <w:t>c</w:t>
      </w:r>
      <w:r w:rsidR="00A07A61" w:rsidRPr="00A07A61">
        <w:t>hedule)</w:t>
      </w:r>
      <w:r w:rsidR="00B52CCA">
        <w:t xml:space="preserve">. </w:t>
      </w:r>
      <w:r>
        <w:t xml:space="preserve">The relevant fields in the </w:t>
      </w:r>
      <w:r w:rsidR="00EB0933">
        <w:t>ACFR 2020-21</w:t>
      </w:r>
      <w:r>
        <w:t xml:space="preserve"> are listed at the beginning of section </w:t>
      </w:r>
      <w:r>
        <w:fldChar w:fldCharType="begin"/>
      </w:r>
      <w:r>
        <w:instrText xml:space="preserve"> REF _Ref120709855 \r \h </w:instrText>
      </w:r>
      <w:r>
        <w:fldChar w:fldCharType="separate"/>
      </w:r>
      <w:r w:rsidR="00B1072E">
        <w:t>5.4</w:t>
      </w:r>
      <w:r>
        <w:fldChar w:fldCharType="end"/>
      </w:r>
      <w:r w:rsidR="00233377">
        <w:t>.</w:t>
      </w:r>
    </w:p>
    <w:p w14:paraId="3ED86C3B" w14:textId="5421379C" w:rsidR="00A37E79" w:rsidRDefault="00381471" w:rsidP="00D00C25">
      <w:r>
        <w:t xml:space="preserve">The </w:t>
      </w:r>
      <w:r w:rsidR="006B0C75">
        <w:t xml:space="preserve">total </w:t>
      </w:r>
      <w:r>
        <w:t>hotel cost</w:t>
      </w:r>
      <w:r w:rsidR="006B0C75">
        <w:t>s ($</w:t>
      </w:r>
      <w:r w:rsidR="7B0BC021">
        <w:t>4,348.1</w:t>
      </w:r>
      <w:r w:rsidR="006B0C75">
        <w:t xml:space="preserve">m) are divided by the total number of </w:t>
      </w:r>
      <w:r w:rsidR="00D358EE">
        <w:t>OBD</w:t>
      </w:r>
      <w:r w:rsidR="006B0C75">
        <w:t>s (6</w:t>
      </w:r>
      <w:r w:rsidR="00D15D11">
        <w:t>4.0m</w:t>
      </w:r>
      <w:r w:rsidR="006B0C75">
        <w:t xml:space="preserve">) </w:t>
      </w:r>
      <w:r w:rsidR="00D15D11">
        <w:t>to determine the hotel costs</w:t>
      </w:r>
      <w:r>
        <w:t xml:space="preserve"> per resident bed day</w:t>
      </w:r>
      <w:r w:rsidR="00D15D11">
        <w:t>. This figure is then</w:t>
      </w:r>
      <w:r w:rsidR="00DC43D8">
        <w:t xml:space="preserve"> </w:t>
      </w:r>
      <w:r>
        <w:t xml:space="preserve">indexed to 2023-24 dollars using the hotel </w:t>
      </w:r>
      <w:r w:rsidR="00066D3F">
        <w:t xml:space="preserve">cost </w:t>
      </w:r>
      <w:r>
        <w:t>indexation rate of 4.78 per cent calculated in section</w:t>
      </w:r>
      <w:r w:rsidR="00066D3F">
        <w:t xml:space="preserve"> </w:t>
      </w:r>
      <w:r w:rsidR="00066D3F">
        <w:fldChar w:fldCharType="begin"/>
      </w:r>
      <w:r w:rsidR="00066D3F">
        <w:instrText xml:space="preserve"> REF _Ref120712537 \r \p \h </w:instrText>
      </w:r>
      <w:r w:rsidR="00066D3F">
        <w:fldChar w:fldCharType="separate"/>
      </w:r>
      <w:r w:rsidR="00B1072E">
        <w:t>5.4 above</w:t>
      </w:r>
      <w:r w:rsidR="00066D3F">
        <w:fldChar w:fldCharType="end"/>
      </w:r>
      <w:r>
        <w:t>.</w:t>
      </w:r>
      <w:r w:rsidR="00DC43D8">
        <w:t xml:space="preserve"> The results of this process </w:t>
      </w:r>
      <w:r w:rsidR="006167D3">
        <w:t xml:space="preserve">are </w:t>
      </w:r>
      <w:r w:rsidR="00DC43D8">
        <w:t>shown</w:t>
      </w:r>
      <w:r w:rsidR="006167D3">
        <w:t xml:space="preserve"> in </w:t>
      </w:r>
      <w:r w:rsidR="004E1EF1">
        <w:fldChar w:fldCharType="begin"/>
      </w:r>
      <w:r w:rsidR="004E1EF1">
        <w:instrText xml:space="preserve"> REF _Ref120710056 \h </w:instrText>
      </w:r>
      <w:r w:rsidR="004E1EF1">
        <w:fldChar w:fldCharType="separate"/>
      </w:r>
      <w:r w:rsidR="00B1072E">
        <w:t>Table </w:t>
      </w:r>
      <w:r w:rsidR="00B1072E">
        <w:rPr>
          <w:noProof/>
        </w:rPr>
        <w:t>14</w:t>
      </w:r>
      <w:r w:rsidR="004E1EF1">
        <w:fldChar w:fldCharType="end"/>
      </w:r>
      <w:r w:rsidR="006167D3">
        <w:t>.</w:t>
      </w:r>
    </w:p>
    <w:p w14:paraId="73835198" w14:textId="728D00A4" w:rsidR="006167D3" w:rsidRDefault="00273B40" w:rsidP="004E1EF1">
      <w:pPr>
        <w:pStyle w:val="TableFigureheading"/>
      </w:pPr>
      <w:bookmarkStart w:id="69" w:name="_Ref120710056"/>
      <w:r>
        <w:t>Table </w:t>
      </w:r>
      <w:fldSimple w:instr=" SEQ Table \* ARABIC ">
        <w:r w:rsidR="00B1072E">
          <w:rPr>
            <w:noProof/>
          </w:rPr>
          <w:t>14</w:t>
        </w:r>
      </w:fldSimple>
      <w:bookmarkEnd w:id="69"/>
      <w:r w:rsidR="004E1EF1">
        <w:t>: Hotel cost</w:t>
      </w:r>
      <w:r w:rsidR="001C203C">
        <w:t xml:space="preserve"> estimat</w:t>
      </w:r>
      <w:r w:rsidR="00892685">
        <w:t xml:space="preserve">e using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2367"/>
        <w:gridCol w:w="2372"/>
        <w:gridCol w:w="2033"/>
        <w:gridCol w:w="2974"/>
      </w:tblGrid>
      <w:tr w:rsidR="00383E09" w:rsidRPr="00733486" w14:paraId="399B6C15" w14:textId="49267F49" w:rsidTr="00263B20">
        <w:trPr>
          <w:cnfStyle w:val="100000000000" w:firstRow="1" w:lastRow="0" w:firstColumn="0" w:lastColumn="0" w:oddVBand="0" w:evenVBand="0" w:oddHBand="0" w:evenHBand="0" w:firstRowFirstColumn="0" w:firstRowLastColumn="0" w:lastRowFirstColumn="0" w:lastRowLastColumn="0"/>
          <w:trHeight w:val="20"/>
        </w:trPr>
        <w:tc>
          <w:tcPr>
            <w:tcW w:w="1214" w:type="pct"/>
            <w:tcBorders>
              <w:right w:val="single" w:sz="4" w:space="0" w:color="FFFFFF" w:themeColor="accent6"/>
            </w:tcBorders>
            <w:shd w:val="clear" w:color="auto" w:fill="15272F" w:themeFill="accent1"/>
            <w:vAlign w:val="center"/>
          </w:tcPr>
          <w:p w14:paraId="56D8A285" w14:textId="4ED3B787" w:rsidR="00DC43D8" w:rsidRPr="00733486" w:rsidRDefault="00DC43D8" w:rsidP="00420A16">
            <w:pPr>
              <w:keepNext/>
              <w:spacing w:before="120" w:after="120"/>
              <w:rPr>
                <w:rFonts w:cs="Arial"/>
                <w:b/>
                <w:bCs/>
                <w:color w:val="FFFFFF" w:themeColor="background2"/>
                <w:szCs w:val="18"/>
                <w:lang w:val="en-US"/>
              </w:rPr>
            </w:pPr>
            <w:r>
              <w:rPr>
                <w:rFonts w:cs="Arial"/>
                <w:b/>
                <w:bCs/>
                <w:color w:val="FFFFFF" w:themeColor="background2"/>
                <w:szCs w:val="18"/>
                <w:lang w:val="en-US"/>
              </w:rPr>
              <w:t>Hotel</w:t>
            </w:r>
            <w:r w:rsidR="00655BDC">
              <w:rPr>
                <w:rFonts w:cs="Arial"/>
                <w:b/>
                <w:bCs/>
                <w:color w:val="FFFFFF" w:themeColor="background2"/>
                <w:szCs w:val="18"/>
                <w:lang w:val="en-US"/>
              </w:rPr>
              <w:t xml:space="preserve"> cost</w:t>
            </w:r>
            <w:r>
              <w:rPr>
                <w:rFonts w:cs="Arial"/>
                <w:b/>
                <w:bCs/>
                <w:color w:val="FFFFFF" w:themeColor="background2"/>
                <w:szCs w:val="18"/>
                <w:lang w:val="en-US"/>
              </w:rPr>
              <w:t xml:space="preserve"> c</w:t>
            </w:r>
            <w:r w:rsidRPr="00733486">
              <w:rPr>
                <w:rFonts w:cs="Arial"/>
                <w:b/>
                <w:bCs/>
                <w:color w:val="FFFFFF" w:themeColor="background2"/>
                <w:szCs w:val="18"/>
                <w:lang w:val="en-US"/>
              </w:rPr>
              <w:t>omponent</w:t>
            </w:r>
          </w:p>
        </w:tc>
        <w:tc>
          <w:tcPr>
            <w:tcW w:w="1217" w:type="pct"/>
            <w:tcBorders>
              <w:left w:val="single" w:sz="4" w:space="0" w:color="FFFFFF" w:themeColor="accent6"/>
            </w:tcBorders>
            <w:shd w:val="clear" w:color="auto" w:fill="15272F" w:themeFill="accent1"/>
            <w:vAlign w:val="center"/>
          </w:tcPr>
          <w:p w14:paraId="4FDFA7C6" w14:textId="38C3504A" w:rsidR="00DC43D8" w:rsidRPr="00733486" w:rsidRDefault="00EB0933" w:rsidP="00420A16">
            <w:pPr>
              <w:keepNext/>
              <w:spacing w:before="120" w:after="120"/>
              <w:rPr>
                <w:rFonts w:cs="Arial"/>
                <w:b/>
                <w:bCs/>
                <w:color w:val="FFFFFF" w:themeColor="background2"/>
                <w:szCs w:val="18"/>
              </w:rPr>
            </w:pPr>
            <w:r>
              <w:rPr>
                <w:rFonts w:cs="Arial"/>
                <w:b/>
                <w:bCs/>
                <w:color w:val="FFFFFF" w:themeColor="background2"/>
                <w:szCs w:val="18"/>
              </w:rPr>
              <w:t>ACFR 2020-21</w:t>
            </w:r>
            <w:r w:rsidR="00DC43D8">
              <w:rPr>
                <w:rFonts w:cs="Arial"/>
                <w:b/>
                <w:bCs/>
                <w:color w:val="FFFFFF" w:themeColor="background2"/>
                <w:szCs w:val="18"/>
              </w:rPr>
              <w:t xml:space="preserve"> </w:t>
            </w:r>
            <w:r w:rsidR="00DC43D8" w:rsidRPr="00733486">
              <w:rPr>
                <w:rFonts w:cs="Arial"/>
                <w:b/>
                <w:bCs/>
                <w:color w:val="FFFFFF" w:themeColor="background2"/>
                <w:szCs w:val="18"/>
              </w:rPr>
              <w:t>Total</w:t>
            </w:r>
          </w:p>
        </w:tc>
        <w:tc>
          <w:tcPr>
            <w:tcW w:w="1043" w:type="pct"/>
            <w:tcBorders>
              <w:left w:val="single" w:sz="4" w:space="0" w:color="FFFFFF" w:themeColor="accent6"/>
            </w:tcBorders>
            <w:shd w:val="clear" w:color="auto" w:fill="15272F" w:themeFill="accent1"/>
          </w:tcPr>
          <w:p w14:paraId="7B87E50F" w14:textId="6F798457" w:rsidR="00DC43D8" w:rsidRPr="00733486" w:rsidRDefault="00DC43D8" w:rsidP="00420A16">
            <w:pPr>
              <w:keepNext/>
              <w:spacing w:before="120" w:after="120"/>
              <w:rPr>
                <w:rFonts w:cs="Arial"/>
                <w:b/>
                <w:bCs/>
                <w:color w:val="FFFFFF" w:themeColor="background2"/>
                <w:szCs w:val="18"/>
              </w:rPr>
            </w:pPr>
            <w:r>
              <w:rPr>
                <w:rFonts w:cs="Arial"/>
                <w:b/>
                <w:bCs/>
                <w:color w:val="FFFFFF" w:themeColor="background2"/>
                <w:szCs w:val="18"/>
              </w:rPr>
              <w:t xml:space="preserve">2020-21 </w:t>
            </w:r>
            <w:r w:rsidR="003746B4">
              <w:rPr>
                <w:rFonts w:cs="Arial"/>
                <w:b/>
                <w:bCs/>
                <w:color w:val="FFFFFF" w:themeColor="background2"/>
                <w:szCs w:val="18"/>
              </w:rPr>
              <w:t>c</w:t>
            </w:r>
            <w:r>
              <w:rPr>
                <w:rFonts w:cs="Arial"/>
                <w:b/>
                <w:bCs/>
                <w:color w:val="FFFFFF" w:themeColor="background2"/>
                <w:szCs w:val="18"/>
              </w:rPr>
              <w:t xml:space="preserve">ost per </w:t>
            </w:r>
            <w:r w:rsidR="00383E09">
              <w:rPr>
                <w:rFonts w:cs="Arial"/>
                <w:b/>
                <w:bCs/>
                <w:color w:val="FFFFFF" w:themeColor="background2"/>
                <w:szCs w:val="18"/>
              </w:rPr>
              <w:t>OBD</w:t>
            </w:r>
          </w:p>
        </w:tc>
        <w:tc>
          <w:tcPr>
            <w:tcW w:w="1526" w:type="pct"/>
            <w:tcBorders>
              <w:left w:val="single" w:sz="4" w:space="0" w:color="FFFFFF" w:themeColor="accent6"/>
            </w:tcBorders>
            <w:shd w:val="clear" w:color="auto" w:fill="15272F" w:themeFill="accent1"/>
          </w:tcPr>
          <w:p w14:paraId="64EDECAF" w14:textId="23D6DF50" w:rsidR="00DC43D8" w:rsidRDefault="00DC43D8" w:rsidP="00420A16">
            <w:pPr>
              <w:keepNext/>
              <w:spacing w:before="120" w:after="120"/>
              <w:rPr>
                <w:rFonts w:cs="Arial"/>
                <w:b/>
                <w:bCs/>
                <w:color w:val="FFFFFF" w:themeColor="background2"/>
                <w:szCs w:val="18"/>
              </w:rPr>
            </w:pPr>
            <w:r>
              <w:rPr>
                <w:rFonts w:cs="Arial"/>
                <w:b/>
                <w:bCs/>
                <w:color w:val="FFFFFF" w:themeColor="background2"/>
                <w:szCs w:val="18"/>
              </w:rPr>
              <w:t xml:space="preserve">Estimated 2023-24 cost per </w:t>
            </w:r>
            <w:r w:rsidR="00383E09">
              <w:rPr>
                <w:rFonts w:cs="Arial"/>
                <w:b/>
                <w:bCs/>
                <w:color w:val="FFFFFF" w:themeColor="background2"/>
                <w:szCs w:val="18"/>
              </w:rPr>
              <w:t>OBD</w:t>
            </w:r>
          </w:p>
        </w:tc>
      </w:tr>
      <w:tr w:rsidR="00383E09" w:rsidRPr="009578A0" w14:paraId="5A46A9BC" w14:textId="0567EC93" w:rsidTr="00263B20">
        <w:trPr>
          <w:cnfStyle w:val="000000100000" w:firstRow="0" w:lastRow="0" w:firstColumn="0" w:lastColumn="0" w:oddVBand="0" w:evenVBand="0" w:oddHBand="1" w:evenHBand="0" w:firstRowFirstColumn="0" w:firstRowLastColumn="0" w:lastRowFirstColumn="0" w:lastRowLastColumn="0"/>
          <w:trHeight w:val="20"/>
        </w:trPr>
        <w:tc>
          <w:tcPr>
            <w:tcW w:w="1214" w:type="pct"/>
            <w:tcBorders>
              <w:right w:val="single" w:sz="4" w:space="0" w:color="FFFFFF" w:themeColor="accent6"/>
            </w:tcBorders>
          </w:tcPr>
          <w:p w14:paraId="1A8E2597" w14:textId="02676886" w:rsidR="00DC43D8" w:rsidRPr="009578A0" w:rsidRDefault="00DC43D8" w:rsidP="00420A16">
            <w:pPr>
              <w:keepNext/>
              <w:spacing w:before="120" w:after="120"/>
              <w:rPr>
                <w:rFonts w:cs="Arial"/>
                <w:color w:val="000000"/>
                <w:sz w:val="16"/>
                <w:szCs w:val="16"/>
                <w:lang w:val="en-US"/>
              </w:rPr>
            </w:pPr>
            <w:r w:rsidRPr="009578A0">
              <w:rPr>
                <w:rFonts w:cs="Arial"/>
                <w:sz w:val="16"/>
                <w:szCs w:val="16"/>
              </w:rPr>
              <w:t>Hotel costs</w:t>
            </w:r>
          </w:p>
        </w:tc>
        <w:tc>
          <w:tcPr>
            <w:tcW w:w="1217" w:type="pct"/>
            <w:tcBorders>
              <w:left w:val="single" w:sz="4" w:space="0" w:color="FFFFFF" w:themeColor="accent6"/>
            </w:tcBorders>
            <w:shd w:val="clear" w:color="auto" w:fill="F2F2F2" w:themeFill="accent6" w:themeFillShade="F2"/>
          </w:tcPr>
          <w:p w14:paraId="5A44E207" w14:textId="64E692B8" w:rsidR="00DC43D8" w:rsidRPr="009578A0" w:rsidRDefault="00DC43D8" w:rsidP="00420A16">
            <w:pPr>
              <w:keepNext/>
              <w:spacing w:before="120" w:after="120"/>
              <w:jc w:val="right"/>
              <w:rPr>
                <w:rFonts w:cs="Arial"/>
                <w:color w:val="1C1C1C"/>
                <w:sz w:val="16"/>
                <w:szCs w:val="16"/>
              </w:rPr>
            </w:pPr>
            <w:r w:rsidRPr="009578A0">
              <w:rPr>
                <w:rFonts w:cs="Arial"/>
                <w:sz w:val="16"/>
                <w:szCs w:val="16"/>
              </w:rPr>
              <w:t>$</w:t>
            </w:r>
            <w:r w:rsidR="41EE3EDF" w:rsidRPr="735F402E">
              <w:rPr>
                <w:rFonts w:cs="Arial"/>
                <w:sz w:val="16"/>
                <w:szCs w:val="16"/>
              </w:rPr>
              <w:t>3,531.6</w:t>
            </w:r>
            <w:r w:rsidRPr="009578A0">
              <w:rPr>
                <w:rFonts w:cs="Arial"/>
                <w:sz w:val="16"/>
                <w:szCs w:val="16"/>
              </w:rPr>
              <w:t>m</w:t>
            </w:r>
          </w:p>
        </w:tc>
        <w:tc>
          <w:tcPr>
            <w:tcW w:w="1043" w:type="pct"/>
            <w:tcBorders>
              <w:left w:val="single" w:sz="4" w:space="0" w:color="FFFFFF" w:themeColor="accent6"/>
            </w:tcBorders>
            <w:shd w:val="clear" w:color="auto" w:fill="F2F2F2" w:themeFill="accent6" w:themeFillShade="F2"/>
          </w:tcPr>
          <w:p w14:paraId="0F52AEC4" w14:textId="5B79F4AF" w:rsidR="00DC43D8" w:rsidRPr="009578A0" w:rsidRDefault="00DC43D8" w:rsidP="00420A16">
            <w:pPr>
              <w:keepNext/>
              <w:spacing w:before="120" w:after="120"/>
              <w:jc w:val="right"/>
              <w:rPr>
                <w:rFonts w:cs="Arial"/>
                <w:sz w:val="16"/>
                <w:szCs w:val="16"/>
              </w:rPr>
            </w:pPr>
            <w:r>
              <w:rPr>
                <w:rFonts w:cs="Arial"/>
                <w:sz w:val="16"/>
                <w:szCs w:val="16"/>
              </w:rPr>
              <w:t>$</w:t>
            </w:r>
            <w:r w:rsidR="0E0DA7A2" w:rsidRPr="0C09679D">
              <w:rPr>
                <w:rFonts w:cs="Arial"/>
                <w:sz w:val="16"/>
                <w:szCs w:val="16"/>
              </w:rPr>
              <w:t>55.20</w:t>
            </w:r>
          </w:p>
        </w:tc>
        <w:tc>
          <w:tcPr>
            <w:tcW w:w="1526" w:type="pct"/>
            <w:tcBorders>
              <w:left w:val="single" w:sz="4" w:space="0" w:color="FFFFFF" w:themeColor="accent6"/>
            </w:tcBorders>
            <w:shd w:val="clear" w:color="auto" w:fill="F2F2F2" w:themeFill="accent6" w:themeFillShade="F2"/>
          </w:tcPr>
          <w:p w14:paraId="7EEB887C" w14:textId="2C80F521" w:rsidR="00DC43D8" w:rsidRDefault="003746B4" w:rsidP="00420A16">
            <w:pPr>
              <w:keepNext/>
              <w:spacing w:before="120" w:after="120"/>
              <w:jc w:val="right"/>
              <w:rPr>
                <w:rFonts w:cs="Arial"/>
                <w:sz w:val="16"/>
                <w:szCs w:val="16"/>
              </w:rPr>
            </w:pPr>
            <w:r>
              <w:rPr>
                <w:rFonts w:cs="Arial"/>
                <w:sz w:val="16"/>
                <w:szCs w:val="16"/>
              </w:rPr>
              <w:t>$</w:t>
            </w:r>
            <w:r w:rsidR="08DD9133" w:rsidRPr="684CE508">
              <w:rPr>
                <w:rFonts w:cs="Arial"/>
                <w:sz w:val="16"/>
                <w:szCs w:val="16"/>
              </w:rPr>
              <w:t>64.16</w:t>
            </w:r>
          </w:p>
        </w:tc>
      </w:tr>
      <w:tr w:rsidR="00383E09" w:rsidRPr="009578A0" w14:paraId="4213D8B4" w14:textId="5429D584" w:rsidTr="00263B20">
        <w:trPr>
          <w:cnfStyle w:val="000000010000" w:firstRow="0" w:lastRow="0" w:firstColumn="0" w:lastColumn="0" w:oddVBand="0" w:evenVBand="0" w:oddHBand="0" w:evenHBand="1" w:firstRowFirstColumn="0" w:firstRowLastColumn="0" w:lastRowFirstColumn="0" w:lastRowLastColumn="0"/>
          <w:trHeight w:val="20"/>
        </w:trPr>
        <w:tc>
          <w:tcPr>
            <w:tcW w:w="1214" w:type="pct"/>
            <w:tcBorders>
              <w:right w:val="single" w:sz="4" w:space="0" w:color="FFFFFF" w:themeColor="accent6"/>
            </w:tcBorders>
          </w:tcPr>
          <w:p w14:paraId="63EA7BEB" w14:textId="669E7EB4" w:rsidR="00DC43D8" w:rsidRPr="009578A0" w:rsidRDefault="00DC43D8" w:rsidP="00420A16">
            <w:pPr>
              <w:keepNext/>
              <w:spacing w:before="120" w:after="120"/>
              <w:rPr>
                <w:rFonts w:cs="Arial"/>
                <w:color w:val="000000"/>
                <w:sz w:val="16"/>
                <w:szCs w:val="16"/>
                <w:lang w:val="en-US"/>
              </w:rPr>
            </w:pPr>
            <w:r w:rsidRPr="009578A0">
              <w:rPr>
                <w:rFonts w:cs="Arial"/>
                <w:sz w:val="16"/>
                <w:szCs w:val="16"/>
              </w:rPr>
              <w:t xml:space="preserve">Corporate administrative costs </w:t>
            </w:r>
          </w:p>
        </w:tc>
        <w:tc>
          <w:tcPr>
            <w:tcW w:w="1217" w:type="pct"/>
            <w:tcBorders>
              <w:left w:val="single" w:sz="4" w:space="0" w:color="FFFFFF" w:themeColor="accent6"/>
            </w:tcBorders>
            <w:shd w:val="clear" w:color="auto" w:fill="F2F2F2" w:themeFill="accent6" w:themeFillShade="F2"/>
          </w:tcPr>
          <w:p w14:paraId="35A0D26B" w14:textId="16E3DCA4" w:rsidR="00DC43D8" w:rsidRPr="009578A0" w:rsidRDefault="00DC43D8" w:rsidP="00420A16">
            <w:pPr>
              <w:keepNext/>
              <w:spacing w:before="120" w:after="120"/>
              <w:jc w:val="right"/>
              <w:rPr>
                <w:rFonts w:cs="Arial"/>
                <w:color w:val="1C1C1C"/>
                <w:sz w:val="16"/>
                <w:szCs w:val="16"/>
              </w:rPr>
            </w:pPr>
            <w:r w:rsidRPr="009578A0">
              <w:rPr>
                <w:rFonts w:cs="Arial"/>
                <w:sz w:val="16"/>
                <w:szCs w:val="16"/>
              </w:rPr>
              <w:t>$</w:t>
            </w:r>
            <w:r w:rsidR="7BB64BE2" w:rsidRPr="2E11ED92">
              <w:rPr>
                <w:rFonts w:cs="Arial"/>
                <w:sz w:val="16"/>
                <w:szCs w:val="16"/>
              </w:rPr>
              <w:t>816</w:t>
            </w:r>
            <w:r w:rsidR="001F495F">
              <w:rPr>
                <w:rFonts w:cs="Arial"/>
                <w:sz w:val="16"/>
                <w:szCs w:val="16"/>
              </w:rPr>
              <w:t>.5</w:t>
            </w:r>
            <w:r w:rsidRPr="009578A0">
              <w:rPr>
                <w:rFonts w:cs="Arial"/>
                <w:sz w:val="16"/>
                <w:szCs w:val="16"/>
              </w:rPr>
              <w:t>m</w:t>
            </w:r>
          </w:p>
        </w:tc>
        <w:tc>
          <w:tcPr>
            <w:tcW w:w="1043" w:type="pct"/>
            <w:tcBorders>
              <w:left w:val="single" w:sz="4" w:space="0" w:color="FFFFFF" w:themeColor="accent6"/>
            </w:tcBorders>
            <w:shd w:val="clear" w:color="auto" w:fill="F2F2F2" w:themeFill="accent6" w:themeFillShade="F2"/>
          </w:tcPr>
          <w:p w14:paraId="302B8CC0" w14:textId="3E944363" w:rsidR="00DC43D8" w:rsidRPr="009578A0" w:rsidRDefault="00DC43D8" w:rsidP="00420A16">
            <w:pPr>
              <w:keepNext/>
              <w:spacing w:before="120" w:after="120"/>
              <w:jc w:val="right"/>
              <w:rPr>
                <w:rFonts w:cs="Arial"/>
                <w:sz w:val="16"/>
                <w:szCs w:val="16"/>
              </w:rPr>
            </w:pPr>
            <w:r>
              <w:rPr>
                <w:rFonts w:cs="Arial"/>
                <w:sz w:val="16"/>
                <w:szCs w:val="16"/>
              </w:rPr>
              <w:t>$</w:t>
            </w:r>
            <w:r w:rsidR="670547FF" w:rsidRPr="0C09679D">
              <w:rPr>
                <w:rFonts w:cs="Arial"/>
                <w:sz w:val="16"/>
                <w:szCs w:val="16"/>
              </w:rPr>
              <w:t>12.76</w:t>
            </w:r>
          </w:p>
        </w:tc>
        <w:tc>
          <w:tcPr>
            <w:tcW w:w="1526" w:type="pct"/>
            <w:tcBorders>
              <w:left w:val="single" w:sz="4" w:space="0" w:color="FFFFFF" w:themeColor="accent6"/>
            </w:tcBorders>
            <w:shd w:val="clear" w:color="auto" w:fill="F2F2F2" w:themeFill="accent6" w:themeFillShade="F2"/>
          </w:tcPr>
          <w:p w14:paraId="63F100FE" w14:textId="274A2508" w:rsidR="00DC43D8" w:rsidRDefault="003746B4" w:rsidP="00420A16">
            <w:pPr>
              <w:keepNext/>
              <w:spacing w:before="120" w:after="120"/>
              <w:jc w:val="right"/>
              <w:rPr>
                <w:rFonts w:cs="Arial"/>
                <w:sz w:val="16"/>
                <w:szCs w:val="16"/>
              </w:rPr>
            </w:pPr>
            <w:r>
              <w:rPr>
                <w:rFonts w:cs="Arial"/>
                <w:sz w:val="16"/>
                <w:szCs w:val="16"/>
              </w:rPr>
              <w:t>$</w:t>
            </w:r>
            <w:r w:rsidR="58DD3208" w:rsidRPr="684CE508">
              <w:rPr>
                <w:rFonts w:cs="Arial"/>
                <w:sz w:val="16"/>
                <w:szCs w:val="16"/>
              </w:rPr>
              <w:t>14.83</w:t>
            </w:r>
          </w:p>
        </w:tc>
      </w:tr>
      <w:tr w:rsidR="00383E09" w:rsidRPr="009578A0" w14:paraId="72125263" w14:textId="163A5CB4" w:rsidTr="00263B20">
        <w:trPr>
          <w:cnfStyle w:val="000000100000" w:firstRow="0" w:lastRow="0" w:firstColumn="0" w:lastColumn="0" w:oddVBand="0" w:evenVBand="0" w:oddHBand="1" w:evenHBand="0" w:firstRowFirstColumn="0" w:firstRowLastColumn="0" w:lastRowFirstColumn="0" w:lastRowLastColumn="0"/>
          <w:trHeight w:val="20"/>
        </w:trPr>
        <w:tc>
          <w:tcPr>
            <w:tcW w:w="1214" w:type="pct"/>
            <w:tcBorders>
              <w:right w:val="single" w:sz="4" w:space="0" w:color="FFFFFF" w:themeColor="accent6"/>
            </w:tcBorders>
            <w:shd w:val="clear" w:color="auto" w:fill="DFEBF1" w:themeFill="accent1" w:themeFillTint="1A"/>
            <w:vAlign w:val="center"/>
          </w:tcPr>
          <w:p w14:paraId="1B1E08A5" w14:textId="77777777" w:rsidR="00DC43D8" w:rsidRPr="009578A0" w:rsidRDefault="00DC43D8" w:rsidP="00420A16">
            <w:pPr>
              <w:keepNext/>
              <w:spacing w:before="120" w:after="120"/>
              <w:rPr>
                <w:rFonts w:cs="Arial"/>
                <w:b/>
                <w:bCs/>
                <w:color w:val="000000"/>
                <w:sz w:val="16"/>
                <w:szCs w:val="16"/>
                <w:lang w:val="en-US"/>
              </w:rPr>
            </w:pPr>
            <w:r w:rsidRPr="009578A0">
              <w:rPr>
                <w:rFonts w:cs="Arial"/>
                <w:b/>
                <w:bCs/>
                <w:color w:val="000000"/>
                <w:sz w:val="16"/>
                <w:szCs w:val="16"/>
                <w:lang w:val="en-US"/>
              </w:rPr>
              <w:t>Total*</w:t>
            </w:r>
          </w:p>
        </w:tc>
        <w:tc>
          <w:tcPr>
            <w:tcW w:w="1217" w:type="pct"/>
            <w:tcBorders>
              <w:left w:val="single" w:sz="4" w:space="0" w:color="FFFFFF" w:themeColor="accent6"/>
            </w:tcBorders>
            <w:shd w:val="clear" w:color="auto" w:fill="DFEBF1" w:themeFill="accent1" w:themeFillTint="1A"/>
          </w:tcPr>
          <w:p w14:paraId="6A3E5C9C" w14:textId="6832F0CA" w:rsidR="00DC43D8" w:rsidRPr="009578A0" w:rsidRDefault="00DC43D8" w:rsidP="00420A16">
            <w:pPr>
              <w:keepNext/>
              <w:spacing w:before="120" w:after="120"/>
              <w:jc w:val="right"/>
              <w:rPr>
                <w:rFonts w:cs="Arial"/>
                <w:b/>
                <w:bCs/>
                <w:color w:val="1C1C1C"/>
                <w:sz w:val="16"/>
                <w:szCs w:val="16"/>
              </w:rPr>
            </w:pPr>
            <w:r w:rsidRPr="009578A0">
              <w:rPr>
                <w:rFonts w:cs="Arial"/>
                <w:b/>
                <w:bCs/>
                <w:sz w:val="16"/>
                <w:szCs w:val="16"/>
              </w:rPr>
              <w:t>$</w:t>
            </w:r>
            <w:r w:rsidR="33EE23A8" w:rsidRPr="0111D208">
              <w:rPr>
                <w:rFonts w:cs="Arial"/>
                <w:b/>
                <w:bCs/>
                <w:sz w:val="16"/>
                <w:szCs w:val="16"/>
              </w:rPr>
              <w:t>4,348.1</w:t>
            </w:r>
            <w:r w:rsidRPr="009578A0">
              <w:rPr>
                <w:rFonts w:cs="Arial"/>
                <w:b/>
                <w:bCs/>
                <w:sz w:val="16"/>
                <w:szCs w:val="16"/>
              </w:rPr>
              <w:t>m</w:t>
            </w:r>
          </w:p>
        </w:tc>
        <w:tc>
          <w:tcPr>
            <w:tcW w:w="1043" w:type="pct"/>
            <w:tcBorders>
              <w:left w:val="single" w:sz="4" w:space="0" w:color="FFFFFF" w:themeColor="accent6"/>
            </w:tcBorders>
            <w:shd w:val="clear" w:color="auto" w:fill="DFEBF1" w:themeFill="accent1" w:themeFillTint="1A"/>
          </w:tcPr>
          <w:p w14:paraId="049A0B12" w14:textId="054C6029" w:rsidR="00DC43D8" w:rsidRPr="009578A0" w:rsidRDefault="00DC43D8" w:rsidP="00420A16">
            <w:pPr>
              <w:keepNext/>
              <w:spacing w:before="120" w:after="120"/>
              <w:jc w:val="right"/>
              <w:rPr>
                <w:rFonts w:cs="Arial"/>
                <w:b/>
                <w:bCs/>
                <w:sz w:val="16"/>
                <w:szCs w:val="16"/>
              </w:rPr>
            </w:pPr>
            <w:r>
              <w:rPr>
                <w:rFonts w:cs="Arial"/>
                <w:b/>
                <w:bCs/>
                <w:sz w:val="16"/>
                <w:szCs w:val="16"/>
              </w:rPr>
              <w:t>$</w:t>
            </w:r>
            <w:r w:rsidR="2FF8821D" w:rsidRPr="0C09679D">
              <w:rPr>
                <w:rFonts w:cs="Arial"/>
                <w:b/>
                <w:bCs/>
                <w:sz w:val="16"/>
                <w:szCs w:val="16"/>
              </w:rPr>
              <w:t>67.97</w:t>
            </w:r>
          </w:p>
        </w:tc>
        <w:tc>
          <w:tcPr>
            <w:tcW w:w="1526" w:type="pct"/>
            <w:tcBorders>
              <w:left w:val="single" w:sz="4" w:space="0" w:color="FFFFFF" w:themeColor="accent6"/>
            </w:tcBorders>
            <w:shd w:val="clear" w:color="auto" w:fill="DFEBF1" w:themeFill="accent1" w:themeFillTint="1A"/>
          </w:tcPr>
          <w:p w14:paraId="58031292" w14:textId="0B3439B5" w:rsidR="00DC43D8" w:rsidRDefault="003746B4" w:rsidP="00420A16">
            <w:pPr>
              <w:keepNext/>
              <w:spacing w:before="120" w:after="120"/>
              <w:jc w:val="right"/>
              <w:rPr>
                <w:rFonts w:cs="Arial"/>
                <w:b/>
                <w:bCs/>
                <w:sz w:val="16"/>
                <w:szCs w:val="16"/>
              </w:rPr>
            </w:pPr>
            <w:r>
              <w:rPr>
                <w:rFonts w:cs="Arial"/>
                <w:b/>
                <w:bCs/>
                <w:sz w:val="16"/>
                <w:szCs w:val="16"/>
              </w:rPr>
              <w:t>$</w:t>
            </w:r>
            <w:r w:rsidR="752764A7" w:rsidRPr="684CE508">
              <w:rPr>
                <w:rFonts w:cs="Arial"/>
                <w:b/>
                <w:bCs/>
                <w:sz w:val="16"/>
                <w:szCs w:val="16"/>
              </w:rPr>
              <w:t>78.99</w:t>
            </w:r>
          </w:p>
        </w:tc>
      </w:tr>
    </w:tbl>
    <w:p w14:paraId="78E526C4" w14:textId="77777777" w:rsidR="004165DE" w:rsidRPr="00BB5A75" w:rsidRDefault="004165DE" w:rsidP="004165DE">
      <w:pPr>
        <w:rPr>
          <w:sz w:val="18"/>
          <w:szCs w:val="18"/>
        </w:rPr>
      </w:pPr>
      <w:r w:rsidRPr="00BB5A75">
        <w:rPr>
          <w:sz w:val="18"/>
          <w:szCs w:val="18"/>
        </w:rPr>
        <w:t>*Components may not add to total due to rounding</w:t>
      </w:r>
    </w:p>
    <w:p w14:paraId="5C244177" w14:textId="675EB9C2" w:rsidR="00834A54" w:rsidRDefault="00CC45B5" w:rsidP="005B4443">
      <w:pPr>
        <w:pStyle w:val="Heading2"/>
      </w:pPr>
      <w:bookmarkStart w:id="70" w:name="_Toc134183613"/>
      <w:r>
        <w:t xml:space="preserve">Hotel </w:t>
      </w:r>
      <w:r w:rsidR="005C3632">
        <w:t>revenue</w:t>
      </w:r>
      <w:bookmarkEnd w:id="70"/>
    </w:p>
    <w:p w14:paraId="323AD862" w14:textId="2C66631A" w:rsidR="00E30379" w:rsidRDefault="00E30379" w:rsidP="00D00C25">
      <w:r w:rsidRPr="00E30379">
        <w:t xml:space="preserve">Hotel costs for residents are </w:t>
      </w:r>
      <w:r>
        <w:t>funded through</w:t>
      </w:r>
      <w:r w:rsidRPr="00E30379">
        <w:t xml:space="preserve"> payment of the BDF. The BDF is up to 85 per cent of the basic aged care pension with all residents required to pay or apply for hardship or alternative payment options.</w:t>
      </w:r>
    </w:p>
    <w:p w14:paraId="3CB95032" w14:textId="5932DC00" w:rsidR="00E30379" w:rsidRDefault="00E30379" w:rsidP="00E30379">
      <w:r w:rsidRPr="0045086C">
        <w:lastRenderedPageBreak/>
        <w:t xml:space="preserve">Additional and/or extra hotel services, such as higher quality meals, bedding, </w:t>
      </w:r>
      <w:r w:rsidR="004F1EB4" w:rsidRPr="0045086C">
        <w:t>furnishings,</w:t>
      </w:r>
      <w:r w:rsidRPr="0045086C">
        <w:t xml:space="preserve"> or preferred brands of toiletries can be offered and paid for by residents through additional service fees, and/or extra service fees.</w:t>
      </w:r>
    </w:p>
    <w:p w14:paraId="08126A76" w14:textId="6D969796" w:rsidR="00E30379" w:rsidRDefault="00E30379" w:rsidP="00E30379">
      <w:r>
        <w:t xml:space="preserve">In July 2021, the BDF Supplement was introduced in response to the Royal Commission into Aged Care Quality and Safety in the form of a $10 per </w:t>
      </w:r>
      <w:r w:rsidR="001006A4">
        <w:t>occupied</w:t>
      </w:r>
      <w:r>
        <w:t xml:space="preserve"> bed day </w:t>
      </w:r>
      <w:r w:rsidR="001006A4">
        <w:t xml:space="preserve">(OBD) </w:t>
      </w:r>
      <w:r>
        <w:t>supplement, intended predominantly to improve the quality of food and nutrition for residents, among other objectives. This funding was consolidated into the Australian National Aged Care Classification (AN-ACC) price as of 1 October 2022</w:t>
      </w:r>
      <w:r w:rsidR="001006A4">
        <w:t>. Subsequent advice from Government is that the BDF Supplement will be paid as a separate supplement of $10 per OBD</w:t>
      </w:r>
      <w:r w:rsidDel="001006A4">
        <w:t>.</w:t>
      </w:r>
    </w:p>
    <w:p w14:paraId="0817FF4A" w14:textId="1A615B1C" w:rsidR="001C203C" w:rsidRDefault="00D00C25" w:rsidP="00D00C25">
      <w:r>
        <w:t xml:space="preserve">The ACFR provides information on </w:t>
      </w:r>
      <w:r w:rsidR="00E30379">
        <w:t xml:space="preserve">the BDF, </w:t>
      </w:r>
      <w:r>
        <w:t xml:space="preserve">extra service fee and additional service fee revenue, and the </w:t>
      </w:r>
      <w:r w:rsidR="003A428C">
        <w:t>revenue from</w:t>
      </w:r>
      <w:r w:rsidR="008A7085">
        <w:t xml:space="preserve"> the </w:t>
      </w:r>
      <w:r w:rsidR="003A428C">
        <w:t xml:space="preserve">2023-24 </w:t>
      </w:r>
      <w:r>
        <w:t xml:space="preserve">BDF Supplement can be </w:t>
      </w:r>
      <w:r w:rsidR="003A428C">
        <w:t xml:space="preserve">calculated </w:t>
      </w:r>
      <w:r>
        <w:t xml:space="preserve">based on total </w:t>
      </w:r>
      <w:r w:rsidR="00D358EE">
        <w:t>OBD</w:t>
      </w:r>
      <w:r>
        <w:t xml:space="preserve"> information in the ACFR.</w:t>
      </w:r>
      <w:r w:rsidR="00DF668D">
        <w:t xml:space="preserve"> </w:t>
      </w:r>
      <w:r w:rsidR="001C203C">
        <w:t xml:space="preserve">The estimation of hotel revenue is shown in </w:t>
      </w:r>
      <w:r w:rsidR="00892685">
        <w:fldChar w:fldCharType="begin"/>
      </w:r>
      <w:r w:rsidR="00892685">
        <w:instrText xml:space="preserve"> REF _Ref120712708 \h </w:instrText>
      </w:r>
      <w:r w:rsidR="00892685">
        <w:fldChar w:fldCharType="separate"/>
      </w:r>
      <w:r w:rsidR="00B1072E">
        <w:t>Table </w:t>
      </w:r>
      <w:r w:rsidR="00B1072E">
        <w:rPr>
          <w:noProof/>
        </w:rPr>
        <w:t>15</w:t>
      </w:r>
      <w:r w:rsidR="00892685">
        <w:fldChar w:fldCharType="end"/>
      </w:r>
      <w:r w:rsidR="00362CE4">
        <w:t>.</w:t>
      </w:r>
    </w:p>
    <w:p w14:paraId="1A3A7166" w14:textId="522964E9" w:rsidR="001C203C" w:rsidRDefault="00273B40" w:rsidP="00892685">
      <w:pPr>
        <w:pStyle w:val="TableFigureheading"/>
      </w:pPr>
      <w:bookmarkStart w:id="71" w:name="_Ref120712708"/>
      <w:r>
        <w:t>Table </w:t>
      </w:r>
      <w:fldSimple w:instr=" SEQ Table \* ARABIC ">
        <w:r w:rsidR="00B1072E">
          <w:rPr>
            <w:noProof/>
          </w:rPr>
          <w:t>15</w:t>
        </w:r>
      </w:fldSimple>
      <w:bookmarkEnd w:id="71"/>
      <w:r w:rsidR="00892685">
        <w:t xml:space="preserve">: Hotel revenue estimating using </w:t>
      </w:r>
      <w:r w:rsidR="00EB0933">
        <w:t>ACFR 2020-21</w:t>
      </w:r>
    </w:p>
    <w:tbl>
      <w:tblPr>
        <w:tblStyle w:val="IHPATable"/>
        <w:tblW w:w="5000" w:type="pct"/>
        <w:tblLayout w:type="fixed"/>
        <w:tblLook w:val="0020" w:firstRow="1" w:lastRow="0" w:firstColumn="0" w:lastColumn="0" w:noHBand="0" w:noVBand="0"/>
        <w:tblCaption w:val="Table 10"/>
        <w:tblDescription w:val="Ongoing seconded employees 2021"/>
      </w:tblPr>
      <w:tblGrid>
        <w:gridCol w:w="2436"/>
        <w:gridCol w:w="2440"/>
        <w:gridCol w:w="2435"/>
        <w:gridCol w:w="2435"/>
      </w:tblGrid>
      <w:tr w:rsidR="00B6358E" w:rsidRPr="00733486" w14:paraId="55351E01" w14:textId="053EA7AD" w:rsidTr="00263B20">
        <w:trPr>
          <w:cnfStyle w:val="100000000000" w:firstRow="1" w:lastRow="0" w:firstColumn="0" w:lastColumn="0" w:oddVBand="0" w:evenVBand="0" w:oddHBand="0" w:evenHBand="0" w:firstRowFirstColumn="0" w:firstRowLastColumn="0" w:lastRowFirstColumn="0" w:lastRowLastColumn="0"/>
          <w:trHeight w:val="20"/>
        </w:trPr>
        <w:tc>
          <w:tcPr>
            <w:tcW w:w="1250" w:type="pct"/>
            <w:tcBorders>
              <w:right w:val="single" w:sz="4" w:space="0" w:color="FFFFFF" w:themeColor="background2"/>
            </w:tcBorders>
            <w:shd w:val="clear" w:color="auto" w:fill="15272F" w:themeFill="text1"/>
            <w:vAlign w:val="center"/>
          </w:tcPr>
          <w:p w14:paraId="4E784728" w14:textId="3DE5B2C1" w:rsidR="009E2B1C" w:rsidRPr="00733486" w:rsidRDefault="009E2B1C" w:rsidP="00655BDC">
            <w:pPr>
              <w:keepNext/>
              <w:spacing w:before="120" w:after="120"/>
              <w:rPr>
                <w:rFonts w:cs="Arial"/>
                <w:b/>
                <w:bCs/>
                <w:color w:val="FFFFFF" w:themeColor="background2"/>
                <w:szCs w:val="18"/>
                <w:lang w:val="en-US"/>
              </w:rPr>
            </w:pPr>
            <w:r>
              <w:rPr>
                <w:rFonts w:cs="Arial"/>
                <w:b/>
                <w:bCs/>
                <w:color w:val="FFFFFF" w:themeColor="background2"/>
                <w:szCs w:val="18"/>
                <w:lang w:val="en-US"/>
              </w:rPr>
              <w:t>Hotel revenue c</w:t>
            </w:r>
            <w:r w:rsidRPr="00733486">
              <w:rPr>
                <w:rFonts w:cs="Arial"/>
                <w:b/>
                <w:bCs/>
                <w:color w:val="FFFFFF" w:themeColor="background2"/>
                <w:szCs w:val="18"/>
                <w:lang w:val="en-US"/>
              </w:rPr>
              <w:t>omponent</w:t>
            </w:r>
          </w:p>
        </w:tc>
        <w:tc>
          <w:tcPr>
            <w:tcW w:w="1252" w:type="pct"/>
            <w:tcBorders>
              <w:left w:val="single" w:sz="4" w:space="0" w:color="FFFFFF" w:themeColor="background2"/>
            </w:tcBorders>
            <w:shd w:val="clear" w:color="auto" w:fill="15272F" w:themeFill="text1"/>
            <w:vAlign w:val="center"/>
          </w:tcPr>
          <w:p w14:paraId="774EACCF" w14:textId="021A4730" w:rsidR="009E2B1C" w:rsidRPr="00733486" w:rsidRDefault="009E2B1C" w:rsidP="009E2B1C">
            <w:pPr>
              <w:keepNext/>
              <w:spacing w:before="120" w:after="120"/>
              <w:jc w:val="center"/>
              <w:rPr>
                <w:rFonts w:cs="Arial"/>
                <w:b/>
                <w:bCs/>
                <w:color w:val="FFFFFF" w:themeColor="background2"/>
                <w:szCs w:val="18"/>
              </w:rPr>
            </w:pPr>
            <w:r>
              <w:rPr>
                <w:rFonts w:cs="Arial"/>
                <w:b/>
                <w:bCs/>
                <w:color w:val="FFFFFF" w:themeColor="background2"/>
                <w:szCs w:val="18"/>
              </w:rPr>
              <w:t>Total revenue</w:t>
            </w:r>
          </w:p>
        </w:tc>
        <w:tc>
          <w:tcPr>
            <w:tcW w:w="2498" w:type="pct"/>
            <w:gridSpan w:val="2"/>
            <w:tcBorders>
              <w:left w:val="single" w:sz="4" w:space="0" w:color="FFFFFF" w:themeColor="background2"/>
              <w:bottom w:val="single" w:sz="4" w:space="0" w:color="D9D9D9" w:themeColor="background2" w:themeShade="D9"/>
            </w:tcBorders>
            <w:shd w:val="clear" w:color="auto" w:fill="15272F" w:themeFill="text1"/>
            <w:vAlign w:val="center"/>
          </w:tcPr>
          <w:p w14:paraId="4FB35763" w14:textId="590E6243" w:rsidR="009E2B1C" w:rsidRDefault="009E2B1C" w:rsidP="009E2B1C">
            <w:pPr>
              <w:keepNext/>
              <w:spacing w:before="120" w:after="120"/>
              <w:jc w:val="center"/>
              <w:rPr>
                <w:rFonts w:cs="Arial"/>
                <w:b/>
                <w:bCs/>
                <w:color w:val="FFFFFF" w:themeColor="background2"/>
                <w:szCs w:val="18"/>
              </w:rPr>
            </w:pPr>
            <w:r>
              <w:rPr>
                <w:rFonts w:cs="Arial"/>
                <w:b/>
                <w:bCs/>
                <w:color w:val="FFFFFF" w:themeColor="background2"/>
                <w:szCs w:val="18"/>
              </w:rPr>
              <w:t xml:space="preserve">Revenue per </w:t>
            </w:r>
            <w:r w:rsidR="009E3040">
              <w:rPr>
                <w:rFonts w:cs="Arial"/>
                <w:b/>
                <w:bCs/>
                <w:color w:val="FFFFFF" w:themeColor="background2"/>
                <w:szCs w:val="18"/>
              </w:rPr>
              <w:t>OBD</w:t>
            </w:r>
          </w:p>
        </w:tc>
      </w:tr>
      <w:tr w:rsidR="00B6358E" w:rsidRPr="009578A0" w14:paraId="3B999DCF" w14:textId="77777777" w:rsidTr="00B6358E">
        <w:trPr>
          <w:cnfStyle w:val="000000100000" w:firstRow="0" w:lastRow="0" w:firstColumn="0" w:lastColumn="0" w:oddVBand="0" w:evenVBand="0" w:oddHBand="1" w:evenHBand="0" w:firstRowFirstColumn="0" w:firstRowLastColumn="0" w:lastRowFirstColumn="0" w:lastRowLastColumn="0"/>
          <w:trHeight w:val="20"/>
        </w:trPr>
        <w:tc>
          <w:tcPr>
            <w:tcW w:w="1250" w:type="pct"/>
            <w:tcBorders>
              <w:right w:val="single" w:sz="4" w:space="0" w:color="FFFFFF" w:themeColor="background2"/>
            </w:tcBorders>
            <w:shd w:val="clear" w:color="auto" w:fill="DFEBF1" w:themeFill="text2" w:themeFillTint="1A"/>
            <w:vAlign w:val="center"/>
          </w:tcPr>
          <w:p w14:paraId="516AE5A6" w14:textId="0F47D469" w:rsidR="005800CE" w:rsidRPr="009E2B1C" w:rsidRDefault="005800CE" w:rsidP="00420A16">
            <w:pPr>
              <w:keepNext/>
              <w:spacing w:before="120" w:after="120"/>
              <w:rPr>
                <w:rFonts w:cs="Arial"/>
                <w:b/>
                <w:bCs/>
                <w:color w:val="000000"/>
                <w:sz w:val="16"/>
                <w:szCs w:val="16"/>
                <w:lang w:val="en-US"/>
              </w:rPr>
            </w:pPr>
          </w:p>
        </w:tc>
        <w:tc>
          <w:tcPr>
            <w:tcW w:w="1252" w:type="pct"/>
            <w:tcBorders>
              <w:left w:val="single" w:sz="4" w:space="0" w:color="FFFFFF" w:themeColor="background2"/>
            </w:tcBorders>
            <w:shd w:val="clear" w:color="auto" w:fill="DFEBF1" w:themeFill="text2" w:themeFillTint="1A"/>
          </w:tcPr>
          <w:p w14:paraId="0CF900A7" w14:textId="0A8C86D4" w:rsidR="005800CE" w:rsidRPr="009E2B1C" w:rsidRDefault="005800CE" w:rsidP="00420A16">
            <w:pPr>
              <w:keepNext/>
              <w:spacing w:before="120" w:after="120"/>
              <w:jc w:val="right"/>
              <w:rPr>
                <w:rFonts w:cs="Arial"/>
                <w:b/>
                <w:bCs/>
                <w:color w:val="1C1C1C"/>
                <w:sz w:val="16"/>
                <w:szCs w:val="16"/>
              </w:rPr>
            </w:pPr>
            <w:r>
              <w:rPr>
                <w:rFonts w:cs="Arial"/>
                <w:b/>
                <w:bCs/>
                <w:color w:val="000000"/>
                <w:sz w:val="16"/>
                <w:szCs w:val="16"/>
                <w:lang w:val="en-AU"/>
              </w:rPr>
              <w:t>ACFR 2020-21</w:t>
            </w:r>
          </w:p>
        </w:tc>
        <w:tc>
          <w:tcPr>
            <w:tcW w:w="1249" w:type="pct"/>
            <w:tcBorders>
              <w:left w:val="single" w:sz="4" w:space="0" w:color="FFFFFF" w:themeColor="background2"/>
            </w:tcBorders>
            <w:shd w:val="clear" w:color="auto" w:fill="DFEBF1" w:themeFill="text2" w:themeFillTint="1A"/>
          </w:tcPr>
          <w:p w14:paraId="479AB6FF" w14:textId="6EB7AACD" w:rsidR="005800CE" w:rsidRPr="009E2B1C" w:rsidRDefault="005800CE" w:rsidP="00420A16">
            <w:pPr>
              <w:keepNext/>
              <w:spacing w:before="120" w:after="120"/>
              <w:jc w:val="right"/>
              <w:rPr>
                <w:rFonts w:cs="Arial"/>
                <w:b/>
                <w:bCs/>
                <w:sz w:val="16"/>
                <w:szCs w:val="16"/>
              </w:rPr>
            </w:pPr>
            <w:r>
              <w:rPr>
                <w:rFonts w:cs="Arial"/>
                <w:b/>
                <w:bCs/>
                <w:sz w:val="16"/>
                <w:szCs w:val="16"/>
              </w:rPr>
              <w:t>2020-21</w:t>
            </w:r>
          </w:p>
        </w:tc>
        <w:tc>
          <w:tcPr>
            <w:tcW w:w="1249" w:type="pct"/>
            <w:shd w:val="clear" w:color="auto" w:fill="DFEBF1" w:themeFill="text2" w:themeFillTint="1A"/>
          </w:tcPr>
          <w:p w14:paraId="4CCBA584" w14:textId="6D4E026E" w:rsidR="005800CE" w:rsidRPr="009E2B1C" w:rsidRDefault="005800CE" w:rsidP="00420A16">
            <w:pPr>
              <w:keepNext/>
              <w:spacing w:before="120" w:after="120"/>
              <w:jc w:val="right"/>
              <w:rPr>
                <w:rFonts w:cs="Arial"/>
                <w:b/>
                <w:bCs/>
                <w:sz w:val="16"/>
                <w:szCs w:val="16"/>
              </w:rPr>
            </w:pPr>
            <w:r>
              <w:rPr>
                <w:rFonts w:cs="Arial"/>
                <w:b/>
                <w:bCs/>
                <w:sz w:val="16"/>
                <w:szCs w:val="16"/>
              </w:rPr>
              <w:t>2023-24 (estimate)</w:t>
            </w:r>
          </w:p>
        </w:tc>
      </w:tr>
      <w:tr w:rsidR="00ED71FE" w:rsidRPr="009578A0" w14:paraId="1B17C5B3" w14:textId="03EDFCDF" w:rsidTr="00B6358E">
        <w:trPr>
          <w:cnfStyle w:val="000000010000" w:firstRow="0" w:lastRow="0" w:firstColumn="0" w:lastColumn="0" w:oddVBand="0" w:evenVBand="0" w:oddHBand="0" w:evenHBand="1" w:firstRowFirstColumn="0" w:firstRowLastColumn="0" w:lastRowFirstColumn="0" w:lastRowLastColumn="0"/>
          <w:trHeight w:val="20"/>
        </w:trPr>
        <w:tc>
          <w:tcPr>
            <w:tcW w:w="1250" w:type="pct"/>
            <w:tcBorders>
              <w:right w:val="single" w:sz="4" w:space="0" w:color="FFFFFF" w:themeColor="background2"/>
            </w:tcBorders>
          </w:tcPr>
          <w:p w14:paraId="71CCE8BF" w14:textId="0725D924"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Basic daily fees</w:t>
            </w:r>
          </w:p>
        </w:tc>
        <w:tc>
          <w:tcPr>
            <w:tcW w:w="1252" w:type="pct"/>
            <w:tcBorders>
              <w:left w:val="single" w:sz="4" w:space="0" w:color="FFFFFF" w:themeColor="background2"/>
            </w:tcBorders>
            <w:shd w:val="clear" w:color="auto" w:fill="F2F2F2" w:themeFill="accent6" w:themeFillShade="F2"/>
          </w:tcPr>
          <w:p w14:paraId="5D09E62A" w14:textId="012EAF71" w:rsidR="00ED71FE" w:rsidRPr="009E2B1C" w:rsidRDefault="00ED71FE" w:rsidP="00ED71FE">
            <w:pPr>
              <w:keepNext/>
              <w:spacing w:before="120" w:after="120"/>
              <w:jc w:val="right"/>
              <w:rPr>
                <w:rFonts w:cs="Arial"/>
                <w:color w:val="1C1C1C"/>
                <w:sz w:val="16"/>
                <w:szCs w:val="16"/>
              </w:rPr>
            </w:pPr>
            <w:r w:rsidRPr="009E2B1C">
              <w:rPr>
                <w:rFonts w:cs="Arial"/>
                <w:color w:val="000000"/>
                <w:sz w:val="16"/>
                <w:szCs w:val="16"/>
                <w:lang w:val="en-AU"/>
              </w:rPr>
              <w:t>$3,369.4m</w:t>
            </w:r>
          </w:p>
        </w:tc>
        <w:tc>
          <w:tcPr>
            <w:tcW w:w="1249" w:type="pct"/>
            <w:tcBorders>
              <w:left w:val="single" w:sz="4" w:space="0" w:color="FFFFFF" w:themeColor="background2"/>
              <w:bottom w:val="single" w:sz="4" w:space="0" w:color="D9D9D9" w:themeColor="background2" w:themeShade="D9"/>
            </w:tcBorders>
            <w:shd w:val="clear" w:color="auto" w:fill="F2F2F2" w:themeFill="accent6" w:themeFillShade="F2"/>
          </w:tcPr>
          <w:p w14:paraId="5FCFBFFC" w14:textId="4637C0FC" w:rsidR="00ED71FE" w:rsidRPr="00CA3082" w:rsidRDefault="00ED71FE" w:rsidP="00ED71FE">
            <w:pPr>
              <w:keepNext/>
              <w:spacing w:before="120" w:after="120"/>
              <w:jc w:val="right"/>
              <w:rPr>
                <w:rFonts w:cs="Arial"/>
                <w:sz w:val="16"/>
                <w:szCs w:val="16"/>
              </w:rPr>
            </w:pPr>
            <w:r w:rsidRPr="00CA3082">
              <w:rPr>
                <w:rFonts w:cs="Arial"/>
                <w:color w:val="000000"/>
                <w:sz w:val="16"/>
                <w:szCs w:val="16"/>
                <w:lang w:val="en-AU"/>
              </w:rPr>
              <w:t>$52.67</w:t>
            </w:r>
          </w:p>
        </w:tc>
        <w:tc>
          <w:tcPr>
            <w:tcW w:w="1249" w:type="pct"/>
            <w:tcBorders>
              <w:bottom w:val="single" w:sz="4" w:space="0" w:color="D9D9D9" w:themeColor="background2" w:themeShade="D9"/>
            </w:tcBorders>
            <w:shd w:val="clear" w:color="auto" w:fill="F2F2F2" w:themeFill="accent6" w:themeFillShade="F2"/>
          </w:tcPr>
          <w:p w14:paraId="5C0AA4F1" w14:textId="595FA979" w:rsidR="00ED71FE" w:rsidRPr="00ED71FE" w:rsidRDefault="00ED71FE" w:rsidP="00ED71FE">
            <w:pPr>
              <w:keepNext/>
              <w:spacing w:before="120" w:after="120"/>
              <w:jc w:val="right"/>
              <w:rPr>
                <w:rFonts w:cs="Arial"/>
                <w:sz w:val="16"/>
                <w:szCs w:val="16"/>
              </w:rPr>
            </w:pPr>
            <w:r w:rsidRPr="00263B20">
              <w:rPr>
                <w:rFonts w:cs="Arial"/>
                <w:color w:val="000000"/>
                <w:sz w:val="16"/>
                <w:szCs w:val="16"/>
                <w:lang w:val="en-AU"/>
              </w:rPr>
              <w:t>$61.21</w:t>
            </w:r>
          </w:p>
        </w:tc>
      </w:tr>
      <w:tr w:rsidR="00ED71FE" w:rsidRPr="009578A0" w14:paraId="79006D94" w14:textId="77777777" w:rsidTr="00B6358E">
        <w:trPr>
          <w:cnfStyle w:val="000000100000" w:firstRow="0" w:lastRow="0" w:firstColumn="0" w:lastColumn="0" w:oddVBand="0" w:evenVBand="0" w:oddHBand="1" w:evenHBand="0" w:firstRowFirstColumn="0" w:firstRowLastColumn="0" w:lastRowFirstColumn="0" w:lastRowLastColumn="0"/>
          <w:trHeight w:val="20"/>
        </w:trPr>
        <w:tc>
          <w:tcPr>
            <w:tcW w:w="1250" w:type="pct"/>
            <w:tcBorders>
              <w:right w:val="single" w:sz="4" w:space="0" w:color="FFFFFF" w:themeColor="background2"/>
            </w:tcBorders>
          </w:tcPr>
          <w:p w14:paraId="4A0752FD" w14:textId="543A9B8C"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Extra services fees</w:t>
            </w:r>
          </w:p>
        </w:tc>
        <w:tc>
          <w:tcPr>
            <w:tcW w:w="1252" w:type="pct"/>
            <w:tcBorders>
              <w:left w:val="single" w:sz="4" w:space="0" w:color="FFFFFF" w:themeColor="background2"/>
            </w:tcBorders>
            <w:shd w:val="clear" w:color="auto" w:fill="F2F2F2" w:themeFill="accent6" w:themeFillShade="F2"/>
          </w:tcPr>
          <w:p w14:paraId="1607988B" w14:textId="770D3A52" w:rsidR="00ED71FE" w:rsidRPr="009E2B1C" w:rsidRDefault="00ED71FE" w:rsidP="00ED71FE">
            <w:pPr>
              <w:keepNext/>
              <w:spacing w:before="120" w:after="120"/>
              <w:jc w:val="right"/>
              <w:rPr>
                <w:rFonts w:cs="Arial"/>
                <w:color w:val="1C1C1C"/>
                <w:sz w:val="16"/>
                <w:szCs w:val="16"/>
              </w:rPr>
            </w:pPr>
            <w:r w:rsidRPr="009E2B1C">
              <w:rPr>
                <w:rFonts w:cs="Arial"/>
                <w:color w:val="000000"/>
                <w:sz w:val="16"/>
                <w:szCs w:val="16"/>
                <w:lang w:val="en-AU"/>
              </w:rPr>
              <w:t>$120.4m</w:t>
            </w:r>
          </w:p>
        </w:tc>
        <w:tc>
          <w:tcPr>
            <w:tcW w:w="1249" w:type="pct"/>
            <w:tcBorders>
              <w:left w:val="single" w:sz="4" w:space="0" w:color="FFFFFF" w:themeColor="background2"/>
            </w:tcBorders>
            <w:shd w:val="clear" w:color="auto" w:fill="F2F2F2" w:themeFill="accent6" w:themeFillShade="F2"/>
          </w:tcPr>
          <w:p w14:paraId="3C73BDCD" w14:textId="63F3645A" w:rsidR="00ED71FE" w:rsidRPr="00CA3082" w:rsidRDefault="00ED71FE" w:rsidP="00ED71FE">
            <w:pPr>
              <w:keepNext/>
              <w:spacing w:before="120" w:after="120"/>
              <w:jc w:val="right"/>
              <w:rPr>
                <w:rFonts w:cs="Arial"/>
                <w:sz w:val="16"/>
                <w:szCs w:val="16"/>
              </w:rPr>
            </w:pPr>
            <w:r w:rsidRPr="00CA3082">
              <w:rPr>
                <w:rFonts w:cs="Arial"/>
                <w:color w:val="000000"/>
                <w:sz w:val="16"/>
                <w:szCs w:val="16"/>
                <w:lang w:val="en-AU"/>
              </w:rPr>
              <w:t>$1.88</w:t>
            </w:r>
          </w:p>
        </w:tc>
        <w:tc>
          <w:tcPr>
            <w:tcW w:w="1249" w:type="pct"/>
            <w:shd w:val="clear" w:color="auto" w:fill="F2F2F2" w:themeFill="accent6" w:themeFillShade="F2"/>
          </w:tcPr>
          <w:p w14:paraId="5B3E1D8C" w14:textId="45F55CE6" w:rsidR="00ED71FE" w:rsidRPr="00ED71FE" w:rsidRDefault="00ED71FE" w:rsidP="00ED71FE">
            <w:pPr>
              <w:keepNext/>
              <w:spacing w:before="120" w:after="120"/>
              <w:jc w:val="right"/>
              <w:rPr>
                <w:rFonts w:cs="Arial"/>
                <w:sz w:val="16"/>
                <w:szCs w:val="16"/>
              </w:rPr>
            </w:pPr>
            <w:r w:rsidRPr="00263B20">
              <w:rPr>
                <w:rFonts w:cs="Arial"/>
                <w:color w:val="000000"/>
                <w:sz w:val="16"/>
                <w:szCs w:val="16"/>
                <w:lang w:val="en-AU"/>
              </w:rPr>
              <w:t>$2.19</w:t>
            </w:r>
          </w:p>
        </w:tc>
      </w:tr>
      <w:tr w:rsidR="00ED71FE" w:rsidRPr="009578A0" w14:paraId="455B91C0" w14:textId="77777777" w:rsidTr="00B6358E">
        <w:trPr>
          <w:cnfStyle w:val="000000010000" w:firstRow="0" w:lastRow="0" w:firstColumn="0" w:lastColumn="0" w:oddVBand="0" w:evenVBand="0" w:oddHBand="0" w:evenHBand="1" w:firstRowFirstColumn="0" w:firstRowLastColumn="0" w:lastRowFirstColumn="0" w:lastRowLastColumn="0"/>
          <w:trHeight w:val="20"/>
        </w:trPr>
        <w:tc>
          <w:tcPr>
            <w:tcW w:w="1250" w:type="pct"/>
            <w:tcBorders>
              <w:right w:val="single" w:sz="4" w:space="0" w:color="FFFFFF" w:themeColor="background2"/>
            </w:tcBorders>
          </w:tcPr>
          <w:p w14:paraId="61617DE6" w14:textId="5A8F0AAA"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Additional services fees</w:t>
            </w:r>
          </w:p>
        </w:tc>
        <w:tc>
          <w:tcPr>
            <w:tcW w:w="1252" w:type="pct"/>
            <w:tcBorders>
              <w:left w:val="single" w:sz="4" w:space="0" w:color="FFFFFF" w:themeColor="background2"/>
            </w:tcBorders>
            <w:shd w:val="clear" w:color="auto" w:fill="F2F2F2" w:themeFill="accent6" w:themeFillShade="F2"/>
          </w:tcPr>
          <w:p w14:paraId="7427D896" w14:textId="51834570" w:rsidR="00ED71FE" w:rsidRPr="009E2B1C" w:rsidRDefault="00ED71FE" w:rsidP="00ED71FE">
            <w:pPr>
              <w:keepNext/>
              <w:spacing w:before="120" w:after="120"/>
              <w:jc w:val="right"/>
              <w:rPr>
                <w:rFonts w:cs="Arial"/>
                <w:color w:val="1C1C1C"/>
                <w:sz w:val="16"/>
                <w:szCs w:val="16"/>
              </w:rPr>
            </w:pPr>
            <w:r w:rsidRPr="009E2B1C">
              <w:rPr>
                <w:rFonts w:cs="Arial"/>
                <w:color w:val="000000"/>
                <w:sz w:val="16"/>
                <w:szCs w:val="16"/>
                <w:lang w:val="en-AU"/>
              </w:rPr>
              <w:t>$127.5m</w:t>
            </w:r>
          </w:p>
        </w:tc>
        <w:tc>
          <w:tcPr>
            <w:tcW w:w="1249" w:type="pct"/>
            <w:tcBorders>
              <w:left w:val="single" w:sz="4" w:space="0" w:color="FFFFFF" w:themeColor="background2"/>
              <w:bottom w:val="single" w:sz="4" w:space="0" w:color="D9D9D9" w:themeColor="background2" w:themeShade="D9"/>
            </w:tcBorders>
            <w:shd w:val="clear" w:color="auto" w:fill="F2F2F2" w:themeFill="accent6" w:themeFillShade="F2"/>
          </w:tcPr>
          <w:p w14:paraId="37ACF23F" w14:textId="0B5DC49D" w:rsidR="00ED71FE" w:rsidRPr="00CA3082" w:rsidRDefault="00ED71FE" w:rsidP="00ED71FE">
            <w:pPr>
              <w:keepNext/>
              <w:spacing w:before="120" w:after="120"/>
              <w:jc w:val="right"/>
              <w:rPr>
                <w:rFonts w:cs="Arial"/>
                <w:sz w:val="16"/>
                <w:szCs w:val="16"/>
              </w:rPr>
            </w:pPr>
            <w:r w:rsidRPr="00CA3082">
              <w:rPr>
                <w:rFonts w:cs="Arial"/>
                <w:color w:val="000000"/>
                <w:sz w:val="16"/>
                <w:szCs w:val="16"/>
                <w:lang w:val="en-AU"/>
              </w:rPr>
              <w:t>$1.99</w:t>
            </w:r>
          </w:p>
        </w:tc>
        <w:tc>
          <w:tcPr>
            <w:tcW w:w="1249" w:type="pct"/>
            <w:tcBorders>
              <w:bottom w:val="single" w:sz="4" w:space="0" w:color="D9D9D9" w:themeColor="background2" w:themeShade="D9"/>
            </w:tcBorders>
            <w:shd w:val="clear" w:color="auto" w:fill="F2F2F2" w:themeFill="accent6" w:themeFillShade="F2"/>
          </w:tcPr>
          <w:p w14:paraId="32F6E929" w14:textId="70F9CA81" w:rsidR="00ED71FE" w:rsidRPr="00ED71FE" w:rsidRDefault="00ED71FE" w:rsidP="00ED71FE">
            <w:pPr>
              <w:keepNext/>
              <w:spacing w:before="120" w:after="120"/>
              <w:jc w:val="right"/>
              <w:rPr>
                <w:rFonts w:cs="Arial"/>
                <w:sz w:val="16"/>
                <w:szCs w:val="16"/>
              </w:rPr>
            </w:pPr>
            <w:r w:rsidRPr="00263B20">
              <w:rPr>
                <w:rFonts w:cs="Arial"/>
                <w:color w:val="000000"/>
                <w:sz w:val="16"/>
                <w:szCs w:val="16"/>
                <w:lang w:val="en-AU"/>
              </w:rPr>
              <w:t>$2.32</w:t>
            </w:r>
          </w:p>
        </w:tc>
      </w:tr>
      <w:tr w:rsidR="00ED71FE" w:rsidRPr="009578A0" w14:paraId="7D0A5091" w14:textId="77777777" w:rsidTr="00B6358E">
        <w:trPr>
          <w:cnfStyle w:val="000000100000" w:firstRow="0" w:lastRow="0" w:firstColumn="0" w:lastColumn="0" w:oddVBand="0" w:evenVBand="0" w:oddHBand="1" w:evenHBand="0" w:firstRowFirstColumn="0" w:firstRowLastColumn="0" w:lastRowFirstColumn="0" w:lastRowLastColumn="0"/>
          <w:trHeight w:val="20"/>
        </w:trPr>
        <w:tc>
          <w:tcPr>
            <w:tcW w:w="1250" w:type="pct"/>
            <w:tcBorders>
              <w:right w:val="single" w:sz="4" w:space="0" w:color="FFFFFF" w:themeColor="background2"/>
            </w:tcBorders>
          </w:tcPr>
          <w:p w14:paraId="6B737066" w14:textId="31A581D3"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Other hotel revenue</w:t>
            </w:r>
          </w:p>
        </w:tc>
        <w:tc>
          <w:tcPr>
            <w:tcW w:w="1252" w:type="pct"/>
            <w:tcBorders>
              <w:left w:val="single" w:sz="4" w:space="0" w:color="FFFFFF" w:themeColor="background2"/>
            </w:tcBorders>
            <w:shd w:val="clear" w:color="auto" w:fill="F2F2F2" w:themeFill="accent6" w:themeFillShade="F2"/>
          </w:tcPr>
          <w:p w14:paraId="46ABD67D" w14:textId="340BC36A" w:rsidR="00ED71FE" w:rsidRPr="009E2B1C" w:rsidRDefault="00ED71FE" w:rsidP="00ED71FE">
            <w:pPr>
              <w:keepNext/>
              <w:spacing w:before="120" w:after="120"/>
              <w:jc w:val="right"/>
              <w:rPr>
                <w:rFonts w:cs="Arial"/>
                <w:color w:val="1C1C1C"/>
                <w:sz w:val="16"/>
                <w:szCs w:val="16"/>
              </w:rPr>
            </w:pPr>
            <w:r w:rsidRPr="009E2B1C">
              <w:rPr>
                <w:rFonts w:cs="Arial"/>
                <w:color w:val="000000"/>
                <w:sz w:val="16"/>
                <w:szCs w:val="16"/>
                <w:lang w:val="en-AU"/>
              </w:rPr>
              <w:t>$21.0m</w:t>
            </w:r>
          </w:p>
        </w:tc>
        <w:tc>
          <w:tcPr>
            <w:tcW w:w="1249" w:type="pct"/>
            <w:tcBorders>
              <w:left w:val="single" w:sz="4" w:space="0" w:color="FFFFFF" w:themeColor="background2"/>
            </w:tcBorders>
            <w:shd w:val="clear" w:color="auto" w:fill="F2F2F2" w:themeFill="accent6" w:themeFillShade="F2"/>
          </w:tcPr>
          <w:p w14:paraId="495066BB" w14:textId="274C6E70" w:rsidR="00ED71FE" w:rsidRPr="00CA3082" w:rsidRDefault="00ED71FE" w:rsidP="00ED71FE">
            <w:pPr>
              <w:keepNext/>
              <w:spacing w:before="120" w:after="120"/>
              <w:jc w:val="right"/>
              <w:rPr>
                <w:rFonts w:cs="Arial"/>
                <w:sz w:val="16"/>
                <w:szCs w:val="16"/>
              </w:rPr>
            </w:pPr>
            <w:r w:rsidRPr="00CA3082">
              <w:rPr>
                <w:rFonts w:cs="Arial"/>
                <w:color w:val="000000"/>
                <w:sz w:val="16"/>
                <w:szCs w:val="16"/>
                <w:lang w:val="en-AU"/>
              </w:rPr>
              <w:t>$0.33</w:t>
            </w:r>
          </w:p>
        </w:tc>
        <w:tc>
          <w:tcPr>
            <w:tcW w:w="1249" w:type="pct"/>
            <w:shd w:val="clear" w:color="auto" w:fill="F2F2F2" w:themeFill="accent6" w:themeFillShade="F2"/>
          </w:tcPr>
          <w:p w14:paraId="0F9FB5B3" w14:textId="39DAA6BB" w:rsidR="00ED71FE" w:rsidRPr="00ED71FE" w:rsidRDefault="00ED71FE" w:rsidP="00ED71FE">
            <w:pPr>
              <w:keepNext/>
              <w:spacing w:before="120" w:after="120"/>
              <w:jc w:val="right"/>
              <w:rPr>
                <w:rFonts w:cs="Arial"/>
                <w:sz w:val="16"/>
                <w:szCs w:val="16"/>
              </w:rPr>
            </w:pPr>
            <w:r w:rsidRPr="00263B20">
              <w:rPr>
                <w:rFonts w:cs="Arial"/>
                <w:color w:val="000000"/>
                <w:sz w:val="16"/>
                <w:szCs w:val="16"/>
                <w:lang w:val="en-AU"/>
              </w:rPr>
              <w:t>$0.33</w:t>
            </w:r>
          </w:p>
        </w:tc>
      </w:tr>
      <w:tr w:rsidR="00ED71FE" w:rsidRPr="009578A0" w14:paraId="446E7C46" w14:textId="77777777" w:rsidTr="00B6358E">
        <w:trPr>
          <w:cnfStyle w:val="000000010000" w:firstRow="0" w:lastRow="0" w:firstColumn="0" w:lastColumn="0" w:oddVBand="0" w:evenVBand="0" w:oddHBand="0" w:evenHBand="1" w:firstRowFirstColumn="0" w:firstRowLastColumn="0" w:lastRowFirstColumn="0" w:lastRowLastColumn="0"/>
          <w:trHeight w:val="20"/>
        </w:trPr>
        <w:tc>
          <w:tcPr>
            <w:tcW w:w="1250" w:type="pct"/>
            <w:tcBorders>
              <w:right w:val="single" w:sz="4" w:space="0" w:color="FFFFFF" w:themeColor="background2"/>
            </w:tcBorders>
          </w:tcPr>
          <w:p w14:paraId="24E3018A" w14:textId="6C3E6E5D"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BDF Supplement</w:t>
            </w:r>
          </w:p>
        </w:tc>
        <w:tc>
          <w:tcPr>
            <w:tcW w:w="1252" w:type="pct"/>
            <w:tcBorders>
              <w:left w:val="single" w:sz="4" w:space="0" w:color="FFFFFF" w:themeColor="background2"/>
            </w:tcBorders>
            <w:shd w:val="clear" w:color="auto" w:fill="F2F2F2" w:themeFill="accent6" w:themeFillShade="F2"/>
          </w:tcPr>
          <w:p w14:paraId="33BED11E" w14:textId="3176746A" w:rsidR="00ED71FE" w:rsidRPr="009E2B1C" w:rsidRDefault="00ED71FE" w:rsidP="00ED71FE">
            <w:pPr>
              <w:keepNext/>
              <w:spacing w:before="120" w:after="120"/>
              <w:jc w:val="right"/>
              <w:rPr>
                <w:rFonts w:cs="Arial"/>
                <w:color w:val="1C1C1C"/>
                <w:sz w:val="16"/>
                <w:szCs w:val="16"/>
              </w:rPr>
            </w:pPr>
            <w:r w:rsidRPr="009E2B1C">
              <w:rPr>
                <w:rFonts w:cs="Arial"/>
                <w:color w:val="1C1C1C"/>
                <w:sz w:val="16"/>
                <w:szCs w:val="16"/>
              </w:rPr>
              <w:t>N/A</w:t>
            </w:r>
          </w:p>
        </w:tc>
        <w:tc>
          <w:tcPr>
            <w:tcW w:w="1249" w:type="pct"/>
            <w:tcBorders>
              <w:left w:val="single" w:sz="4" w:space="0" w:color="FFFFFF" w:themeColor="background2"/>
              <w:bottom w:val="single" w:sz="4" w:space="0" w:color="D9D9D9" w:themeColor="background2" w:themeShade="D9"/>
            </w:tcBorders>
            <w:shd w:val="clear" w:color="auto" w:fill="F2F2F2" w:themeFill="accent6" w:themeFillShade="F2"/>
          </w:tcPr>
          <w:p w14:paraId="3A693867" w14:textId="3102688B" w:rsidR="00ED71FE" w:rsidRPr="00CA3082" w:rsidRDefault="00ED71FE" w:rsidP="00ED71FE">
            <w:pPr>
              <w:keepNext/>
              <w:spacing w:before="120" w:after="120"/>
              <w:jc w:val="right"/>
              <w:rPr>
                <w:rFonts w:cs="Arial"/>
                <w:sz w:val="16"/>
                <w:szCs w:val="16"/>
              </w:rPr>
            </w:pPr>
            <w:r w:rsidRPr="00CA3082">
              <w:rPr>
                <w:rFonts w:cs="Arial"/>
                <w:color w:val="1C1C1C"/>
                <w:sz w:val="16"/>
                <w:szCs w:val="16"/>
              </w:rPr>
              <w:t>N/A</w:t>
            </w:r>
          </w:p>
        </w:tc>
        <w:tc>
          <w:tcPr>
            <w:tcW w:w="1249" w:type="pct"/>
            <w:tcBorders>
              <w:bottom w:val="single" w:sz="4" w:space="0" w:color="D9D9D9" w:themeColor="background2" w:themeShade="D9"/>
            </w:tcBorders>
            <w:shd w:val="clear" w:color="auto" w:fill="F2F2F2" w:themeFill="accent6" w:themeFillShade="F2"/>
          </w:tcPr>
          <w:p w14:paraId="770636BA" w14:textId="143B351E" w:rsidR="00ED71FE" w:rsidRPr="00ED71FE" w:rsidRDefault="00ED71FE" w:rsidP="00ED71FE">
            <w:pPr>
              <w:keepNext/>
              <w:spacing w:before="120" w:after="120"/>
              <w:jc w:val="right"/>
              <w:rPr>
                <w:rFonts w:cs="Arial"/>
                <w:sz w:val="16"/>
                <w:szCs w:val="16"/>
              </w:rPr>
            </w:pPr>
            <w:r w:rsidRPr="00263B20">
              <w:rPr>
                <w:rFonts w:cs="Arial"/>
                <w:color w:val="000000"/>
                <w:sz w:val="16"/>
                <w:szCs w:val="16"/>
                <w:lang w:val="en-AU"/>
              </w:rPr>
              <w:t>$10.00</w:t>
            </w:r>
          </w:p>
        </w:tc>
      </w:tr>
      <w:tr w:rsidR="00B6358E" w:rsidRPr="009578A0" w14:paraId="48B9F295" w14:textId="4264C05A" w:rsidTr="00B6358E">
        <w:trPr>
          <w:cnfStyle w:val="000000100000" w:firstRow="0" w:lastRow="0" w:firstColumn="0" w:lastColumn="0" w:oddVBand="0" w:evenVBand="0" w:oddHBand="1" w:evenHBand="0" w:firstRowFirstColumn="0" w:firstRowLastColumn="0" w:lastRowFirstColumn="0" w:lastRowLastColumn="0"/>
          <w:trHeight w:val="20"/>
        </w:trPr>
        <w:tc>
          <w:tcPr>
            <w:tcW w:w="1250" w:type="pct"/>
            <w:tcBorders>
              <w:right w:val="single" w:sz="4" w:space="0" w:color="FFFFFF" w:themeColor="background2"/>
            </w:tcBorders>
            <w:shd w:val="clear" w:color="auto" w:fill="DFEBF1" w:themeFill="text2" w:themeFillTint="1A"/>
            <w:vAlign w:val="center"/>
          </w:tcPr>
          <w:p w14:paraId="1B2F34A7" w14:textId="77777777" w:rsidR="005800CE" w:rsidRPr="009E2B1C" w:rsidRDefault="005800CE" w:rsidP="00CA3082">
            <w:pPr>
              <w:keepNext/>
              <w:spacing w:before="120" w:after="120"/>
              <w:rPr>
                <w:rFonts w:cs="Arial"/>
                <w:b/>
                <w:bCs/>
                <w:color w:val="000000"/>
                <w:sz w:val="16"/>
                <w:szCs w:val="16"/>
                <w:lang w:val="en-US"/>
              </w:rPr>
            </w:pPr>
            <w:r w:rsidRPr="009E2B1C">
              <w:rPr>
                <w:rFonts w:cs="Arial"/>
                <w:b/>
                <w:bCs/>
                <w:color w:val="000000"/>
                <w:sz w:val="16"/>
                <w:szCs w:val="16"/>
                <w:lang w:val="en-US"/>
              </w:rPr>
              <w:t>Total*</w:t>
            </w:r>
          </w:p>
        </w:tc>
        <w:tc>
          <w:tcPr>
            <w:tcW w:w="1252" w:type="pct"/>
            <w:tcBorders>
              <w:left w:val="single" w:sz="4" w:space="0" w:color="FFFFFF" w:themeColor="background2"/>
            </w:tcBorders>
            <w:shd w:val="clear" w:color="auto" w:fill="DFEBF1" w:themeFill="text2" w:themeFillTint="1A"/>
          </w:tcPr>
          <w:p w14:paraId="7D03B8E4" w14:textId="1456BCBA" w:rsidR="005800CE" w:rsidRPr="009E2B1C" w:rsidRDefault="005800CE" w:rsidP="00CA3082">
            <w:pPr>
              <w:keepNext/>
              <w:spacing w:before="120" w:after="120"/>
              <w:jc w:val="right"/>
              <w:rPr>
                <w:rFonts w:cs="Arial"/>
                <w:b/>
                <w:bCs/>
                <w:color w:val="1C1C1C"/>
                <w:sz w:val="16"/>
                <w:szCs w:val="16"/>
              </w:rPr>
            </w:pPr>
            <w:r w:rsidRPr="009E2B1C">
              <w:rPr>
                <w:rFonts w:cs="Arial"/>
                <w:b/>
                <w:bCs/>
                <w:color w:val="000000"/>
                <w:sz w:val="16"/>
                <w:szCs w:val="16"/>
                <w:lang w:val="en-AU"/>
              </w:rPr>
              <w:t>$3,638.4m</w:t>
            </w:r>
          </w:p>
        </w:tc>
        <w:tc>
          <w:tcPr>
            <w:tcW w:w="1249" w:type="pct"/>
            <w:tcBorders>
              <w:left w:val="single" w:sz="4" w:space="0" w:color="FFFFFF" w:themeColor="background2"/>
            </w:tcBorders>
            <w:shd w:val="clear" w:color="auto" w:fill="DFEBF1" w:themeFill="text2" w:themeFillTint="1A"/>
          </w:tcPr>
          <w:p w14:paraId="12D8F4F2" w14:textId="4CFE5F22" w:rsidR="005800CE" w:rsidRPr="00CA3082" w:rsidRDefault="005800CE" w:rsidP="00CA3082">
            <w:pPr>
              <w:keepNext/>
              <w:spacing w:before="120" w:after="120"/>
              <w:jc w:val="right"/>
              <w:rPr>
                <w:rFonts w:cs="Arial"/>
                <w:b/>
                <w:sz w:val="16"/>
                <w:szCs w:val="16"/>
              </w:rPr>
            </w:pPr>
            <w:r w:rsidRPr="00CA3082">
              <w:rPr>
                <w:rFonts w:cs="Arial"/>
                <w:b/>
                <w:color w:val="000000"/>
                <w:sz w:val="16"/>
                <w:szCs w:val="16"/>
                <w:lang w:val="en-AU"/>
              </w:rPr>
              <w:t>$56.87</w:t>
            </w:r>
          </w:p>
        </w:tc>
        <w:tc>
          <w:tcPr>
            <w:tcW w:w="1249" w:type="pct"/>
            <w:shd w:val="clear" w:color="auto" w:fill="DFEBF1" w:themeFill="text2" w:themeFillTint="1A"/>
          </w:tcPr>
          <w:p w14:paraId="2E340826" w14:textId="24C5349F" w:rsidR="005800CE" w:rsidRPr="00CA3082" w:rsidRDefault="005800CE" w:rsidP="00CA3082">
            <w:pPr>
              <w:keepNext/>
              <w:spacing w:before="120" w:after="120"/>
              <w:jc w:val="right"/>
              <w:rPr>
                <w:rFonts w:cs="Arial"/>
                <w:b/>
                <w:sz w:val="16"/>
                <w:szCs w:val="16"/>
              </w:rPr>
            </w:pPr>
            <w:r w:rsidRPr="00555526">
              <w:rPr>
                <w:rFonts w:cs="Arial"/>
                <w:b/>
                <w:bCs/>
                <w:color w:val="000000"/>
                <w:sz w:val="16"/>
                <w:szCs w:val="16"/>
                <w:lang w:val="en-AU"/>
              </w:rPr>
              <w:t>$7</w:t>
            </w:r>
            <w:r w:rsidR="00ED71FE">
              <w:rPr>
                <w:rFonts w:cs="Arial"/>
                <w:b/>
                <w:bCs/>
                <w:color w:val="000000"/>
                <w:sz w:val="16"/>
                <w:szCs w:val="16"/>
                <w:lang w:val="en-AU"/>
              </w:rPr>
              <w:t>6</w:t>
            </w:r>
            <w:r w:rsidRPr="00555526">
              <w:rPr>
                <w:rFonts w:cs="Arial"/>
                <w:b/>
                <w:bCs/>
                <w:color w:val="000000"/>
                <w:sz w:val="16"/>
                <w:szCs w:val="16"/>
                <w:lang w:val="en-AU"/>
              </w:rPr>
              <w:t>.</w:t>
            </w:r>
            <w:r w:rsidR="00ED71FE">
              <w:rPr>
                <w:rFonts w:cs="Arial"/>
                <w:b/>
                <w:bCs/>
                <w:color w:val="000000"/>
                <w:sz w:val="16"/>
                <w:szCs w:val="16"/>
                <w:lang w:val="en-AU"/>
              </w:rPr>
              <w:t>10</w:t>
            </w:r>
          </w:p>
        </w:tc>
      </w:tr>
    </w:tbl>
    <w:p w14:paraId="5DEC4CCE" w14:textId="77777777" w:rsidR="004165DE" w:rsidRPr="00BB5A75" w:rsidRDefault="004165DE" w:rsidP="004165DE">
      <w:pPr>
        <w:rPr>
          <w:sz w:val="18"/>
          <w:szCs w:val="18"/>
        </w:rPr>
      </w:pPr>
      <w:r w:rsidRPr="00BB5A75">
        <w:rPr>
          <w:sz w:val="18"/>
          <w:szCs w:val="18"/>
        </w:rPr>
        <w:t>*Components may not add to total due to rounding</w:t>
      </w:r>
    </w:p>
    <w:p w14:paraId="10B0507F" w14:textId="16D572DB" w:rsidR="00AD4E5D" w:rsidRDefault="00AD4E5D">
      <w:pPr>
        <w:spacing w:line="259" w:lineRule="auto"/>
      </w:pPr>
      <w:r>
        <w:t xml:space="preserve">Comparing </w:t>
      </w:r>
      <w:r>
        <w:fldChar w:fldCharType="begin"/>
      </w:r>
      <w:r>
        <w:instrText xml:space="preserve"> REF _Ref120710056 \h </w:instrText>
      </w:r>
      <w:r>
        <w:fldChar w:fldCharType="separate"/>
      </w:r>
      <w:r w:rsidR="00B1072E">
        <w:t>Table </w:t>
      </w:r>
      <w:r w:rsidR="00B1072E">
        <w:rPr>
          <w:noProof/>
        </w:rPr>
        <w:t>14</w:t>
      </w:r>
      <w:r>
        <w:fldChar w:fldCharType="end"/>
      </w:r>
      <w:r>
        <w:t xml:space="preserve"> and </w:t>
      </w:r>
      <w:r>
        <w:fldChar w:fldCharType="begin"/>
      </w:r>
      <w:r>
        <w:instrText xml:space="preserve"> REF _Ref120712708 \h </w:instrText>
      </w:r>
      <w:r>
        <w:fldChar w:fldCharType="separate"/>
      </w:r>
      <w:r w:rsidR="00B1072E">
        <w:t>Table </w:t>
      </w:r>
      <w:r w:rsidR="00B1072E">
        <w:rPr>
          <w:noProof/>
        </w:rPr>
        <w:t>15</w:t>
      </w:r>
      <w:r>
        <w:fldChar w:fldCharType="end"/>
      </w:r>
      <w:r>
        <w:t xml:space="preserve"> then shows that </w:t>
      </w:r>
      <w:r w:rsidR="006726B8">
        <w:t>in 2023-24, hotel costs are estimated to be $</w:t>
      </w:r>
      <w:r w:rsidR="00C014D6">
        <w:t>2</w:t>
      </w:r>
      <w:r w:rsidR="006726B8">
        <w:t>.</w:t>
      </w:r>
      <w:r w:rsidR="00E71B18">
        <w:t>89</w:t>
      </w:r>
      <w:r w:rsidR="006726B8">
        <w:t xml:space="preserve"> greater than hotel revenue per </w:t>
      </w:r>
      <w:r w:rsidR="006D37C5">
        <w:t>OBD</w:t>
      </w:r>
      <w:r w:rsidR="006726B8">
        <w:t xml:space="preserve">. </w:t>
      </w:r>
      <w:r w:rsidR="009B356E">
        <w:t xml:space="preserve">Note that this </w:t>
      </w:r>
      <w:r w:rsidR="006D37C5">
        <w:t>gap excludes maintenance costs, which are estimated at $10.</w:t>
      </w:r>
      <w:r w:rsidR="00226D76">
        <w:t>32</w:t>
      </w:r>
      <w:r w:rsidR="006D37C5">
        <w:t xml:space="preserve"> per OBD for 2023-24</w:t>
      </w:r>
      <w:r w:rsidR="006726B8">
        <w:t>.</w:t>
      </w:r>
    </w:p>
    <w:p w14:paraId="07587871" w14:textId="74E502FB" w:rsidR="00834A54" w:rsidRDefault="00834A54">
      <w:pPr>
        <w:spacing w:line="259" w:lineRule="auto"/>
      </w:pPr>
      <w:r>
        <w:br w:type="page"/>
      </w:r>
    </w:p>
    <w:p w14:paraId="2E21E32A" w14:textId="3094CC9F" w:rsidR="00C972CA" w:rsidRPr="00393F37" w:rsidRDefault="004C7CBD" w:rsidP="00982B5F">
      <w:pPr>
        <w:pStyle w:val="Appendix"/>
        <w:ind w:hanging="720"/>
      </w:pPr>
      <w:bookmarkStart w:id="72" w:name="_Toc120797015"/>
      <w:bookmarkStart w:id="73" w:name="_Ref128044581"/>
      <w:bookmarkStart w:id="74" w:name="_Toc134183614"/>
      <w:r w:rsidRPr="00393F37">
        <w:lastRenderedPageBreak/>
        <w:t>Index Numbers</w:t>
      </w:r>
      <w:bookmarkEnd w:id="72"/>
      <w:bookmarkEnd w:id="73"/>
      <w:bookmarkEnd w:id="74"/>
    </w:p>
    <w:p w14:paraId="33C3DBB2" w14:textId="6C61BA19" w:rsidR="00C63527" w:rsidRDefault="00273B40" w:rsidP="00FF1850">
      <w:pPr>
        <w:pStyle w:val="TableFigureheading"/>
      </w:pPr>
      <w:r>
        <w:t>Table </w:t>
      </w:r>
      <w:fldSimple w:instr=" SEQ Table \* ARABIC ">
        <w:r w:rsidR="00B1072E">
          <w:rPr>
            <w:noProof/>
          </w:rPr>
          <w:t>16</w:t>
        </w:r>
      </w:fldSimple>
      <w:r w:rsidR="00BF4B5D">
        <w:t xml:space="preserve">: </w:t>
      </w:r>
      <w:r w:rsidR="00191A3D">
        <w:t xml:space="preserve">Wage price </w:t>
      </w:r>
      <w:r w:rsidR="0016085C">
        <w:t>index</w:t>
      </w:r>
      <w:r w:rsidR="008262C3">
        <w:t xml:space="preserve"> numbers (</w:t>
      </w:r>
      <w:r w:rsidR="008262C3" w:rsidRPr="008262C3">
        <w:t>A2602929A</w:t>
      </w:r>
      <w:r w:rsidR="008262C3">
        <w:t>)</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250"/>
        <w:gridCol w:w="3249"/>
        <w:gridCol w:w="3247"/>
      </w:tblGrid>
      <w:tr w:rsidR="00FF1850" w:rsidRPr="004E67F4" w14:paraId="4CF47BE2" w14:textId="77777777" w:rsidTr="003B5161">
        <w:trPr>
          <w:cnfStyle w:val="100000000000" w:firstRow="1" w:lastRow="0" w:firstColumn="0" w:lastColumn="0" w:oddVBand="0" w:evenVBand="0" w:oddHBand="0"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7EF325FA" w14:textId="19BC4869" w:rsidR="00FF1850" w:rsidRPr="00FF1850" w:rsidRDefault="00FF1850" w:rsidP="003B5161">
            <w:pPr>
              <w:spacing w:before="120" w:after="120"/>
              <w:rPr>
                <w:b/>
                <w:bCs/>
                <w:color w:val="FFFFFF" w:themeColor="background2"/>
              </w:rPr>
            </w:pPr>
            <w:r w:rsidRPr="00FF1850">
              <w:rPr>
                <w:b/>
                <w:bCs/>
                <w:color w:val="FFFFFF" w:themeColor="background2"/>
              </w:rPr>
              <w:t>Quarter</w:t>
            </w:r>
          </w:p>
        </w:tc>
        <w:tc>
          <w:tcPr>
            <w:tcW w:w="1667"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5104D48A" w14:textId="67329C30" w:rsidR="00FF1850" w:rsidRPr="00FF1850" w:rsidRDefault="00FF1850" w:rsidP="003B5161">
            <w:pPr>
              <w:spacing w:before="120" w:after="120"/>
              <w:rPr>
                <w:b/>
                <w:bCs/>
                <w:color w:val="FFFFFF" w:themeColor="background2"/>
              </w:rPr>
            </w:pPr>
            <w:r w:rsidRPr="00FF1850">
              <w:rPr>
                <w:b/>
                <w:bCs/>
                <w:color w:val="FFFFFF" w:themeColor="background2"/>
              </w:rPr>
              <w:t>Source index numbers</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15272F" w:themeFill="text1"/>
            <w:vAlign w:val="center"/>
          </w:tcPr>
          <w:p w14:paraId="415AA18D" w14:textId="1B9ED88C" w:rsidR="00FF1850" w:rsidRPr="00FF1850" w:rsidRDefault="00FF1850" w:rsidP="003B5161">
            <w:pPr>
              <w:spacing w:before="120" w:after="120"/>
              <w:rPr>
                <w:b/>
                <w:bCs/>
                <w:color w:val="FFFFFF" w:themeColor="background2"/>
              </w:rPr>
            </w:pPr>
            <w:r w:rsidRPr="00FF1850">
              <w:rPr>
                <w:b/>
                <w:bCs/>
                <w:color w:val="FFFFFF" w:themeColor="background2"/>
              </w:rPr>
              <w:t>Re-referenced index numbers</w:t>
            </w:r>
          </w:p>
        </w:tc>
      </w:tr>
      <w:tr w:rsidR="008F7B99" w:rsidRPr="007720F6" w14:paraId="1A910DD0" w14:textId="77777777" w:rsidTr="004E72C9">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08B7F4E6" w14:textId="77777777" w:rsidR="007E1120" w:rsidRPr="008C4770" w:rsidRDefault="007E1120" w:rsidP="00205DC2">
            <w:pPr>
              <w:spacing w:before="120" w:after="120"/>
              <w:rPr>
                <w:rFonts w:cs="Arial"/>
                <w:b/>
                <w:bCs/>
                <w:sz w:val="16"/>
                <w:szCs w:val="16"/>
              </w:rPr>
            </w:pPr>
          </w:p>
        </w:tc>
        <w:tc>
          <w:tcPr>
            <w:tcW w:w="1667"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DFEBF1" w:themeFill="text2" w:themeFillTint="1A"/>
            <w:vAlign w:val="center"/>
          </w:tcPr>
          <w:p w14:paraId="143AC9CA" w14:textId="610A6916" w:rsidR="007E1120" w:rsidRPr="008C4770" w:rsidRDefault="007E1120" w:rsidP="008C4770">
            <w:pPr>
              <w:spacing w:before="120" w:after="120"/>
              <w:rPr>
                <w:rFonts w:cs="Arial"/>
                <w:b/>
                <w:bCs/>
                <w:sz w:val="16"/>
                <w:szCs w:val="16"/>
              </w:rPr>
            </w:pPr>
            <w:r w:rsidRPr="008C4770">
              <w:rPr>
                <w:rFonts w:cs="Arial"/>
                <w:b/>
                <w:bCs/>
                <w:sz w:val="16"/>
                <w:szCs w:val="16"/>
              </w:rPr>
              <w:t>A2602929A</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vAlign w:val="center"/>
          </w:tcPr>
          <w:p w14:paraId="2E5C00A2" w14:textId="676E6B59" w:rsidR="007E1120" w:rsidRPr="008C4770" w:rsidRDefault="007E1120" w:rsidP="008C4770">
            <w:pPr>
              <w:spacing w:before="120" w:after="120"/>
              <w:rPr>
                <w:rFonts w:cs="Arial"/>
                <w:b/>
                <w:bCs/>
                <w:sz w:val="16"/>
                <w:szCs w:val="16"/>
              </w:rPr>
            </w:pPr>
            <w:r w:rsidRPr="008C4770">
              <w:rPr>
                <w:rFonts w:cs="Arial"/>
                <w:b/>
                <w:bCs/>
                <w:sz w:val="16"/>
                <w:szCs w:val="16"/>
              </w:rPr>
              <w:t>A2602929A</w:t>
            </w:r>
          </w:p>
        </w:tc>
      </w:tr>
      <w:tr w:rsidR="004E72C9" w:rsidRPr="007720F6" w14:paraId="24797BEB"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4E65C985" w14:textId="6D4C7DED" w:rsidR="004E72C9" w:rsidRPr="008C4770" w:rsidRDefault="004E72C9" w:rsidP="004E72C9">
            <w:pPr>
              <w:spacing w:before="120" w:after="120"/>
              <w:rPr>
                <w:rFonts w:cs="Arial"/>
                <w:sz w:val="16"/>
                <w:szCs w:val="16"/>
              </w:rPr>
            </w:pPr>
            <w:r w:rsidRPr="008C4770">
              <w:rPr>
                <w:rFonts w:cs="Arial"/>
                <w:sz w:val="16"/>
                <w:szCs w:val="16"/>
              </w:rPr>
              <w:t>SEP2017</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31F0C73D" w14:textId="56932BA9" w:rsidR="004E72C9" w:rsidRPr="00555526" w:rsidRDefault="004E72C9" w:rsidP="004E72C9">
            <w:pPr>
              <w:spacing w:before="120" w:after="120"/>
              <w:jc w:val="right"/>
              <w:rPr>
                <w:rFonts w:cs="Arial"/>
                <w:sz w:val="16"/>
                <w:szCs w:val="20"/>
              </w:rPr>
            </w:pPr>
            <w:r w:rsidRPr="00555526">
              <w:rPr>
                <w:sz w:val="16"/>
                <w:szCs w:val="20"/>
              </w:rPr>
              <w:t>129.4</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7D18336B" w14:textId="66FECB1C" w:rsidR="004E72C9" w:rsidRPr="00555526" w:rsidRDefault="004E72C9" w:rsidP="004E72C9">
            <w:pPr>
              <w:spacing w:before="120" w:after="120"/>
              <w:jc w:val="right"/>
              <w:rPr>
                <w:rFonts w:cs="Arial"/>
                <w:sz w:val="16"/>
                <w:szCs w:val="20"/>
              </w:rPr>
            </w:pPr>
            <w:r w:rsidRPr="00555526">
              <w:rPr>
                <w:sz w:val="16"/>
                <w:szCs w:val="20"/>
              </w:rPr>
              <w:t>86.8</w:t>
            </w:r>
          </w:p>
        </w:tc>
      </w:tr>
      <w:tr w:rsidR="004E72C9" w:rsidRPr="007720F6" w14:paraId="08E0A402"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5F9D6A8E" w14:textId="41005FF4" w:rsidR="004E72C9" w:rsidRPr="008C4770" w:rsidRDefault="004E72C9" w:rsidP="004E72C9">
            <w:pPr>
              <w:spacing w:before="120" w:after="120"/>
              <w:rPr>
                <w:rFonts w:cs="Arial"/>
                <w:sz w:val="16"/>
                <w:szCs w:val="16"/>
              </w:rPr>
            </w:pPr>
            <w:r w:rsidRPr="008C4770">
              <w:rPr>
                <w:rFonts w:cs="Arial"/>
                <w:sz w:val="16"/>
                <w:szCs w:val="16"/>
              </w:rPr>
              <w:t>DEC2017</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350DAA05" w14:textId="1C989126" w:rsidR="004E72C9" w:rsidRPr="00555526" w:rsidRDefault="004E72C9" w:rsidP="004E72C9">
            <w:pPr>
              <w:spacing w:before="120" w:after="120"/>
              <w:jc w:val="right"/>
              <w:rPr>
                <w:rFonts w:cs="Arial"/>
                <w:sz w:val="16"/>
                <w:szCs w:val="20"/>
              </w:rPr>
            </w:pPr>
            <w:r w:rsidRPr="00555526">
              <w:rPr>
                <w:sz w:val="16"/>
                <w:szCs w:val="20"/>
              </w:rPr>
              <w:t>129.8</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8406146" w14:textId="24052CF5" w:rsidR="004E72C9" w:rsidRPr="00555526" w:rsidRDefault="004E72C9" w:rsidP="004E72C9">
            <w:pPr>
              <w:spacing w:before="120" w:after="120"/>
              <w:jc w:val="right"/>
              <w:rPr>
                <w:rFonts w:cs="Arial"/>
                <w:sz w:val="16"/>
                <w:szCs w:val="20"/>
              </w:rPr>
            </w:pPr>
            <w:r w:rsidRPr="00555526">
              <w:rPr>
                <w:sz w:val="16"/>
                <w:szCs w:val="20"/>
              </w:rPr>
              <w:t>87.1</w:t>
            </w:r>
          </w:p>
        </w:tc>
      </w:tr>
      <w:tr w:rsidR="004E72C9" w:rsidRPr="007720F6" w14:paraId="7AE30835"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548E6A99" w14:textId="7EFF53C6" w:rsidR="004E72C9" w:rsidRPr="003D2205" w:rsidRDefault="004E72C9" w:rsidP="004E72C9">
            <w:pPr>
              <w:spacing w:before="120" w:after="120"/>
              <w:rPr>
                <w:rFonts w:cs="Arial"/>
                <w:color w:val="1C1C1C"/>
                <w:sz w:val="16"/>
                <w:szCs w:val="16"/>
              </w:rPr>
            </w:pPr>
            <w:r w:rsidRPr="008C4770">
              <w:rPr>
                <w:rFonts w:cs="Arial"/>
                <w:sz w:val="16"/>
                <w:szCs w:val="16"/>
              </w:rPr>
              <w:t>MAR2018</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769C5B8D" w14:textId="778192B6" w:rsidR="004E72C9" w:rsidRPr="00D65414" w:rsidRDefault="004E72C9" w:rsidP="004E72C9">
            <w:pPr>
              <w:spacing w:before="120" w:after="120"/>
              <w:jc w:val="right"/>
              <w:rPr>
                <w:rFonts w:cs="Arial"/>
                <w:color w:val="1C1C1C"/>
                <w:sz w:val="16"/>
                <w:szCs w:val="20"/>
              </w:rPr>
            </w:pPr>
            <w:r w:rsidRPr="00555526">
              <w:rPr>
                <w:sz w:val="16"/>
                <w:szCs w:val="20"/>
              </w:rPr>
              <w:t>130.6</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771269B" w14:textId="40E6363F" w:rsidR="004E72C9" w:rsidRPr="00D65414" w:rsidRDefault="004E72C9" w:rsidP="004E72C9">
            <w:pPr>
              <w:spacing w:before="120" w:after="120"/>
              <w:jc w:val="right"/>
              <w:rPr>
                <w:rFonts w:cs="Arial"/>
                <w:color w:val="1C1C1C"/>
                <w:sz w:val="16"/>
                <w:szCs w:val="20"/>
              </w:rPr>
            </w:pPr>
            <w:r w:rsidRPr="00555526">
              <w:rPr>
                <w:sz w:val="16"/>
                <w:szCs w:val="20"/>
              </w:rPr>
              <w:t>87.7</w:t>
            </w:r>
          </w:p>
        </w:tc>
      </w:tr>
      <w:tr w:rsidR="004E72C9" w:rsidRPr="007720F6" w14:paraId="28074CD3"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72BEDBC7" w14:textId="585F7C8D" w:rsidR="004E72C9" w:rsidRPr="003D2205" w:rsidRDefault="004E72C9" w:rsidP="004E72C9">
            <w:pPr>
              <w:spacing w:before="120" w:after="120"/>
              <w:rPr>
                <w:rFonts w:cs="Arial"/>
                <w:color w:val="1C1C1C"/>
                <w:sz w:val="16"/>
                <w:szCs w:val="16"/>
              </w:rPr>
            </w:pPr>
            <w:r w:rsidRPr="008C4770">
              <w:rPr>
                <w:rFonts w:cs="Arial"/>
                <w:sz w:val="16"/>
                <w:szCs w:val="16"/>
              </w:rPr>
              <w:t>JUN2018</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1F024B52" w14:textId="5ABBD88A" w:rsidR="004E72C9" w:rsidRPr="00D65414" w:rsidRDefault="004E72C9" w:rsidP="004E72C9">
            <w:pPr>
              <w:spacing w:before="120" w:after="120"/>
              <w:jc w:val="right"/>
              <w:rPr>
                <w:rFonts w:cs="Arial"/>
                <w:color w:val="1C1C1C"/>
                <w:sz w:val="16"/>
                <w:szCs w:val="20"/>
              </w:rPr>
            </w:pPr>
            <w:r w:rsidRPr="00555526">
              <w:rPr>
                <w:sz w:val="16"/>
                <w:szCs w:val="20"/>
              </w:rPr>
              <w:t>131.0</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36103D2A" w14:textId="736F152C" w:rsidR="004E72C9" w:rsidRPr="00D65414" w:rsidRDefault="004E72C9" w:rsidP="004E72C9">
            <w:pPr>
              <w:spacing w:before="120" w:after="120"/>
              <w:jc w:val="right"/>
              <w:rPr>
                <w:rFonts w:cs="Arial"/>
                <w:color w:val="1C1C1C"/>
                <w:sz w:val="16"/>
                <w:szCs w:val="20"/>
              </w:rPr>
            </w:pPr>
            <w:r w:rsidRPr="00555526">
              <w:rPr>
                <w:sz w:val="16"/>
                <w:szCs w:val="20"/>
              </w:rPr>
              <w:t>87.9</w:t>
            </w:r>
          </w:p>
        </w:tc>
      </w:tr>
      <w:tr w:rsidR="004E72C9" w:rsidRPr="007720F6" w14:paraId="75A8D2D5"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3B1B08F4" w14:textId="260DE862" w:rsidR="004E72C9" w:rsidRPr="003D2205" w:rsidRDefault="004E72C9" w:rsidP="004E72C9">
            <w:pPr>
              <w:spacing w:before="120" w:after="120"/>
              <w:rPr>
                <w:rFonts w:cs="Arial"/>
                <w:color w:val="1C1C1C"/>
                <w:sz w:val="16"/>
                <w:szCs w:val="16"/>
              </w:rPr>
            </w:pPr>
            <w:r w:rsidRPr="008C4770">
              <w:rPr>
                <w:rFonts w:cs="Arial"/>
                <w:sz w:val="16"/>
                <w:szCs w:val="16"/>
              </w:rPr>
              <w:t>SEP2018</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17334B5D" w14:textId="078C4089" w:rsidR="004E72C9" w:rsidRPr="00D65414" w:rsidRDefault="004E72C9" w:rsidP="004E72C9">
            <w:pPr>
              <w:spacing w:before="120" w:after="120"/>
              <w:jc w:val="right"/>
              <w:rPr>
                <w:rFonts w:cs="Arial"/>
                <w:color w:val="1C1C1C"/>
                <w:sz w:val="16"/>
                <w:szCs w:val="20"/>
              </w:rPr>
            </w:pPr>
            <w:r w:rsidRPr="00555526">
              <w:rPr>
                <w:sz w:val="16"/>
                <w:szCs w:val="20"/>
              </w:rPr>
              <w:t>133.3</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25DEF6A5" w14:textId="2A946B83" w:rsidR="004E72C9" w:rsidRPr="00D65414" w:rsidRDefault="004E72C9" w:rsidP="004E72C9">
            <w:pPr>
              <w:spacing w:before="120" w:after="120"/>
              <w:jc w:val="right"/>
              <w:rPr>
                <w:rFonts w:cs="Arial"/>
                <w:color w:val="1C1C1C"/>
                <w:sz w:val="16"/>
                <w:szCs w:val="20"/>
              </w:rPr>
            </w:pPr>
            <w:r w:rsidRPr="00555526">
              <w:rPr>
                <w:sz w:val="16"/>
                <w:szCs w:val="20"/>
              </w:rPr>
              <w:t>89.5</w:t>
            </w:r>
          </w:p>
        </w:tc>
      </w:tr>
      <w:tr w:rsidR="004E72C9" w:rsidRPr="007720F6" w14:paraId="4254217A"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68AD2CBD" w14:textId="7F05BE4E" w:rsidR="004E72C9" w:rsidRPr="003D2205" w:rsidRDefault="004E72C9" w:rsidP="004E72C9">
            <w:pPr>
              <w:spacing w:before="120" w:after="120"/>
              <w:rPr>
                <w:rFonts w:cs="Arial"/>
                <w:color w:val="1C1C1C"/>
                <w:sz w:val="16"/>
                <w:szCs w:val="16"/>
              </w:rPr>
            </w:pPr>
            <w:r w:rsidRPr="008C4770">
              <w:rPr>
                <w:rFonts w:cs="Arial"/>
                <w:sz w:val="16"/>
                <w:szCs w:val="16"/>
              </w:rPr>
              <w:t>DEC2018</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569A3623" w14:textId="1AED4CB8" w:rsidR="004E72C9" w:rsidRPr="00D65414" w:rsidRDefault="004E72C9" w:rsidP="004E72C9">
            <w:pPr>
              <w:spacing w:before="120" w:after="120"/>
              <w:jc w:val="right"/>
              <w:rPr>
                <w:rFonts w:cs="Arial"/>
                <w:color w:val="1C1C1C"/>
                <w:sz w:val="16"/>
                <w:szCs w:val="20"/>
              </w:rPr>
            </w:pPr>
            <w:r w:rsidRPr="00555526">
              <w:rPr>
                <w:sz w:val="16"/>
                <w:szCs w:val="20"/>
              </w:rPr>
              <w:t>133.7</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751BB0A2" w14:textId="1CA4F74D" w:rsidR="004E72C9" w:rsidRPr="00D65414" w:rsidRDefault="004E72C9" w:rsidP="004E72C9">
            <w:pPr>
              <w:spacing w:before="120" w:after="120"/>
              <w:jc w:val="right"/>
              <w:rPr>
                <w:rFonts w:cs="Arial"/>
                <w:color w:val="1C1C1C"/>
                <w:sz w:val="16"/>
                <w:szCs w:val="20"/>
              </w:rPr>
            </w:pPr>
            <w:r w:rsidRPr="00555526">
              <w:rPr>
                <w:sz w:val="16"/>
                <w:szCs w:val="20"/>
              </w:rPr>
              <w:t>89.7</w:t>
            </w:r>
          </w:p>
        </w:tc>
      </w:tr>
      <w:tr w:rsidR="004E72C9" w:rsidRPr="007720F6" w14:paraId="7055E90F"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30950B14" w14:textId="023640F5" w:rsidR="004E72C9" w:rsidRPr="003D2205" w:rsidRDefault="004E72C9" w:rsidP="004E72C9">
            <w:pPr>
              <w:spacing w:before="120" w:after="120"/>
              <w:rPr>
                <w:rFonts w:cs="Arial"/>
                <w:color w:val="1C1C1C"/>
                <w:sz w:val="16"/>
                <w:szCs w:val="16"/>
              </w:rPr>
            </w:pPr>
            <w:r w:rsidRPr="008C4770">
              <w:rPr>
                <w:rFonts w:cs="Arial"/>
                <w:sz w:val="16"/>
                <w:szCs w:val="16"/>
              </w:rPr>
              <w:t>MAR2019</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0D6DC39" w14:textId="7FB0113F" w:rsidR="004E72C9" w:rsidRPr="00D65414" w:rsidRDefault="004E72C9" w:rsidP="004E72C9">
            <w:pPr>
              <w:spacing w:before="120" w:after="120"/>
              <w:jc w:val="right"/>
              <w:rPr>
                <w:rFonts w:cs="Arial"/>
                <w:color w:val="1C1C1C"/>
                <w:sz w:val="16"/>
                <w:szCs w:val="20"/>
              </w:rPr>
            </w:pPr>
            <w:r w:rsidRPr="00555526">
              <w:rPr>
                <w:sz w:val="16"/>
                <w:szCs w:val="20"/>
              </w:rPr>
              <w:t>134.9</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2DCB6E5E" w14:textId="20929AA5" w:rsidR="004E72C9" w:rsidRPr="00D65414" w:rsidRDefault="004E72C9" w:rsidP="004E72C9">
            <w:pPr>
              <w:spacing w:before="120" w:after="120"/>
              <w:jc w:val="right"/>
              <w:rPr>
                <w:rFonts w:cs="Arial"/>
                <w:color w:val="1C1C1C"/>
                <w:sz w:val="16"/>
                <w:szCs w:val="20"/>
              </w:rPr>
            </w:pPr>
            <w:r w:rsidRPr="00555526">
              <w:rPr>
                <w:sz w:val="16"/>
                <w:szCs w:val="20"/>
              </w:rPr>
              <w:t>90.5</w:t>
            </w:r>
          </w:p>
        </w:tc>
      </w:tr>
      <w:tr w:rsidR="004E72C9" w:rsidRPr="007720F6" w14:paraId="5A26C544"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2ADAC748" w14:textId="7FD2706E" w:rsidR="004E72C9" w:rsidRPr="003D2205" w:rsidRDefault="004E72C9" w:rsidP="004E72C9">
            <w:pPr>
              <w:spacing w:before="120" w:after="120"/>
              <w:rPr>
                <w:rFonts w:cs="Arial"/>
                <w:color w:val="1C1C1C"/>
                <w:sz w:val="16"/>
                <w:szCs w:val="16"/>
              </w:rPr>
            </w:pPr>
            <w:r w:rsidRPr="008C4770">
              <w:rPr>
                <w:rFonts w:cs="Arial"/>
                <w:sz w:val="16"/>
                <w:szCs w:val="16"/>
              </w:rPr>
              <w:t>JUN2019</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61BDF1D" w14:textId="3343700D" w:rsidR="004E72C9" w:rsidRPr="00D65414" w:rsidRDefault="004E72C9" w:rsidP="004E72C9">
            <w:pPr>
              <w:spacing w:before="120" w:after="120"/>
              <w:jc w:val="right"/>
              <w:rPr>
                <w:rFonts w:cs="Arial"/>
                <w:color w:val="1C1C1C"/>
                <w:sz w:val="16"/>
                <w:szCs w:val="20"/>
              </w:rPr>
            </w:pPr>
            <w:r w:rsidRPr="00555526">
              <w:rPr>
                <w:sz w:val="16"/>
                <w:szCs w:val="20"/>
              </w:rPr>
              <w:t>135.2</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164B19BA" w14:textId="3D2E80D5" w:rsidR="004E72C9" w:rsidRPr="00D65414" w:rsidRDefault="004E72C9" w:rsidP="004E72C9">
            <w:pPr>
              <w:spacing w:before="120" w:after="120"/>
              <w:jc w:val="right"/>
              <w:rPr>
                <w:rFonts w:cs="Arial"/>
                <w:color w:val="1C1C1C"/>
                <w:sz w:val="16"/>
                <w:szCs w:val="20"/>
              </w:rPr>
            </w:pPr>
            <w:r w:rsidRPr="00555526">
              <w:rPr>
                <w:sz w:val="16"/>
                <w:szCs w:val="20"/>
              </w:rPr>
              <w:t>90.7</w:t>
            </w:r>
          </w:p>
        </w:tc>
      </w:tr>
      <w:tr w:rsidR="004E72C9" w:rsidRPr="007720F6" w14:paraId="14915A3B"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1E4D1578" w14:textId="4608F822" w:rsidR="004E72C9" w:rsidRPr="003D2205" w:rsidRDefault="004E72C9" w:rsidP="004E72C9">
            <w:pPr>
              <w:spacing w:before="120" w:after="120"/>
              <w:rPr>
                <w:rFonts w:cs="Arial"/>
                <w:color w:val="1C1C1C"/>
                <w:sz w:val="16"/>
                <w:szCs w:val="16"/>
              </w:rPr>
            </w:pPr>
            <w:r w:rsidRPr="008C4770">
              <w:rPr>
                <w:rFonts w:cs="Arial"/>
                <w:sz w:val="16"/>
                <w:szCs w:val="16"/>
              </w:rPr>
              <w:t>SEP2019</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0E3D54B8" w14:textId="3C114A9D" w:rsidR="004E72C9" w:rsidRPr="00D65414" w:rsidRDefault="004E72C9" w:rsidP="004E72C9">
            <w:pPr>
              <w:spacing w:before="120" w:after="120"/>
              <w:jc w:val="right"/>
              <w:rPr>
                <w:rFonts w:cs="Arial"/>
                <w:color w:val="1C1C1C"/>
                <w:sz w:val="16"/>
                <w:szCs w:val="20"/>
              </w:rPr>
            </w:pPr>
            <w:r w:rsidRPr="00555526">
              <w:rPr>
                <w:sz w:val="16"/>
                <w:szCs w:val="20"/>
              </w:rPr>
              <w:t>137.5</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1E7CC31" w14:textId="7E683DB3" w:rsidR="004E72C9" w:rsidRPr="00D65414" w:rsidRDefault="004E72C9" w:rsidP="004E72C9">
            <w:pPr>
              <w:spacing w:before="120" w:after="120"/>
              <w:jc w:val="right"/>
              <w:rPr>
                <w:rFonts w:cs="Arial"/>
                <w:color w:val="1C1C1C"/>
                <w:sz w:val="16"/>
                <w:szCs w:val="20"/>
              </w:rPr>
            </w:pPr>
            <w:r w:rsidRPr="00555526">
              <w:rPr>
                <w:sz w:val="16"/>
                <w:szCs w:val="20"/>
              </w:rPr>
              <w:t>92.3</w:t>
            </w:r>
          </w:p>
        </w:tc>
      </w:tr>
      <w:tr w:rsidR="004E72C9" w:rsidRPr="007720F6" w14:paraId="5E8ACB82"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08A2C98B" w14:textId="44109C12" w:rsidR="004E72C9" w:rsidRPr="003D2205" w:rsidRDefault="004E72C9" w:rsidP="004E72C9">
            <w:pPr>
              <w:spacing w:before="120" w:after="120"/>
              <w:rPr>
                <w:rFonts w:cs="Arial"/>
                <w:color w:val="1C1C1C"/>
                <w:sz w:val="16"/>
                <w:szCs w:val="16"/>
              </w:rPr>
            </w:pPr>
            <w:r w:rsidRPr="008C4770">
              <w:rPr>
                <w:rFonts w:cs="Arial"/>
                <w:sz w:val="16"/>
                <w:szCs w:val="16"/>
              </w:rPr>
              <w:t>DEC2019</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81A9BF5" w14:textId="001405F9" w:rsidR="004E72C9" w:rsidRPr="00D65414" w:rsidRDefault="004E72C9" w:rsidP="004E72C9">
            <w:pPr>
              <w:spacing w:before="120" w:after="120"/>
              <w:jc w:val="right"/>
              <w:rPr>
                <w:rFonts w:cs="Arial"/>
                <w:color w:val="1C1C1C"/>
                <w:sz w:val="16"/>
                <w:szCs w:val="20"/>
              </w:rPr>
            </w:pPr>
            <w:r w:rsidRPr="00555526">
              <w:rPr>
                <w:sz w:val="16"/>
                <w:szCs w:val="20"/>
              </w:rPr>
              <w:t>138.0</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5FDDE443" w14:textId="1B35E45F" w:rsidR="004E72C9" w:rsidRPr="00D65414" w:rsidRDefault="004E72C9" w:rsidP="004E72C9">
            <w:pPr>
              <w:spacing w:before="120" w:after="120"/>
              <w:jc w:val="right"/>
              <w:rPr>
                <w:rFonts w:cs="Arial"/>
                <w:color w:val="1C1C1C"/>
                <w:sz w:val="16"/>
                <w:szCs w:val="20"/>
              </w:rPr>
            </w:pPr>
            <w:r w:rsidRPr="00555526">
              <w:rPr>
                <w:sz w:val="16"/>
                <w:szCs w:val="20"/>
              </w:rPr>
              <w:t>92.6</w:t>
            </w:r>
          </w:p>
        </w:tc>
      </w:tr>
      <w:tr w:rsidR="004E72C9" w:rsidRPr="007720F6" w14:paraId="40AB88B4"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53E68838" w14:textId="370FF193" w:rsidR="004E72C9" w:rsidRPr="003D2205" w:rsidRDefault="004E72C9" w:rsidP="004E72C9">
            <w:pPr>
              <w:spacing w:before="120" w:after="120"/>
              <w:rPr>
                <w:rFonts w:cs="Arial"/>
                <w:color w:val="1C1C1C"/>
                <w:sz w:val="16"/>
                <w:szCs w:val="16"/>
              </w:rPr>
            </w:pPr>
            <w:r w:rsidRPr="008C4770">
              <w:rPr>
                <w:rFonts w:cs="Arial"/>
                <w:sz w:val="16"/>
                <w:szCs w:val="16"/>
              </w:rPr>
              <w:t>MAR2020</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4E04B132" w14:textId="7D86CBDA" w:rsidR="004E72C9" w:rsidRPr="00D65414" w:rsidRDefault="004E72C9" w:rsidP="004E72C9">
            <w:pPr>
              <w:spacing w:before="120" w:after="120"/>
              <w:jc w:val="right"/>
              <w:rPr>
                <w:rFonts w:cs="Arial"/>
                <w:color w:val="1C1C1C"/>
                <w:sz w:val="16"/>
                <w:szCs w:val="20"/>
              </w:rPr>
            </w:pPr>
            <w:r w:rsidRPr="00555526">
              <w:rPr>
                <w:sz w:val="16"/>
                <w:szCs w:val="20"/>
              </w:rPr>
              <w:t>139.1</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250EB7BD" w14:textId="374772A4" w:rsidR="004E72C9" w:rsidRPr="00D65414" w:rsidRDefault="004E72C9" w:rsidP="004E72C9">
            <w:pPr>
              <w:spacing w:before="120" w:after="120"/>
              <w:jc w:val="right"/>
              <w:rPr>
                <w:rFonts w:cs="Arial"/>
                <w:color w:val="1C1C1C"/>
                <w:sz w:val="16"/>
                <w:szCs w:val="20"/>
              </w:rPr>
            </w:pPr>
            <w:r w:rsidRPr="00555526">
              <w:rPr>
                <w:sz w:val="16"/>
                <w:szCs w:val="20"/>
              </w:rPr>
              <w:t>93.4</w:t>
            </w:r>
          </w:p>
        </w:tc>
      </w:tr>
      <w:tr w:rsidR="004E72C9" w:rsidRPr="007720F6" w14:paraId="0B673E1B"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23EDE9A8" w14:textId="5A73E663" w:rsidR="004E72C9" w:rsidRPr="003D2205" w:rsidRDefault="004E72C9" w:rsidP="004E72C9">
            <w:pPr>
              <w:spacing w:before="120" w:after="120"/>
              <w:rPr>
                <w:rFonts w:cs="Arial"/>
                <w:color w:val="1C1C1C"/>
                <w:sz w:val="16"/>
                <w:szCs w:val="16"/>
              </w:rPr>
            </w:pPr>
            <w:r w:rsidRPr="008C4770">
              <w:rPr>
                <w:rFonts w:cs="Arial"/>
                <w:sz w:val="16"/>
                <w:szCs w:val="16"/>
              </w:rPr>
              <w:t>JUN2020</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792998AF" w14:textId="4B05CE93" w:rsidR="004E72C9" w:rsidRPr="00D65414" w:rsidRDefault="004E72C9" w:rsidP="004E72C9">
            <w:pPr>
              <w:spacing w:before="120" w:after="120"/>
              <w:jc w:val="right"/>
              <w:rPr>
                <w:rFonts w:cs="Arial"/>
                <w:color w:val="1C1C1C"/>
                <w:sz w:val="16"/>
                <w:szCs w:val="20"/>
              </w:rPr>
            </w:pPr>
            <w:r w:rsidRPr="00555526">
              <w:rPr>
                <w:sz w:val="16"/>
                <w:szCs w:val="20"/>
              </w:rPr>
              <w:t>139.1</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4BD37CCA" w14:textId="38D2C4CE" w:rsidR="004E72C9" w:rsidRPr="00D65414" w:rsidRDefault="004E72C9" w:rsidP="004E72C9">
            <w:pPr>
              <w:spacing w:before="120" w:after="120"/>
              <w:jc w:val="right"/>
              <w:rPr>
                <w:rFonts w:cs="Arial"/>
                <w:color w:val="1C1C1C"/>
                <w:sz w:val="16"/>
                <w:szCs w:val="20"/>
              </w:rPr>
            </w:pPr>
            <w:r w:rsidRPr="00555526">
              <w:rPr>
                <w:sz w:val="16"/>
                <w:szCs w:val="20"/>
              </w:rPr>
              <w:t>93.4</w:t>
            </w:r>
          </w:p>
        </w:tc>
      </w:tr>
      <w:tr w:rsidR="004E72C9" w:rsidRPr="007720F6" w14:paraId="6045AAAC"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49842611" w14:textId="201B458E" w:rsidR="004E72C9" w:rsidRPr="003D2205" w:rsidRDefault="004E72C9" w:rsidP="004E72C9">
            <w:pPr>
              <w:spacing w:before="120" w:after="120"/>
              <w:rPr>
                <w:rFonts w:cs="Arial"/>
                <w:color w:val="1C1C1C"/>
                <w:sz w:val="16"/>
                <w:szCs w:val="16"/>
              </w:rPr>
            </w:pPr>
            <w:r w:rsidRPr="008C4770">
              <w:rPr>
                <w:rFonts w:cs="Arial"/>
                <w:sz w:val="16"/>
                <w:szCs w:val="16"/>
              </w:rPr>
              <w:t>SEP2020</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DB53E94" w14:textId="08D4DFCA" w:rsidR="004E72C9" w:rsidRPr="00D65414" w:rsidRDefault="004E72C9" w:rsidP="004E72C9">
            <w:pPr>
              <w:spacing w:before="120" w:after="120"/>
              <w:jc w:val="right"/>
              <w:rPr>
                <w:rFonts w:cs="Arial"/>
                <w:color w:val="1C1C1C"/>
                <w:sz w:val="16"/>
                <w:szCs w:val="20"/>
              </w:rPr>
            </w:pPr>
            <w:r w:rsidRPr="00555526">
              <w:rPr>
                <w:sz w:val="16"/>
                <w:szCs w:val="20"/>
              </w:rPr>
              <w:t>140.6</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5D2E9CE3" w14:textId="699A10C3" w:rsidR="004E72C9" w:rsidRPr="00D65414" w:rsidRDefault="004E72C9" w:rsidP="004E72C9">
            <w:pPr>
              <w:spacing w:before="120" w:after="120"/>
              <w:jc w:val="right"/>
              <w:rPr>
                <w:rFonts w:cs="Arial"/>
                <w:color w:val="1C1C1C"/>
                <w:sz w:val="16"/>
                <w:szCs w:val="20"/>
              </w:rPr>
            </w:pPr>
            <w:r w:rsidRPr="00555526">
              <w:rPr>
                <w:sz w:val="16"/>
                <w:szCs w:val="20"/>
              </w:rPr>
              <w:t>94.4</w:t>
            </w:r>
          </w:p>
        </w:tc>
      </w:tr>
      <w:tr w:rsidR="004E72C9" w:rsidRPr="007720F6" w14:paraId="71E222C0"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5C7A5E43" w14:textId="66ED0C15" w:rsidR="004E72C9" w:rsidRPr="003D2205" w:rsidRDefault="004E72C9" w:rsidP="004E72C9">
            <w:pPr>
              <w:spacing w:before="120" w:after="120"/>
              <w:rPr>
                <w:rFonts w:cs="Arial"/>
                <w:color w:val="1C1C1C"/>
                <w:sz w:val="16"/>
                <w:szCs w:val="16"/>
              </w:rPr>
            </w:pPr>
            <w:r w:rsidRPr="008C4770">
              <w:rPr>
                <w:rFonts w:cs="Arial"/>
                <w:sz w:val="16"/>
                <w:szCs w:val="16"/>
              </w:rPr>
              <w:t>DEC2020</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5D7F04DC" w14:textId="5681F483" w:rsidR="004E72C9" w:rsidRPr="00D65414" w:rsidRDefault="004E72C9" w:rsidP="004E72C9">
            <w:pPr>
              <w:spacing w:before="120" w:after="120"/>
              <w:jc w:val="right"/>
              <w:rPr>
                <w:rFonts w:cs="Arial"/>
                <w:color w:val="1C1C1C"/>
                <w:sz w:val="16"/>
                <w:szCs w:val="20"/>
              </w:rPr>
            </w:pPr>
            <w:r w:rsidRPr="00555526">
              <w:rPr>
                <w:sz w:val="16"/>
                <w:szCs w:val="20"/>
              </w:rPr>
              <w:t>140.8</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CEA4190" w14:textId="528E201A" w:rsidR="004E72C9" w:rsidRPr="00D65414" w:rsidRDefault="004E72C9" w:rsidP="004E72C9">
            <w:pPr>
              <w:spacing w:before="120" w:after="120"/>
              <w:jc w:val="right"/>
              <w:rPr>
                <w:rFonts w:cs="Arial"/>
                <w:color w:val="1C1C1C"/>
                <w:sz w:val="16"/>
                <w:szCs w:val="20"/>
              </w:rPr>
            </w:pPr>
            <w:r w:rsidRPr="00555526">
              <w:rPr>
                <w:sz w:val="16"/>
                <w:szCs w:val="20"/>
              </w:rPr>
              <w:t>94.5</w:t>
            </w:r>
          </w:p>
        </w:tc>
      </w:tr>
      <w:tr w:rsidR="004E72C9" w:rsidRPr="007720F6" w14:paraId="7AF556B4"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63C70788" w14:textId="577F2242" w:rsidR="004E72C9" w:rsidRPr="003D2205" w:rsidRDefault="004E72C9" w:rsidP="004E72C9">
            <w:pPr>
              <w:spacing w:before="120" w:after="120"/>
              <w:rPr>
                <w:rFonts w:cs="Arial"/>
                <w:color w:val="1C1C1C"/>
                <w:sz w:val="16"/>
                <w:szCs w:val="16"/>
              </w:rPr>
            </w:pPr>
            <w:r w:rsidRPr="008C4770">
              <w:rPr>
                <w:rFonts w:cs="Arial"/>
                <w:sz w:val="16"/>
                <w:szCs w:val="16"/>
              </w:rPr>
              <w:t>MAR2021</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578D5C1" w14:textId="31726F78" w:rsidR="004E72C9" w:rsidRPr="00D65414" w:rsidRDefault="004E72C9" w:rsidP="004E72C9">
            <w:pPr>
              <w:spacing w:before="120" w:after="120"/>
              <w:jc w:val="right"/>
              <w:rPr>
                <w:rFonts w:cs="Arial"/>
                <w:color w:val="1C1C1C"/>
                <w:sz w:val="16"/>
                <w:szCs w:val="20"/>
              </w:rPr>
            </w:pPr>
            <w:r w:rsidRPr="00555526">
              <w:rPr>
                <w:sz w:val="16"/>
                <w:szCs w:val="20"/>
              </w:rPr>
              <w:t>142.0</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7AD35C9" w14:textId="0E2B2943" w:rsidR="004E72C9" w:rsidRPr="00D65414" w:rsidRDefault="004E72C9" w:rsidP="004E72C9">
            <w:pPr>
              <w:spacing w:before="120" w:after="120"/>
              <w:jc w:val="right"/>
              <w:rPr>
                <w:rFonts w:cs="Arial"/>
                <w:color w:val="1C1C1C"/>
                <w:sz w:val="16"/>
                <w:szCs w:val="20"/>
              </w:rPr>
            </w:pPr>
            <w:r w:rsidRPr="00555526">
              <w:rPr>
                <w:sz w:val="16"/>
                <w:szCs w:val="20"/>
              </w:rPr>
              <w:t>95.3</w:t>
            </w:r>
          </w:p>
        </w:tc>
      </w:tr>
      <w:tr w:rsidR="004E72C9" w:rsidRPr="007720F6" w14:paraId="5524E06D"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54B36D0F" w14:textId="5052BCB4" w:rsidR="004E72C9" w:rsidRPr="003D2205" w:rsidRDefault="004E72C9" w:rsidP="004E72C9">
            <w:pPr>
              <w:spacing w:before="120" w:after="120"/>
              <w:rPr>
                <w:rFonts w:cs="Arial"/>
                <w:color w:val="1C1C1C"/>
                <w:sz w:val="16"/>
                <w:szCs w:val="16"/>
              </w:rPr>
            </w:pPr>
            <w:r w:rsidRPr="008C4770">
              <w:rPr>
                <w:rFonts w:cs="Arial"/>
                <w:sz w:val="16"/>
                <w:szCs w:val="16"/>
              </w:rPr>
              <w:t>JUN2021</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026BC9F8" w14:textId="28DA9A93" w:rsidR="004E72C9" w:rsidRPr="00D65414" w:rsidRDefault="004E72C9" w:rsidP="004E72C9">
            <w:pPr>
              <w:spacing w:before="120" w:after="120"/>
              <w:jc w:val="right"/>
              <w:rPr>
                <w:rFonts w:cs="Arial"/>
                <w:color w:val="1C1C1C"/>
                <w:sz w:val="16"/>
                <w:szCs w:val="20"/>
              </w:rPr>
            </w:pPr>
            <w:r w:rsidRPr="00555526">
              <w:rPr>
                <w:sz w:val="16"/>
                <w:szCs w:val="20"/>
              </w:rPr>
              <w:t>142.3</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7C2FE9AF" w14:textId="6568CBD2" w:rsidR="004E72C9" w:rsidRPr="00D65414" w:rsidRDefault="004E72C9" w:rsidP="004E72C9">
            <w:pPr>
              <w:spacing w:before="120" w:after="120"/>
              <w:jc w:val="right"/>
              <w:rPr>
                <w:rFonts w:cs="Arial"/>
                <w:color w:val="1C1C1C"/>
                <w:sz w:val="16"/>
                <w:szCs w:val="20"/>
              </w:rPr>
            </w:pPr>
            <w:r w:rsidRPr="00555526">
              <w:rPr>
                <w:sz w:val="16"/>
                <w:szCs w:val="20"/>
              </w:rPr>
              <w:t>95.5</w:t>
            </w:r>
          </w:p>
        </w:tc>
      </w:tr>
      <w:tr w:rsidR="004E72C9" w:rsidRPr="007720F6" w14:paraId="017E916F"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1545A883" w14:textId="0F5A3AD3" w:rsidR="004E72C9" w:rsidRPr="003D2205" w:rsidRDefault="004E72C9" w:rsidP="004E72C9">
            <w:pPr>
              <w:spacing w:before="120" w:after="120"/>
              <w:rPr>
                <w:rFonts w:cs="Arial"/>
                <w:color w:val="1C1C1C"/>
                <w:sz w:val="16"/>
                <w:szCs w:val="16"/>
              </w:rPr>
            </w:pPr>
            <w:r w:rsidRPr="008C4770">
              <w:rPr>
                <w:rFonts w:cs="Arial"/>
                <w:sz w:val="16"/>
                <w:szCs w:val="16"/>
              </w:rPr>
              <w:t>SEP2021</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C5E65D5" w14:textId="00603001" w:rsidR="004E72C9" w:rsidRPr="00D65414" w:rsidRDefault="004E72C9" w:rsidP="004E72C9">
            <w:pPr>
              <w:spacing w:before="120" w:after="120"/>
              <w:jc w:val="right"/>
              <w:rPr>
                <w:rFonts w:cs="Arial"/>
                <w:color w:val="1C1C1C"/>
                <w:sz w:val="16"/>
                <w:szCs w:val="20"/>
              </w:rPr>
            </w:pPr>
            <w:r w:rsidRPr="00555526">
              <w:rPr>
                <w:sz w:val="16"/>
                <w:szCs w:val="20"/>
              </w:rPr>
              <w:t>144.1</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3C7577B8" w14:textId="051E3B62" w:rsidR="004E72C9" w:rsidRPr="00D65414" w:rsidRDefault="004E72C9" w:rsidP="004E72C9">
            <w:pPr>
              <w:spacing w:before="120" w:after="120"/>
              <w:jc w:val="right"/>
              <w:rPr>
                <w:rFonts w:cs="Arial"/>
                <w:color w:val="1C1C1C"/>
                <w:sz w:val="16"/>
                <w:szCs w:val="20"/>
              </w:rPr>
            </w:pPr>
            <w:r w:rsidRPr="00555526">
              <w:rPr>
                <w:sz w:val="16"/>
                <w:szCs w:val="20"/>
              </w:rPr>
              <w:t>96.7</w:t>
            </w:r>
          </w:p>
        </w:tc>
      </w:tr>
      <w:tr w:rsidR="004E72C9" w:rsidRPr="007720F6" w14:paraId="1BA2A483"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267A203B" w14:textId="272132DC" w:rsidR="004E72C9" w:rsidRPr="003D2205" w:rsidRDefault="004E72C9" w:rsidP="004E72C9">
            <w:pPr>
              <w:spacing w:before="120" w:after="120"/>
              <w:rPr>
                <w:rFonts w:cs="Arial"/>
                <w:color w:val="1C1C1C"/>
                <w:sz w:val="16"/>
                <w:szCs w:val="16"/>
              </w:rPr>
            </w:pPr>
            <w:r w:rsidRPr="008C4770">
              <w:rPr>
                <w:rFonts w:cs="Arial"/>
                <w:sz w:val="16"/>
                <w:szCs w:val="16"/>
              </w:rPr>
              <w:t>DEC2021</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36333A32" w14:textId="73D8C7BC" w:rsidR="004E72C9" w:rsidRPr="00D65414" w:rsidRDefault="004E72C9" w:rsidP="004E72C9">
            <w:pPr>
              <w:spacing w:before="120" w:after="120"/>
              <w:jc w:val="right"/>
              <w:rPr>
                <w:rFonts w:cs="Arial"/>
                <w:color w:val="1C1C1C"/>
                <w:sz w:val="16"/>
                <w:szCs w:val="20"/>
              </w:rPr>
            </w:pPr>
            <w:r w:rsidRPr="00555526">
              <w:rPr>
                <w:sz w:val="16"/>
                <w:szCs w:val="20"/>
              </w:rPr>
              <w:t>144.6</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664C63EF" w14:textId="0F488AF8" w:rsidR="004E72C9" w:rsidRPr="00D65414" w:rsidRDefault="004E72C9" w:rsidP="004E72C9">
            <w:pPr>
              <w:spacing w:before="120" w:after="120"/>
              <w:jc w:val="right"/>
              <w:rPr>
                <w:rFonts w:cs="Arial"/>
                <w:color w:val="1C1C1C"/>
                <w:sz w:val="16"/>
                <w:szCs w:val="20"/>
              </w:rPr>
            </w:pPr>
            <w:r w:rsidRPr="00555526">
              <w:rPr>
                <w:sz w:val="16"/>
                <w:szCs w:val="20"/>
              </w:rPr>
              <w:t>97.0</w:t>
            </w:r>
          </w:p>
        </w:tc>
      </w:tr>
      <w:tr w:rsidR="004E72C9" w:rsidRPr="007720F6" w14:paraId="5416E870"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0BAEB80B" w14:textId="1977061B" w:rsidR="004E72C9" w:rsidRPr="003D2205" w:rsidRDefault="004E72C9" w:rsidP="004E72C9">
            <w:pPr>
              <w:spacing w:before="120" w:after="120"/>
              <w:rPr>
                <w:rFonts w:cs="Arial"/>
                <w:color w:val="1C1C1C"/>
                <w:sz w:val="16"/>
                <w:szCs w:val="16"/>
              </w:rPr>
            </w:pPr>
            <w:r w:rsidRPr="008C4770">
              <w:rPr>
                <w:rFonts w:cs="Arial"/>
                <w:sz w:val="16"/>
                <w:szCs w:val="16"/>
              </w:rPr>
              <w:t>MAR2022</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48D72CFA" w14:textId="6D0812F9" w:rsidR="004E72C9" w:rsidRPr="00D65414" w:rsidRDefault="004E72C9" w:rsidP="004E72C9">
            <w:pPr>
              <w:spacing w:before="120" w:after="120"/>
              <w:jc w:val="right"/>
              <w:rPr>
                <w:rFonts w:cs="Arial"/>
                <w:color w:val="1C1C1C"/>
                <w:sz w:val="16"/>
                <w:szCs w:val="20"/>
              </w:rPr>
            </w:pPr>
            <w:r w:rsidRPr="00555526">
              <w:rPr>
                <w:sz w:val="16"/>
                <w:szCs w:val="20"/>
              </w:rPr>
              <w:t>145.1</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01E54864" w14:textId="69CCD437" w:rsidR="004E72C9" w:rsidRPr="00D65414" w:rsidRDefault="004E72C9" w:rsidP="004E72C9">
            <w:pPr>
              <w:spacing w:before="120" w:after="120"/>
              <w:jc w:val="right"/>
              <w:rPr>
                <w:rFonts w:cs="Arial"/>
                <w:color w:val="1C1C1C"/>
                <w:sz w:val="16"/>
                <w:szCs w:val="20"/>
              </w:rPr>
            </w:pPr>
            <w:r w:rsidRPr="00555526">
              <w:rPr>
                <w:sz w:val="16"/>
                <w:szCs w:val="20"/>
              </w:rPr>
              <w:t>97.4</w:t>
            </w:r>
          </w:p>
        </w:tc>
      </w:tr>
      <w:tr w:rsidR="004E72C9" w:rsidRPr="007720F6" w14:paraId="4AF85D6E" w14:textId="77777777" w:rsidTr="00FF1850">
        <w:trPr>
          <w:cnfStyle w:val="000000100000" w:firstRow="0" w:lastRow="0" w:firstColumn="0" w:lastColumn="0" w:oddVBand="0" w:evenVBand="0" w:oddHBand="1" w:evenHBand="0"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7ADD5E20" w14:textId="30DB99C6" w:rsidR="004E72C9" w:rsidRPr="003D2205" w:rsidRDefault="004E72C9" w:rsidP="004E72C9">
            <w:pPr>
              <w:spacing w:before="120" w:after="120"/>
              <w:rPr>
                <w:rFonts w:cs="Arial"/>
                <w:color w:val="1C1C1C"/>
                <w:sz w:val="16"/>
                <w:szCs w:val="16"/>
              </w:rPr>
            </w:pPr>
            <w:r w:rsidRPr="008C4770">
              <w:rPr>
                <w:rFonts w:cs="Arial"/>
                <w:sz w:val="16"/>
                <w:szCs w:val="16"/>
              </w:rPr>
              <w:t>JUN2022</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1970F7C0" w14:textId="71F62243" w:rsidR="004E72C9" w:rsidRPr="00D65414" w:rsidRDefault="004E72C9" w:rsidP="004E72C9">
            <w:pPr>
              <w:spacing w:before="120" w:after="120"/>
              <w:jc w:val="right"/>
              <w:rPr>
                <w:rFonts w:cs="Arial"/>
                <w:color w:val="1C1C1C"/>
                <w:sz w:val="16"/>
                <w:szCs w:val="20"/>
              </w:rPr>
            </w:pPr>
            <w:r w:rsidRPr="00555526">
              <w:rPr>
                <w:sz w:val="16"/>
                <w:szCs w:val="20"/>
              </w:rPr>
              <w:t>145.5</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1DDD399F" w14:textId="0A8D4DD8" w:rsidR="004E72C9" w:rsidRPr="00D65414" w:rsidRDefault="004E72C9" w:rsidP="004E72C9">
            <w:pPr>
              <w:spacing w:before="120" w:after="120"/>
              <w:jc w:val="right"/>
              <w:rPr>
                <w:rFonts w:cs="Arial"/>
                <w:color w:val="1C1C1C"/>
                <w:sz w:val="16"/>
                <w:szCs w:val="20"/>
              </w:rPr>
            </w:pPr>
            <w:r w:rsidRPr="00555526">
              <w:rPr>
                <w:sz w:val="16"/>
                <w:szCs w:val="20"/>
              </w:rPr>
              <w:t>97.7</w:t>
            </w:r>
          </w:p>
        </w:tc>
      </w:tr>
      <w:tr w:rsidR="004E72C9" w:rsidRPr="007720F6" w14:paraId="70BD5448" w14:textId="77777777" w:rsidTr="00FF1850">
        <w:trPr>
          <w:cnfStyle w:val="000000010000" w:firstRow="0" w:lastRow="0" w:firstColumn="0" w:lastColumn="0" w:oddVBand="0" w:evenVBand="0" w:oddHBand="0" w:evenHBand="1" w:firstRowFirstColumn="0" w:firstRowLastColumn="0" w:lastRowFirstColumn="0" w:lastRowLastColumn="0"/>
          <w:cantSplit/>
          <w:trHeight w:val="20"/>
        </w:trPr>
        <w:tc>
          <w:tcPr>
            <w:tcW w:w="1667" w:type="pct"/>
            <w:tcBorders>
              <w:top w:val="single" w:sz="4" w:space="0" w:color="DFEBF1" w:themeColor="accent1" w:themeTint="1A"/>
              <w:bottom w:val="single" w:sz="4" w:space="0" w:color="DFEBF1" w:themeColor="accent1" w:themeTint="1A"/>
            </w:tcBorders>
            <w:shd w:val="clear" w:color="auto" w:fill="auto"/>
          </w:tcPr>
          <w:p w14:paraId="0E68F9AE" w14:textId="5B365D62" w:rsidR="004E72C9" w:rsidRPr="003D2205" w:rsidRDefault="004E72C9" w:rsidP="004E72C9">
            <w:pPr>
              <w:spacing w:before="120" w:after="120"/>
              <w:rPr>
                <w:rFonts w:cs="Arial"/>
                <w:color w:val="1C1C1C"/>
                <w:sz w:val="16"/>
                <w:szCs w:val="16"/>
              </w:rPr>
            </w:pPr>
            <w:r w:rsidRPr="008C4770">
              <w:rPr>
                <w:rFonts w:cs="Arial"/>
                <w:sz w:val="16"/>
                <w:szCs w:val="16"/>
              </w:rPr>
              <w:t>SEP2022</w:t>
            </w:r>
          </w:p>
        </w:tc>
        <w:tc>
          <w:tcPr>
            <w:tcW w:w="1667"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C3F468D" w14:textId="69F0015A" w:rsidR="004E72C9" w:rsidRPr="00D65414" w:rsidRDefault="004E72C9" w:rsidP="004E72C9">
            <w:pPr>
              <w:spacing w:before="120" w:after="120"/>
              <w:jc w:val="right"/>
              <w:rPr>
                <w:rFonts w:cs="Arial"/>
                <w:color w:val="1C1C1C"/>
                <w:sz w:val="16"/>
                <w:szCs w:val="20"/>
              </w:rPr>
            </w:pPr>
            <w:r w:rsidRPr="00555526">
              <w:rPr>
                <w:sz w:val="16"/>
                <w:szCs w:val="20"/>
              </w:rPr>
              <w:t>149.0</w:t>
            </w:r>
          </w:p>
        </w:tc>
        <w:tc>
          <w:tcPr>
            <w:tcW w:w="1666"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tcPr>
          <w:p w14:paraId="52826DDB" w14:textId="3770C824" w:rsidR="004E72C9" w:rsidRPr="00D65414" w:rsidRDefault="004E72C9" w:rsidP="004E72C9">
            <w:pPr>
              <w:spacing w:before="120" w:after="120"/>
              <w:jc w:val="right"/>
              <w:rPr>
                <w:rFonts w:cs="Arial"/>
                <w:color w:val="1C1C1C"/>
                <w:sz w:val="16"/>
                <w:szCs w:val="20"/>
              </w:rPr>
            </w:pPr>
            <w:r w:rsidRPr="00555526">
              <w:rPr>
                <w:sz w:val="16"/>
                <w:szCs w:val="20"/>
              </w:rPr>
              <w:t>100.0</w:t>
            </w:r>
          </w:p>
        </w:tc>
      </w:tr>
    </w:tbl>
    <w:p w14:paraId="26F9F60B" w14:textId="5E5148D5" w:rsidR="00C63527" w:rsidRDefault="00C63527" w:rsidP="00C63527"/>
    <w:p w14:paraId="69C50209" w14:textId="77777777" w:rsidR="00F44818" w:rsidRDefault="00F44818" w:rsidP="00C63527">
      <w:pPr>
        <w:sectPr w:rsidR="00F44818" w:rsidSect="00C5503B">
          <w:pgSz w:w="11906" w:h="16838" w:code="9"/>
          <w:pgMar w:top="1440" w:right="1080" w:bottom="1440" w:left="1080" w:header="708" w:footer="708" w:gutter="0"/>
          <w:cols w:space="708"/>
          <w:docGrid w:linePitch="360"/>
        </w:sectPr>
      </w:pPr>
    </w:p>
    <w:p w14:paraId="32AED48C" w14:textId="3E1DECFA" w:rsidR="00FC5B3A" w:rsidRPr="002762F2" w:rsidRDefault="00F44818" w:rsidP="007318C9">
      <w:pPr>
        <w:pStyle w:val="TableFigureheading"/>
      </w:pPr>
      <w:r w:rsidRPr="002762F2">
        <w:lastRenderedPageBreak/>
        <w:t>Table </w:t>
      </w:r>
      <w:fldSimple w:instr=" SEQ Table \* ARABIC ">
        <w:r w:rsidR="00B1072E">
          <w:rPr>
            <w:noProof/>
          </w:rPr>
          <w:t>17</w:t>
        </w:r>
      </w:fldSimple>
      <w:r w:rsidR="7E7DDF39" w:rsidRPr="002762F2">
        <w:t xml:space="preserve">: Non-labour direct care price index numbers </w:t>
      </w:r>
    </w:p>
    <w:tbl>
      <w:tblPr>
        <w:tblW w:w="5208" w:type="pct"/>
        <w:tblLook w:val="04A0" w:firstRow="1" w:lastRow="0" w:firstColumn="1" w:lastColumn="0" w:noHBand="0" w:noVBand="1"/>
      </w:tblPr>
      <w:tblGrid>
        <w:gridCol w:w="929"/>
        <w:gridCol w:w="1361"/>
        <w:gridCol w:w="1361"/>
        <w:gridCol w:w="1361"/>
        <w:gridCol w:w="1361"/>
        <w:gridCol w:w="1361"/>
        <w:gridCol w:w="1361"/>
        <w:gridCol w:w="1361"/>
        <w:gridCol w:w="1361"/>
        <w:gridCol w:w="1361"/>
        <w:gridCol w:w="1361"/>
      </w:tblGrid>
      <w:tr w:rsidR="003B5161" w:rsidRPr="002762F2" w14:paraId="399EFA2C" w14:textId="77777777" w:rsidTr="003B5161">
        <w:trPr>
          <w:trHeight w:val="15"/>
          <w:tblHeader/>
        </w:trPr>
        <w:tc>
          <w:tcPr>
            <w:tcW w:w="319" w:type="pct"/>
            <w:tcBorders>
              <w:top w:val="single" w:sz="8" w:space="0" w:color="DFEBF1" w:themeColor="accent1" w:themeTint="1A"/>
              <w:left w:val="nil"/>
              <w:bottom w:val="single" w:sz="8" w:space="0" w:color="DFEBF1" w:themeColor="accent1" w:themeTint="1A"/>
              <w:right w:val="single" w:sz="8" w:space="0" w:color="FFFFFF" w:themeColor="accent6"/>
            </w:tcBorders>
            <w:shd w:val="clear" w:color="auto" w:fill="15272F" w:themeFill="text1"/>
            <w:vAlign w:val="center"/>
          </w:tcPr>
          <w:p w14:paraId="514395B6" w14:textId="430622F0" w:rsidR="003B5161" w:rsidRPr="002762F2" w:rsidDel="00982B5F" w:rsidRDefault="003B5161" w:rsidP="003B5161">
            <w:pPr>
              <w:spacing w:before="120" w:after="120"/>
              <w:rPr>
                <w:b/>
                <w:bCs/>
                <w:color w:val="FFFFFF" w:themeColor="background2"/>
                <w:sz w:val="18"/>
              </w:rPr>
            </w:pPr>
            <w:r w:rsidRPr="002762F2">
              <w:rPr>
                <w:b/>
                <w:bCs/>
                <w:color w:val="FFFFFF" w:themeColor="background2"/>
                <w:sz w:val="18"/>
              </w:rPr>
              <w:t>Quarter</w:t>
            </w:r>
          </w:p>
        </w:tc>
        <w:tc>
          <w:tcPr>
            <w:tcW w:w="1404" w:type="pct"/>
            <w:gridSpan w:val="3"/>
            <w:tcBorders>
              <w:top w:val="single" w:sz="8" w:space="0" w:color="DFEBF1" w:themeColor="accent1" w:themeTint="1A"/>
              <w:left w:val="single" w:sz="8" w:space="0" w:color="FFFFFF" w:themeColor="accent6"/>
              <w:bottom w:val="single" w:sz="8" w:space="0" w:color="DFEBF1" w:themeColor="accent1" w:themeTint="1A"/>
              <w:right w:val="single" w:sz="8" w:space="0" w:color="FFFFFF" w:themeColor="background2"/>
            </w:tcBorders>
            <w:shd w:val="clear" w:color="auto" w:fill="15272F" w:themeFill="text1"/>
            <w:vAlign w:val="center"/>
          </w:tcPr>
          <w:p w14:paraId="6158C6AC" w14:textId="18D1D6BC" w:rsidR="003B5161" w:rsidRPr="002762F2" w:rsidRDefault="003B5161" w:rsidP="003B5161">
            <w:pPr>
              <w:spacing w:before="120" w:after="120"/>
              <w:rPr>
                <w:b/>
                <w:bCs/>
                <w:color w:val="FFFFFF" w:themeColor="background2"/>
                <w:sz w:val="18"/>
              </w:rPr>
            </w:pPr>
            <w:r w:rsidRPr="003B5161">
              <w:rPr>
                <w:b/>
                <w:bCs/>
                <w:color w:val="FFFFFF" w:themeColor="background2"/>
                <w:sz w:val="18"/>
              </w:rPr>
              <w:t>Source index numbers</w:t>
            </w:r>
          </w:p>
        </w:tc>
        <w:tc>
          <w:tcPr>
            <w:tcW w:w="1404" w:type="pct"/>
            <w:gridSpan w:val="3"/>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15272F" w:themeFill="text1"/>
            <w:vAlign w:val="center"/>
          </w:tcPr>
          <w:p w14:paraId="068FF833" w14:textId="128DE591" w:rsidR="003B5161" w:rsidRPr="002762F2" w:rsidRDefault="003B5161" w:rsidP="003B5161">
            <w:pPr>
              <w:spacing w:before="120" w:after="120"/>
              <w:rPr>
                <w:b/>
                <w:bCs/>
                <w:color w:val="FFFFFF" w:themeColor="background2"/>
                <w:sz w:val="18"/>
              </w:rPr>
            </w:pPr>
            <w:r w:rsidRPr="003B5161">
              <w:rPr>
                <w:b/>
                <w:bCs/>
                <w:color w:val="FFFFFF" w:themeColor="background2"/>
                <w:sz w:val="18"/>
              </w:rPr>
              <w:t>Re-referenced index numbers</w:t>
            </w:r>
          </w:p>
        </w:tc>
        <w:tc>
          <w:tcPr>
            <w:tcW w:w="1404" w:type="pct"/>
            <w:gridSpan w:val="3"/>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15272F" w:themeFill="text1"/>
            <w:vAlign w:val="center"/>
          </w:tcPr>
          <w:p w14:paraId="386EBF51" w14:textId="6992B71F" w:rsidR="003B5161" w:rsidRPr="002762F2" w:rsidRDefault="003B5161" w:rsidP="003B5161">
            <w:pPr>
              <w:spacing w:before="120" w:after="120"/>
              <w:rPr>
                <w:b/>
                <w:bCs/>
                <w:color w:val="FFFFFF" w:themeColor="background2"/>
                <w:sz w:val="18"/>
              </w:rPr>
            </w:pPr>
            <w:r>
              <w:rPr>
                <w:b/>
                <w:bCs/>
                <w:color w:val="FFFFFF" w:themeColor="background2"/>
                <w:sz w:val="18"/>
              </w:rPr>
              <w:t>Contribution to final index</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15272F" w:themeFill="text1"/>
            <w:vAlign w:val="center"/>
          </w:tcPr>
          <w:p w14:paraId="0BAE527B" w14:textId="77777777" w:rsidR="003B5161" w:rsidRPr="002762F2" w:rsidRDefault="003B5161" w:rsidP="003B5161">
            <w:pPr>
              <w:spacing w:before="120" w:after="120"/>
              <w:rPr>
                <w:b/>
                <w:bCs/>
                <w:color w:val="FFFFFF" w:themeColor="background2"/>
                <w:sz w:val="18"/>
              </w:rPr>
            </w:pPr>
          </w:p>
        </w:tc>
      </w:tr>
      <w:tr w:rsidR="007318C9" w:rsidRPr="002762F2" w14:paraId="0204495F" w14:textId="77777777" w:rsidTr="002762F2">
        <w:trPr>
          <w:trHeight w:val="15"/>
          <w:tblHeader/>
        </w:trPr>
        <w:tc>
          <w:tcPr>
            <w:tcW w:w="319" w:type="pct"/>
            <w:tcBorders>
              <w:top w:val="single" w:sz="8" w:space="0" w:color="DFEBF1" w:themeColor="accent1" w:themeTint="1A"/>
              <w:left w:val="nil"/>
              <w:bottom w:val="single" w:sz="8" w:space="0" w:color="DFEBF1" w:themeColor="accent1" w:themeTint="1A"/>
              <w:right w:val="single" w:sz="8" w:space="0" w:color="FFFFFF" w:themeColor="accent6"/>
            </w:tcBorders>
            <w:shd w:val="clear" w:color="auto" w:fill="DFEBF1" w:themeFill="accent1" w:themeFillTint="1A"/>
            <w:vAlign w:val="center"/>
          </w:tcPr>
          <w:p w14:paraId="26C06AC7" w14:textId="6EF87897" w:rsidR="40C993A5" w:rsidRPr="00982B5F" w:rsidRDefault="40C993A5" w:rsidP="00982B5F">
            <w:pPr>
              <w:spacing w:before="120" w:after="120"/>
              <w:rPr>
                <w:rFonts w:cs="Arial"/>
                <w:b/>
                <w:bCs/>
                <w:sz w:val="16"/>
                <w:szCs w:val="16"/>
              </w:rPr>
            </w:pPr>
          </w:p>
        </w:tc>
        <w:tc>
          <w:tcPr>
            <w:tcW w:w="468" w:type="pct"/>
            <w:tcBorders>
              <w:top w:val="single" w:sz="8" w:space="0" w:color="DFEBF1" w:themeColor="accent1" w:themeTint="1A"/>
              <w:left w:val="single" w:sz="8" w:space="0" w:color="FFFFFF" w:themeColor="accent6"/>
              <w:bottom w:val="single" w:sz="8" w:space="0" w:color="DFEBF1" w:themeColor="accent1" w:themeTint="1A"/>
              <w:right w:val="single" w:sz="8" w:space="0" w:color="FFFFFF" w:themeColor="background2"/>
            </w:tcBorders>
            <w:shd w:val="clear" w:color="auto" w:fill="DFEBF1" w:themeFill="accent1" w:themeFillTint="1A"/>
            <w:vAlign w:val="center"/>
          </w:tcPr>
          <w:p w14:paraId="2E1C5843" w14:textId="64E62A0B" w:rsidR="40C993A5" w:rsidRPr="00982B5F" w:rsidRDefault="40C993A5" w:rsidP="00766E0C">
            <w:pPr>
              <w:spacing w:before="120" w:after="120"/>
              <w:jc w:val="center"/>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010011DB" w14:textId="10539365" w:rsidR="40C993A5" w:rsidRPr="00982B5F" w:rsidRDefault="40C993A5" w:rsidP="00766E0C">
            <w:pPr>
              <w:spacing w:before="120" w:after="120"/>
              <w:jc w:val="center"/>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1F2675E5" w14:textId="6CE7C7E7" w:rsidR="40C993A5" w:rsidRPr="00982B5F" w:rsidRDefault="40C993A5" w:rsidP="00766E0C">
            <w:pPr>
              <w:spacing w:before="120" w:after="120"/>
              <w:jc w:val="center"/>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0250E46B" w14:textId="12ECD5F1" w:rsidR="40C993A5" w:rsidRPr="00982B5F" w:rsidRDefault="40C993A5" w:rsidP="00766E0C">
            <w:pPr>
              <w:spacing w:before="120" w:after="120"/>
              <w:jc w:val="center"/>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2DBAA491" w14:textId="6617DD8E" w:rsidR="40C993A5" w:rsidRPr="00982B5F" w:rsidRDefault="40C993A5" w:rsidP="00766E0C">
            <w:pPr>
              <w:spacing w:before="120" w:after="120"/>
              <w:jc w:val="center"/>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323D82AD" w14:textId="22D83D1E" w:rsidR="40C993A5" w:rsidRPr="00982B5F" w:rsidRDefault="40C993A5" w:rsidP="00766E0C">
            <w:pPr>
              <w:spacing w:before="120" w:after="120"/>
              <w:jc w:val="center"/>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35138CA0" w14:textId="5CAD7513" w:rsidR="40C993A5" w:rsidRPr="00982B5F" w:rsidRDefault="40C993A5" w:rsidP="00766E0C">
            <w:pPr>
              <w:spacing w:before="120" w:after="120"/>
              <w:jc w:val="center"/>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13BF59DB" w14:textId="4A1A1C5C" w:rsidR="40C993A5" w:rsidRPr="00982B5F" w:rsidRDefault="40C993A5" w:rsidP="00766E0C">
            <w:pPr>
              <w:spacing w:before="120" w:after="120"/>
              <w:jc w:val="center"/>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DFEBF1" w:themeFill="accent1" w:themeFillTint="1A"/>
            <w:vAlign w:val="center"/>
          </w:tcPr>
          <w:p w14:paraId="418CBC01" w14:textId="05713731" w:rsidR="40C993A5" w:rsidRPr="00982B5F" w:rsidRDefault="40C993A5" w:rsidP="00766E0C">
            <w:pPr>
              <w:spacing w:before="120" w:after="120"/>
              <w:jc w:val="center"/>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DFEBF1" w:themeFill="accent1" w:themeFillTint="1A"/>
            <w:vAlign w:val="center"/>
          </w:tcPr>
          <w:p w14:paraId="7B528E3B" w14:textId="635F0BBF" w:rsidR="40C993A5" w:rsidRPr="00982B5F" w:rsidRDefault="40C993A5" w:rsidP="00766E0C">
            <w:pPr>
              <w:spacing w:before="120" w:after="120"/>
              <w:jc w:val="center"/>
              <w:rPr>
                <w:rFonts w:cs="Arial"/>
                <w:b/>
                <w:bCs/>
                <w:sz w:val="16"/>
                <w:szCs w:val="16"/>
              </w:rPr>
            </w:pPr>
            <w:r w:rsidRPr="00982B5F">
              <w:rPr>
                <w:rFonts w:cs="Arial"/>
                <w:b/>
                <w:bCs/>
                <w:sz w:val="16"/>
                <w:szCs w:val="16"/>
              </w:rPr>
              <w:t>Composite</w:t>
            </w:r>
          </w:p>
        </w:tc>
      </w:tr>
      <w:tr w:rsidR="007318C9" w14:paraId="3260E281"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C13EC37" w14:textId="0EA04083" w:rsidR="40C993A5" w:rsidRPr="00982B5F" w:rsidRDefault="40C993A5" w:rsidP="00982B5F">
            <w:pPr>
              <w:spacing w:before="120" w:after="120"/>
              <w:rPr>
                <w:rFonts w:cs="Arial"/>
                <w:sz w:val="16"/>
                <w:szCs w:val="16"/>
              </w:rPr>
            </w:pPr>
            <w:r w:rsidRPr="00982B5F">
              <w:rPr>
                <w:rFonts w:cs="Arial"/>
                <w:sz w:val="16"/>
                <w:szCs w:val="16"/>
              </w:rPr>
              <w:t xml:space="preserve">DEC2017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25CFA539" w14:textId="0792984A" w:rsidR="40C993A5" w:rsidRPr="00982B5F" w:rsidRDefault="40C993A5" w:rsidP="00982B5F">
            <w:pPr>
              <w:spacing w:before="120" w:after="120"/>
              <w:jc w:val="right"/>
              <w:rPr>
                <w:sz w:val="16"/>
                <w:szCs w:val="20"/>
              </w:rPr>
            </w:pPr>
            <w:r w:rsidRPr="00982B5F">
              <w:rPr>
                <w:sz w:val="16"/>
                <w:szCs w:val="20"/>
              </w:rPr>
              <w:t xml:space="preserve">101.1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7A9F7D47" w14:textId="76FCB902" w:rsidR="40C993A5" w:rsidRPr="00982B5F" w:rsidRDefault="40C993A5" w:rsidP="00982B5F">
            <w:pPr>
              <w:spacing w:before="120" w:after="120"/>
              <w:jc w:val="right"/>
              <w:rPr>
                <w:sz w:val="16"/>
                <w:szCs w:val="20"/>
              </w:rPr>
            </w:pPr>
            <w:r w:rsidRPr="00982B5F">
              <w:rPr>
                <w:sz w:val="16"/>
                <w:szCs w:val="20"/>
              </w:rPr>
              <w:t>127.2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0F617C" w14:textId="39681CF9" w:rsidR="40C993A5" w:rsidRPr="00982B5F" w:rsidRDefault="40C993A5" w:rsidP="00982B5F">
            <w:pPr>
              <w:spacing w:before="120" w:after="120"/>
              <w:jc w:val="right"/>
              <w:rPr>
                <w:sz w:val="16"/>
                <w:szCs w:val="20"/>
              </w:rPr>
            </w:pPr>
            <w:r w:rsidRPr="00982B5F">
              <w:rPr>
                <w:sz w:val="16"/>
                <w:szCs w:val="20"/>
              </w:rPr>
              <w:t xml:space="preserve">109.0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1A2903C" w14:textId="19BD8680" w:rsidR="40C993A5" w:rsidRPr="00982B5F" w:rsidRDefault="40C993A5" w:rsidP="00982B5F">
            <w:pPr>
              <w:spacing w:before="120" w:after="120"/>
              <w:jc w:val="right"/>
              <w:rPr>
                <w:sz w:val="16"/>
                <w:szCs w:val="20"/>
              </w:rPr>
            </w:pPr>
            <w:r w:rsidRPr="00982B5F">
              <w:rPr>
                <w:sz w:val="16"/>
                <w:szCs w:val="20"/>
              </w:rPr>
              <w:t>94.1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F479417" w14:textId="142256E1" w:rsidR="40C993A5" w:rsidRPr="00982B5F" w:rsidRDefault="40C993A5" w:rsidP="00982B5F">
            <w:pPr>
              <w:spacing w:before="120" w:after="120"/>
              <w:jc w:val="right"/>
              <w:rPr>
                <w:sz w:val="16"/>
                <w:szCs w:val="20"/>
              </w:rPr>
            </w:pPr>
            <w:r w:rsidRPr="00982B5F">
              <w:rPr>
                <w:sz w:val="16"/>
                <w:szCs w:val="20"/>
              </w:rPr>
              <w:t>85.5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3BE6EFF" w14:textId="62130E96" w:rsidR="40C993A5" w:rsidRPr="00982B5F" w:rsidRDefault="40C993A5" w:rsidP="00982B5F">
            <w:pPr>
              <w:spacing w:before="120" w:after="120"/>
              <w:jc w:val="right"/>
              <w:rPr>
                <w:sz w:val="16"/>
                <w:szCs w:val="20"/>
              </w:rPr>
            </w:pPr>
            <w:r w:rsidRPr="00982B5F">
              <w:rPr>
                <w:sz w:val="16"/>
                <w:szCs w:val="20"/>
              </w:rPr>
              <w:t>89.9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0AADA18" w14:textId="70E01224" w:rsidR="40C993A5" w:rsidRPr="00982B5F" w:rsidRDefault="40C993A5" w:rsidP="00982B5F">
            <w:pPr>
              <w:spacing w:before="120" w:after="120"/>
              <w:jc w:val="right"/>
              <w:rPr>
                <w:sz w:val="16"/>
                <w:szCs w:val="20"/>
              </w:rPr>
            </w:pPr>
            <w:r w:rsidRPr="00982B5F">
              <w:rPr>
                <w:sz w:val="16"/>
                <w:szCs w:val="20"/>
              </w:rPr>
              <w:t>24.5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0E40ECF" w14:textId="33AC56B3" w:rsidR="40C993A5" w:rsidRPr="00982B5F" w:rsidRDefault="40C993A5" w:rsidP="00982B5F">
            <w:pPr>
              <w:spacing w:before="120" w:after="120"/>
              <w:jc w:val="right"/>
              <w:rPr>
                <w:sz w:val="16"/>
                <w:szCs w:val="20"/>
              </w:rPr>
            </w:pPr>
            <w:r w:rsidRPr="00982B5F">
              <w:rPr>
                <w:sz w:val="16"/>
                <w:szCs w:val="20"/>
              </w:rPr>
              <w:t>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0D3023CD" w14:textId="7D9280CC" w:rsidR="40C993A5" w:rsidRPr="00982B5F" w:rsidRDefault="40C993A5" w:rsidP="00982B5F">
            <w:pPr>
              <w:spacing w:before="120" w:after="120"/>
              <w:jc w:val="right"/>
              <w:rPr>
                <w:sz w:val="16"/>
                <w:szCs w:val="20"/>
              </w:rPr>
            </w:pPr>
            <w:r w:rsidRPr="00982B5F">
              <w:rPr>
                <w:sz w:val="16"/>
                <w:szCs w:val="20"/>
              </w:rPr>
              <w:t>55</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4B30B51" w14:textId="5DC67AB1" w:rsidR="40C993A5" w:rsidRPr="00982B5F" w:rsidRDefault="40C993A5" w:rsidP="00982B5F">
            <w:pPr>
              <w:spacing w:before="120" w:after="120"/>
              <w:jc w:val="right"/>
              <w:rPr>
                <w:sz w:val="16"/>
                <w:szCs w:val="16"/>
              </w:rPr>
            </w:pPr>
            <w:r w:rsidRPr="00982B5F">
              <w:rPr>
                <w:sz w:val="16"/>
                <w:szCs w:val="16"/>
              </w:rPr>
              <w:t>90.4</w:t>
            </w:r>
          </w:p>
        </w:tc>
      </w:tr>
      <w:tr w:rsidR="007318C9" w14:paraId="1103ED43"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964F9AB" w14:textId="48714851" w:rsidR="40C993A5" w:rsidRPr="00982B5F" w:rsidRDefault="40C993A5" w:rsidP="00982B5F">
            <w:pPr>
              <w:spacing w:before="120" w:after="120"/>
              <w:rPr>
                <w:rFonts w:cs="Arial"/>
                <w:sz w:val="16"/>
                <w:szCs w:val="16"/>
              </w:rPr>
            </w:pPr>
            <w:r w:rsidRPr="00982B5F">
              <w:rPr>
                <w:rFonts w:cs="Arial"/>
                <w:sz w:val="16"/>
                <w:szCs w:val="16"/>
              </w:rPr>
              <w:t xml:space="preserve">MAR2018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424AE9C4" w14:textId="3F301440" w:rsidR="40C993A5" w:rsidRPr="00982B5F" w:rsidRDefault="40C993A5" w:rsidP="00982B5F">
            <w:pPr>
              <w:spacing w:before="120" w:after="120"/>
              <w:jc w:val="right"/>
              <w:rPr>
                <w:sz w:val="16"/>
                <w:szCs w:val="20"/>
              </w:rPr>
            </w:pPr>
            <w:r w:rsidRPr="00982B5F">
              <w:rPr>
                <w:sz w:val="16"/>
                <w:szCs w:val="20"/>
              </w:rPr>
              <w:t xml:space="preserve">106.1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55761B3D" w14:textId="3B3839F8" w:rsidR="40C993A5" w:rsidRPr="00982B5F" w:rsidRDefault="40C993A5" w:rsidP="00982B5F">
            <w:pPr>
              <w:spacing w:before="120" w:after="120"/>
              <w:jc w:val="right"/>
              <w:rPr>
                <w:sz w:val="16"/>
                <w:szCs w:val="20"/>
              </w:rPr>
            </w:pPr>
            <w:r w:rsidRPr="00982B5F">
              <w:rPr>
                <w:sz w:val="16"/>
                <w:szCs w:val="20"/>
              </w:rPr>
              <w:t>128.0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5662D08" w14:textId="20548FA9" w:rsidR="40C993A5" w:rsidRPr="00982B5F" w:rsidRDefault="40C993A5" w:rsidP="00982B5F">
            <w:pPr>
              <w:spacing w:before="120" w:after="120"/>
              <w:jc w:val="right"/>
              <w:rPr>
                <w:sz w:val="16"/>
                <w:szCs w:val="20"/>
              </w:rPr>
            </w:pPr>
            <w:r w:rsidRPr="00982B5F">
              <w:rPr>
                <w:sz w:val="16"/>
                <w:szCs w:val="20"/>
              </w:rPr>
              <w:t xml:space="preserve">109.3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FCA2B7F" w14:textId="758ACBAF" w:rsidR="40C993A5" w:rsidRPr="00982B5F" w:rsidRDefault="40C993A5" w:rsidP="00982B5F">
            <w:pPr>
              <w:spacing w:before="120" w:after="120"/>
              <w:jc w:val="right"/>
              <w:rPr>
                <w:sz w:val="16"/>
                <w:szCs w:val="20"/>
              </w:rPr>
            </w:pPr>
            <w:r w:rsidRPr="00982B5F">
              <w:rPr>
                <w:sz w:val="16"/>
                <w:szCs w:val="20"/>
              </w:rPr>
              <w:t>98.8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ACE3808" w14:textId="76FADC15" w:rsidR="40C993A5" w:rsidRPr="00982B5F" w:rsidRDefault="40C993A5" w:rsidP="00982B5F">
            <w:pPr>
              <w:spacing w:before="120" w:after="120"/>
              <w:jc w:val="right"/>
              <w:rPr>
                <w:sz w:val="16"/>
                <w:szCs w:val="20"/>
              </w:rPr>
            </w:pPr>
            <w:r w:rsidRPr="00982B5F">
              <w:rPr>
                <w:sz w:val="16"/>
                <w:szCs w:val="20"/>
              </w:rPr>
              <w:t>86.1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D9CE0A0" w14:textId="6E727772" w:rsidR="40C993A5" w:rsidRPr="00982B5F" w:rsidRDefault="40C993A5" w:rsidP="00982B5F">
            <w:pPr>
              <w:spacing w:before="120" w:after="120"/>
              <w:jc w:val="right"/>
              <w:rPr>
                <w:sz w:val="16"/>
                <w:szCs w:val="20"/>
              </w:rPr>
            </w:pPr>
            <w:r w:rsidRPr="00982B5F">
              <w:rPr>
                <w:sz w:val="16"/>
                <w:szCs w:val="20"/>
              </w:rPr>
              <w:t>90.1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6584CB4" w14:textId="0758E303" w:rsidR="40C993A5" w:rsidRPr="00982B5F" w:rsidRDefault="40C993A5" w:rsidP="00982B5F">
            <w:pPr>
              <w:spacing w:before="120" w:after="120"/>
              <w:jc w:val="right"/>
              <w:rPr>
                <w:sz w:val="16"/>
                <w:szCs w:val="20"/>
              </w:rPr>
            </w:pPr>
            <w:r w:rsidRPr="00982B5F">
              <w:rPr>
                <w:sz w:val="16"/>
                <w:szCs w:val="20"/>
              </w:rPr>
              <w:t>25.7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F380263" w14:textId="2E6CF90A" w:rsidR="40C993A5" w:rsidRPr="00982B5F" w:rsidRDefault="40C993A5" w:rsidP="00982B5F">
            <w:pPr>
              <w:spacing w:before="120" w:after="120"/>
              <w:jc w:val="right"/>
              <w:rPr>
                <w:sz w:val="16"/>
                <w:szCs w:val="20"/>
              </w:rPr>
            </w:pPr>
            <w:r w:rsidRPr="00982B5F">
              <w:rPr>
                <w:sz w:val="16"/>
                <w:szCs w:val="20"/>
              </w:rPr>
              <w:t>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679558E4" w14:textId="223AF212" w:rsidR="40C993A5" w:rsidRPr="00982B5F" w:rsidRDefault="40C993A5" w:rsidP="00982B5F">
            <w:pPr>
              <w:spacing w:before="120" w:after="120"/>
              <w:jc w:val="right"/>
              <w:rPr>
                <w:sz w:val="16"/>
                <w:szCs w:val="20"/>
              </w:rPr>
            </w:pPr>
            <w:r w:rsidRPr="00982B5F">
              <w:rPr>
                <w:sz w:val="16"/>
                <w:szCs w:val="20"/>
              </w:rPr>
              <w:t>55.1</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768B13B4" w14:textId="12FD0B78" w:rsidR="40C993A5" w:rsidRPr="00982B5F" w:rsidRDefault="40C993A5" w:rsidP="00982B5F">
            <w:pPr>
              <w:spacing w:before="120" w:after="120"/>
              <w:jc w:val="right"/>
              <w:rPr>
                <w:sz w:val="16"/>
                <w:szCs w:val="16"/>
              </w:rPr>
            </w:pPr>
            <w:r w:rsidRPr="00982B5F">
              <w:rPr>
                <w:sz w:val="16"/>
                <w:szCs w:val="16"/>
              </w:rPr>
              <w:t>91.8</w:t>
            </w:r>
          </w:p>
        </w:tc>
      </w:tr>
      <w:tr w:rsidR="007318C9" w14:paraId="7E6A7FBA"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CABE13D" w14:textId="0255B466" w:rsidR="40C993A5" w:rsidRPr="00982B5F" w:rsidRDefault="40C993A5" w:rsidP="00982B5F">
            <w:pPr>
              <w:spacing w:before="120" w:after="120"/>
              <w:rPr>
                <w:rFonts w:cs="Arial"/>
                <w:sz w:val="16"/>
                <w:szCs w:val="16"/>
              </w:rPr>
            </w:pPr>
            <w:r w:rsidRPr="00982B5F">
              <w:rPr>
                <w:rFonts w:cs="Arial"/>
                <w:sz w:val="16"/>
                <w:szCs w:val="16"/>
              </w:rPr>
              <w:t xml:space="preserve">JUN2018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743E6DA" w14:textId="1EA0BC6C" w:rsidR="40C993A5" w:rsidRPr="00982B5F" w:rsidRDefault="40C993A5" w:rsidP="00982B5F">
            <w:pPr>
              <w:spacing w:before="120" w:after="120"/>
              <w:jc w:val="right"/>
              <w:rPr>
                <w:sz w:val="16"/>
                <w:szCs w:val="20"/>
              </w:rPr>
            </w:pPr>
            <w:r w:rsidRPr="00982B5F">
              <w:rPr>
                <w:sz w:val="16"/>
                <w:szCs w:val="20"/>
              </w:rPr>
              <w:t xml:space="preserve">105.1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179410FC" w14:textId="1922F2CC" w:rsidR="40C993A5" w:rsidRPr="00982B5F" w:rsidRDefault="40C993A5" w:rsidP="00982B5F">
            <w:pPr>
              <w:spacing w:before="120" w:after="120"/>
              <w:jc w:val="right"/>
              <w:rPr>
                <w:sz w:val="16"/>
                <w:szCs w:val="20"/>
              </w:rPr>
            </w:pPr>
            <w:r w:rsidRPr="00982B5F">
              <w:rPr>
                <w:sz w:val="16"/>
                <w:szCs w:val="20"/>
              </w:rPr>
              <w:t>129.2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AEE368D" w14:textId="46D9C27B" w:rsidR="40C993A5" w:rsidRPr="00982B5F" w:rsidRDefault="40C993A5" w:rsidP="00982B5F">
            <w:pPr>
              <w:spacing w:before="120" w:after="120"/>
              <w:jc w:val="right"/>
              <w:rPr>
                <w:sz w:val="16"/>
                <w:szCs w:val="20"/>
              </w:rPr>
            </w:pPr>
            <w:r w:rsidRPr="00982B5F">
              <w:rPr>
                <w:sz w:val="16"/>
                <w:szCs w:val="20"/>
              </w:rPr>
              <w:t xml:space="preserve">109.7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4C845A6" w14:textId="706F7A6C" w:rsidR="40C993A5" w:rsidRPr="00982B5F" w:rsidRDefault="40C993A5" w:rsidP="00982B5F">
            <w:pPr>
              <w:spacing w:before="120" w:after="120"/>
              <w:jc w:val="right"/>
              <w:rPr>
                <w:sz w:val="16"/>
                <w:szCs w:val="20"/>
              </w:rPr>
            </w:pPr>
            <w:r w:rsidRPr="00982B5F">
              <w:rPr>
                <w:sz w:val="16"/>
                <w:szCs w:val="20"/>
              </w:rPr>
              <w:t>97.9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5C72C06" w14:textId="476DA75D" w:rsidR="40C993A5" w:rsidRPr="00982B5F" w:rsidRDefault="40C993A5" w:rsidP="00982B5F">
            <w:pPr>
              <w:spacing w:before="120" w:after="120"/>
              <w:jc w:val="right"/>
              <w:rPr>
                <w:sz w:val="16"/>
                <w:szCs w:val="20"/>
              </w:rPr>
            </w:pPr>
            <w:r w:rsidRPr="00982B5F">
              <w:rPr>
                <w:sz w:val="16"/>
                <w:szCs w:val="20"/>
              </w:rPr>
              <w:t>86.9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94CB9DE" w14:textId="733F48D9" w:rsidR="40C993A5" w:rsidRPr="00982B5F" w:rsidRDefault="40C993A5" w:rsidP="00982B5F">
            <w:pPr>
              <w:spacing w:before="120" w:after="120"/>
              <w:jc w:val="right"/>
              <w:rPr>
                <w:sz w:val="16"/>
                <w:szCs w:val="20"/>
              </w:rPr>
            </w:pPr>
            <w:r w:rsidRPr="00982B5F">
              <w:rPr>
                <w:sz w:val="16"/>
                <w:szCs w:val="20"/>
              </w:rPr>
              <w:t>90.4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7961CD9" w14:textId="6A99750D" w:rsidR="40C993A5" w:rsidRPr="00982B5F" w:rsidRDefault="40C993A5" w:rsidP="00982B5F">
            <w:pPr>
              <w:spacing w:before="120" w:after="120"/>
              <w:jc w:val="right"/>
              <w:rPr>
                <w:sz w:val="16"/>
                <w:szCs w:val="20"/>
              </w:rPr>
            </w:pPr>
            <w:r w:rsidRPr="00982B5F">
              <w:rPr>
                <w:sz w:val="16"/>
                <w:szCs w:val="20"/>
              </w:rPr>
              <w:t>25.5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EFEA3A8" w14:textId="0A657E7B" w:rsidR="40C993A5" w:rsidRPr="00982B5F" w:rsidRDefault="40C993A5" w:rsidP="00982B5F">
            <w:pPr>
              <w:spacing w:before="120" w:after="120"/>
              <w:jc w:val="right"/>
              <w:rPr>
                <w:sz w:val="16"/>
                <w:szCs w:val="20"/>
              </w:rPr>
            </w:pPr>
            <w:r w:rsidRPr="00982B5F">
              <w:rPr>
                <w:sz w:val="16"/>
                <w:szCs w:val="20"/>
              </w:rPr>
              <w:t>11.1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0E427EAF" w14:textId="421DAC1A" w:rsidR="40C993A5" w:rsidRPr="00982B5F" w:rsidRDefault="40C993A5" w:rsidP="00982B5F">
            <w:pPr>
              <w:spacing w:before="120" w:after="120"/>
              <w:jc w:val="right"/>
              <w:rPr>
                <w:sz w:val="16"/>
                <w:szCs w:val="20"/>
              </w:rPr>
            </w:pPr>
            <w:r w:rsidRPr="00982B5F">
              <w:rPr>
                <w:sz w:val="16"/>
                <w:szCs w:val="20"/>
              </w:rPr>
              <w:t>55.3</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060EAFA1" w14:textId="24F9C8A5" w:rsidR="40C993A5" w:rsidRPr="00982B5F" w:rsidRDefault="40C993A5" w:rsidP="00982B5F">
            <w:pPr>
              <w:spacing w:before="120" w:after="120"/>
              <w:jc w:val="right"/>
              <w:rPr>
                <w:sz w:val="16"/>
                <w:szCs w:val="16"/>
              </w:rPr>
            </w:pPr>
            <w:r w:rsidRPr="00982B5F">
              <w:rPr>
                <w:sz w:val="16"/>
                <w:szCs w:val="16"/>
              </w:rPr>
              <w:t>91.9</w:t>
            </w:r>
          </w:p>
        </w:tc>
      </w:tr>
      <w:tr w:rsidR="007318C9" w14:paraId="7864212E"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D546896" w14:textId="2B14165F" w:rsidR="40C993A5" w:rsidRPr="00982B5F" w:rsidRDefault="40C993A5" w:rsidP="00982B5F">
            <w:pPr>
              <w:spacing w:before="120" w:after="120"/>
              <w:rPr>
                <w:rFonts w:cs="Arial"/>
                <w:sz w:val="16"/>
                <w:szCs w:val="16"/>
              </w:rPr>
            </w:pPr>
            <w:r w:rsidRPr="00982B5F">
              <w:rPr>
                <w:rFonts w:cs="Arial"/>
                <w:sz w:val="16"/>
                <w:szCs w:val="16"/>
              </w:rPr>
              <w:t xml:space="preserve">SEP2018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A09C705" w14:textId="2E656F71" w:rsidR="40C993A5" w:rsidRPr="00982B5F" w:rsidRDefault="40C993A5" w:rsidP="00982B5F">
            <w:pPr>
              <w:spacing w:before="120" w:after="120"/>
              <w:jc w:val="right"/>
              <w:rPr>
                <w:sz w:val="16"/>
                <w:szCs w:val="20"/>
              </w:rPr>
            </w:pPr>
            <w:r w:rsidRPr="00982B5F">
              <w:rPr>
                <w:sz w:val="16"/>
                <w:szCs w:val="20"/>
              </w:rPr>
              <w:t xml:space="preserve">104.1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01CE54C0" w14:textId="5E616C01" w:rsidR="40C993A5" w:rsidRPr="00982B5F" w:rsidRDefault="40C993A5" w:rsidP="00982B5F">
            <w:pPr>
              <w:spacing w:before="120" w:after="120"/>
              <w:jc w:val="right"/>
              <w:rPr>
                <w:sz w:val="16"/>
                <w:szCs w:val="20"/>
              </w:rPr>
            </w:pPr>
            <w:r w:rsidRPr="00982B5F">
              <w:rPr>
                <w:sz w:val="16"/>
                <w:szCs w:val="20"/>
              </w:rPr>
              <w:t>130.1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37ABF78" w14:textId="1484C3D5" w:rsidR="40C993A5" w:rsidRPr="00982B5F" w:rsidRDefault="40C993A5" w:rsidP="00982B5F">
            <w:pPr>
              <w:spacing w:before="120" w:after="120"/>
              <w:jc w:val="right"/>
              <w:rPr>
                <w:sz w:val="16"/>
                <w:szCs w:val="20"/>
              </w:rPr>
            </w:pPr>
            <w:r w:rsidRPr="00982B5F">
              <w:rPr>
                <w:sz w:val="16"/>
                <w:szCs w:val="20"/>
              </w:rPr>
              <w:t xml:space="preserve">110.2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D829712" w14:textId="4DE011F6" w:rsidR="40C993A5" w:rsidRPr="00982B5F" w:rsidRDefault="40C993A5" w:rsidP="00982B5F">
            <w:pPr>
              <w:spacing w:before="120" w:after="120"/>
              <w:jc w:val="right"/>
              <w:rPr>
                <w:sz w:val="16"/>
                <w:szCs w:val="20"/>
              </w:rPr>
            </w:pPr>
            <w:r w:rsidRPr="00982B5F">
              <w:rPr>
                <w:sz w:val="16"/>
                <w:szCs w:val="20"/>
              </w:rPr>
              <w:t>96.9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13D62C4" w14:textId="3367BDFB" w:rsidR="40C993A5" w:rsidRPr="00982B5F" w:rsidRDefault="40C993A5" w:rsidP="00982B5F">
            <w:pPr>
              <w:spacing w:before="120" w:after="120"/>
              <w:jc w:val="right"/>
              <w:rPr>
                <w:sz w:val="16"/>
                <w:szCs w:val="20"/>
              </w:rPr>
            </w:pPr>
            <w:r w:rsidRPr="00982B5F">
              <w:rPr>
                <w:sz w:val="16"/>
                <w:szCs w:val="20"/>
              </w:rPr>
              <w:t>87.5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CB93471" w14:textId="6A1DA679" w:rsidR="40C993A5" w:rsidRPr="00982B5F" w:rsidRDefault="40C993A5" w:rsidP="00982B5F">
            <w:pPr>
              <w:spacing w:before="120" w:after="120"/>
              <w:jc w:val="right"/>
              <w:rPr>
                <w:sz w:val="16"/>
                <w:szCs w:val="20"/>
              </w:rPr>
            </w:pPr>
            <w:r w:rsidRPr="00982B5F">
              <w:rPr>
                <w:sz w:val="16"/>
                <w:szCs w:val="20"/>
              </w:rPr>
              <w:t>90.8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2F7E2EC" w14:textId="52A97DA2" w:rsidR="40C993A5" w:rsidRPr="00982B5F" w:rsidRDefault="40C993A5" w:rsidP="00982B5F">
            <w:pPr>
              <w:spacing w:before="120" w:after="120"/>
              <w:jc w:val="right"/>
              <w:rPr>
                <w:sz w:val="16"/>
                <w:szCs w:val="20"/>
              </w:rPr>
            </w:pPr>
            <w:r w:rsidRPr="00982B5F">
              <w:rPr>
                <w:sz w:val="16"/>
                <w:szCs w:val="20"/>
              </w:rPr>
              <w:t>25.2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EC15A9D" w14:textId="156BFC4C" w:rsidR="40C993A5" w:rsidRPr="00982B5F" w:rsidRDefault="40C993A5" w:rsidP="00982B5F">
            <w:pPr>
              <w:spacing w:before="120" w:after="120"/>
              <w:jc w:val="right"/>
              <w:rPr>
                <w:sz w:val="16"/>
                <w:szCs w:val="20"/>
              </w:rPr>
            </w:pPr>
            <w:r w:rsidRPr="00982B5F">
              <w:rPr>
                <w:sz w:val="16"/>
                <w:szCs w:val="20"/>
              </w:rPr>
              <w:t>11.2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0B55869D" w14:textId="7811C1F0" w:rsidR="40C993A5" w:rsidRPr="00982B5F" w:rsidRDefault="40C993A5" w:rsidP="00982B5F">
            <w:pPr>
              <w:spacing w:before="120" w:after="120"/>
              <w:jc w:val="right"/>
              <w:rPr>
                <w:sz w:val="16"/>
                <w:szCs w:val="20"/>
              </w:rPr>
            </w:pPr>
            <w:r w:rsidRPr="00982B5F">
              <w:rPr>
                <w:sz w:val="16"/>
                <w:szCs w:val="20"/>
              </w:rPr>
              <w:t>55.6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3CF5F63" w14:textId="5EED9BCD" w:rsidR="40C993A5" w:rsidRPr="00982B5F" w:rsidRDefault="40C993A5" w:rsidP="00982B5F">
            <w:pPr>
              <w:spacing w:before="120" w:after="120"/>
              <w:jc w:val="right"/>
              <w:rPr>
                <w:sz w:val="16"/>
                <w:szCs w:val="16"/>
              </w:rPr>
            </w:pPr>
            <w:r w:rsidRPr="00982B5F">
              <w:rPr>
                <w:sz w:val="16"/>
                <w:szCs w:val="16"/>
              </w:rPr>
              <w:t>92</w:t>
            </w:r>
          </w:p>
        </w:tc>
      </w:tr>
      <w:tr w:rsidR="007318C9" w14:paraId="2D89BF57"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2915C8A" w14:textId="6FD20EA6" w:rsidR="40C993A5" w:rsidRPr="00982B5F" w:rsidRDefault="40C993A5" w:rsidP="00982B5F">
            <w:pPr>
              <w:spacing w:before="120" w:after="120"/>
              <w:rPr>
                <w:rFonts w:cs="Arial"/>
                <w:sz w:val="16"/>
                <w:szCs w:val="16"/>
              </w:rPr>
            </w:pPr>
            <w:r w:rsidRPr="00982B5F">
              <w:rPr>
                <w:rFonts w:cs="Arial"/>
                <w:sz w:val="16"/>
                <w:szCs w:val="16"/>
              </w:rPr>
              <w:t xml:space="preserve">DEC2018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FF05BFD" w14:textId="13CD59D6" w:rsidR="40C993A5" w:rsidRPr="00982B5F" w:rsidRDefault="40C993A5" w:rsidP="00982B5F">
            <w:pPr>
              <w:spacing w:before="120" w:after="120"/>
              <w:jc w:val="right"/>
              <w:rPr>
                <w:sz w:val="16"/>
                <w:szCs w:val="20"/>
              </w:rPr>
            </w:pPr>
            <w:r w:rsidRPr="00982B5F">
              <w:rPr>
                <w:sz w:val="16"/>
                <w:szCs w:val="20"/>
              </w:rPr>
              <w:t xml:space="preserve">102.4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56C95082" w14:textId="7CB5379B" w:rsidR="40C993A5" w:rsidRPr="00982B5F" w:rsidRDefault="40C993A5" w:rsidP="00982B5F">
            <w:pPr>
              <w:spacing w:before="120" w:after="120"/>
              <w:jc w:val="right"/>
              <w:rPr>
                <w:sz w:val="16"/>
                <w:szCs w:val="20"/>
              </w:rPr>
            </w:pPr>
            <w:r w:rsidRPr="00982B5F">
              <w:rPr>
                <w:sz w:val="16"/>
                <w:szCs w:val="20"/>
              </w:rPr>
              <w:t>130.9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EF89D05" w14:textId="6201B4B4" w:rsidR="40C993A5" w:rsidRPr="00982B5F" w:rsidRDefault="40C993A5" w:rsidP="00982B5F">
            <w:pPr>
              <w:spacing w:before="120" w:after="120"/>
              <w:jc w:val="right"/>
              <w:rPr>
                <w:sz w:val="16"/>
                <w:szCs w:val="20"/>
              </w:rPr>
            </w:pPr>
            <w:r w:rsidRPr="00982B5F">
              <w:rPr>
                <w:sz w:val="16"/>
                <w:szCs w:val="20"/>
              </w:rPr>
              <w:t xml:space="preserve">110.5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39FA1B5" w14:textId="513FC555" w:rsidR="40C993A5" w:rsidRPr="00982B5F" w:rsidRDefault="40C993A5" w:rsidP="00982B5F">
            <w:pPr>
              <w:spacing w:before="120" w:after="120"/>
              <w:jc w:val="right"/>
              <w:rPr>
                <w:sz w:val="16"/>
                <w:szCs w:val="20"/>
              </w:rPr>
            </w:pPr>
            <w:r w:rsidRPr="00982B5F">
              <w:rPr>
                <w:sz w:val="16"/>
                <w:szCs w:val="20"/>
              </w:rPr>
              <w:t>95.3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3525682" w14:textId="33F0B2B2" w:rsidR="40C993A5" w:rsidRPr="00982B5F" w:rsidRDefault="40C993A5" w:rsidP="00982B5F">
            <w:pPr>
              <w:spacing w:before="120" w:after="120"/>
              <w:jc w:val="right"/>
              <w:rPr>
                <w:sz w:val="16"/>
                <w:szCs w:val="20"/>
              </w:rPr>
            </w:pPr>
            <w:r w:rsidRPr="00982B5F">
              <w:rPr>
                <w:sz w:val="16"/>
                <w:szCs w:val="20"/>
              </w:rPr>
              <w:t>88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A20C563" w14:textId="12599E64" w:rsidR="40C993A5" w:rsidRPr="00982B5F" w:rsidRDefault="40C993A5" w:rsidP="00982B5F">
            <w:pPr>
              <w:spacing w:before="120" w:after="120"/>
              <w:jc w:val="right"/>
              <w:rPr>
                <w:sz w:val="16"/>
                <w:szCs w:val="20"/>
              </w:rPr>
            </w:pPr>
            <w:r w:rsidRPr="00982B5F">
              <w:rPr>
                <w:sz w:val="16"/>
                <w:szCs w:val="20"/>
              </w:rPr>
              <w:t>91.1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24503AE" w14:textId="60356CC0" w:rsidR="40C993A5" w:rsidRPr="00982B5F" w:rsidRDefault="40C993A5" w:rsidP="00982B5F">
            <w:pPr>
              <w:spacing w:before="120" w:after="120"/>
              <w:jc w:val="right"/>
              <w:rPr>
                <w:sz w:val="16"/>
                <w:szCs w:val="20"/>
              </w:rPr>
            </w:pPr>
            <w:r w:rsidRPr="00982B5F">
              <w:rPr>
                <w:sz w:val="16"/>
                <w:szCs w:val="20"/>
              </w:rPr>
              <w:t>24.8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EAA2F75" w14:textId="4496088D" w:rsidR="40C993A5" w:rsidRPr="00982B5F" w:rsidRDefault="40C993A5" w:rsidP="00982B5F">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3EC06D62" w14:textId="4ADBA3C3" w:rsidR="40C993A5" w:rsidRPr="00982B5F" w:rsidRDefault="40C993A5" w:rsidP="00982B5F">
            <w:pPr>
              <w:spacing w:before="120" w:after="120"/>
              <w:jc w:val="right"/>
              <w:rPr>
                <w:sz w:val="16"/>
                <w:szCs w:val="20"/>
              </w:rPr>
            </w:pPr>
            <w:r w:rsidRPr="00982B5F">
              <w:rPr>
                <w:sz w:val="16"/>
                <w:szCs w:val="20"/>
              </w:rPr>
              <w:t>55.7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255C4C79" w14:textId="6F31B084" w:rsidR="40C993A5" w:rsidRPr="00982B5F" w:rsidRDefault="40C993A5" w:rsidP="00982B5F">
            <w:pPr>
              <w:spacing w:before="120" w:after="120"/>
              <w:jc w:val="right"/>
              <w:rPr>
                <w:sz w:val="16"/>
                <w:szCs w:val="16"/>
              </w:rPr>
            </w:pPr>
            <w:r w:rsidRPr="00982B5F">
              <w:rPr>
                <w:sz w:val="16"/>
                <w:szCs w:val="16"/>
              </w:rPr>
              <w:t>91.8</w:t>
            </w:r>
          </w:p>
        </w:tc>
      </w:tr>
      <w:tr w:rsidR="007318C9" w14:paraId="248864E3"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541EE11A" w14:textId="75E0AAF9" w:rsidR="40C993A5" w:rsidRPr="00982B5F" w:rsidRDefault="40C993A5" w:rsidP="00982B5F">
            <w:pPr>
              <w:spacing w:before="120" w:after="120"/>
              <w:rPr>
                <w:rFonts w:cs="Arial"/>
                <w:sz w:val="16"/>
                <w:szCs w:val="16"/>
              </w:rPr>
            </w:pPr>
            <w:r w:rsidRPr="00982B5F">
              <w:rPr>
                <w:rFonts w:cs="Arial"/>
                <w:sz w:val="16"/>
                <w:szCs w:val="16"/>
              </w:rPr>
              <w:t xml:space="preserve">MAR2019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A5550F9" w14:textId="786DB201" w:rsidR="40C993A5" w:rsidRPr="00982B5F" w:rsidRDefault="40C993A5" w:rsidP="00982B5F">
            <w:pPr>
              <w:spacing w:before="120" w:after="120"/>
              <w:jc w:val="right"/>
              <w:rPr>
                <w:sz w:val="16"/>
                <w:szCs w:val="20"/>
              </w:rPr>
            </w:pPr>
            <w:r w:rsidRPr="00982B5F">
              <w:rPr>
                <w:sz w:val="16"/>
                <w:szCs w:val="20"/>
              </w:rPr>
              <w:t xml:space="preserve">106.8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0441AE26" w14:textId="7EC9ECD4" w:rsidR="40C993A5" w:rsidRPr="00982B5F" w:rsidRDefault="40C993A5" w:rsidP="00982B5F">
            <w:pPr>
              <w:spacing w:before="120" w:after="120"/>
              <w:jc w:val="right"/>
              <w:rPr>
                <w:sz w:val="16"/>
                <w:szCs w:val="20"/>
              </w:rPr>
            </w:pPr>
            <w:r w:rsidRPr="00982B5F">
              <w:rPr>
                <w:sz w:val="16"/>
                <w:szCs w:val="20"/>
              </w:rPr>
              <w:t>130.5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F168B03" w14:textId="066F95ED" w:rsidR="40C993A5" w:rsidRPr="00982B5F" w:rsidRDefault="40C993A5" w:rsidP="00982B5F">
            <w:pPr>
              <w:spacing w:before="120" w:after="120"/>
              <w:jc w:val="right"/>
              <w:rPr>
                <w:sz w:val="16"/>
                <w:szCs w:val="20"/>
              </w:rPr>
            </w:pPr>
            <w:r w:rsidRPr="00982B5F">
              <w:rPr>
                <w:sz w:val="16"/>
                <w:szCs w:val="20"/>
              </w:rPr>
              <w:t xml:space="preserve">110.3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B652D63" w14:textId="3AD494D4" w:rsidR="40C993A5" w:rsidRPr="00982B5F" w:rsidRDefault="40C993A5" w:rsidP="00982B5F">
            <w:pPr>
              <w:spacing w:before="120" w:after="120"/>
              <w:jc w:val="right"/>
              <w:rPr>
                <w:sz w:val="16"/>
                <w:szCs w:val="20"/>
              </w:rPr>
            </w:pPr>
            <w:r w:rsidRPr="00982B5F">
              <w:rPr>
                <w:sz w:val="16"/>
                <w:szCs w:val="20"/>
              </w:rPr>
              <w:t>99.4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4A268BB" w14:textId="5E704BF5" w:rsidR="40C993A5" w:rsidRPr="00982B5F" w:rsidRDefault="40C993A5" w:rsidP="00982B5F">
            <w:pPr>
              <w:spacing w:before="120" w:after="120"/>
              <w:jc w:val="right"/>
              <w:rPr>
                <w:sz w:val="16"/>
                <w:szCs w:val="20"/>
              </w:rPr>
            </w:pPr>
            <w:r w:rsidRPr="00982B5F">
              <w:rPr>
                <w:sz w:val="16"/>
                <w:szCs w:val="20"/>
              </w:rPr>
              <w:t>87.8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E6FD1E8" w14:textId="4361C861" w:rsidR="40C993A5" w:rsidRPr="00982B5F" w:rsidRDefault="40C993A5" w:rsidP="00982B5F">
            <w:pPr>
              <w:spacing w:before="120" w:after="120"/>
              <w:jc w:val="right"/>
              <w:rPr>
                <w:sz w:val="16"/>
                <w:szCs w:val="20"/>
              </w:rPr>
            </w:pPr>
            <w:r w:rsidRPr="00982B5F">
              <w:rPr>
                <w:sz w:val="16"/>
                <w:szCs w:val="20"/>
              </w:rPr>
              <w:t>90.9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D8A2377" w14:textId="3194897B" w:rsidR="40C993A5" w:rsidRPr="00982B5F" w:rsidRDefault="40C993A5" w:rsidP="00982B5F">
            <w:pPr>
              <w:spacing w:before="120" w:after="120"/>
              <w:jc w:val="right"/>
              <w:rPr>
                <w:sz w:val="16"/>
                <w:szCs w:val="20"/>
              </w:rPr>
            </w:pPr>
            <w:r w:rsidRPr="00982B5F">
              <w:rPr>
                <w:sz w:val="16"/>
                <w:szCs w:val="20"/>
              </w:rPr>
              <w:t>25.9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160DA2F" w14:textId="237FCA9A" w:rsidR="40C993A5" w:rsidRPr="00982B5F" w:rsidRDefault="40C993A5" w:rsidP="00982B5F">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6A38E585" w14:textId="657FF1DF" w:rsidR="40C993A5" w:rsidRPr="00982B5F" w:rsidRDefault="40C993A5" w:rsidP="00982B5F">
            <w:pPr>
              <w:spacing w:before="120" w:after="120"/>
              <w:jc w:val="right"/>
              <w:rPr>
                <w:sz w:val="16"/>
                <w:szCs w:val="20"/>
              </w:rPr>
            </w:pPr>
            <w:r w:rsidRPr="00982B5F">
              <w:rPr>
                <w:sz w:val="16"/>
                <w:szCs w:val="20"/>
              </w:rPr>
              <w:t>55.6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72F7B12" w14:textId="2341D2DE" w:rsidR="40C993A5" w:rsidRPr="00982B5F" w:rsidRDefault="40C993A5" w:rsidP="00982B5F">
            <w:pPr>
              <w:spacing w:before="120" w:after="120"/>
              <w:jc w:val="right"/>
              <w:rPr>
                <w:sz w:val="16"/>
                <w:szCs w:val="16"/>
              </w:rPr>
            </w:pPr>
            <w:r w:rsidRPr="00982B5F">
              <w:rPr>
                <w:sz w:val="16"/>
                <w:szCs w:val="16"/>
              </w:rPr>
              <w:t>92.7</w:t>
            </w:r>
          </w:p>
        </w:tc>
      </w:tr>
      <w:tr w:rsidR="007318C9" w14:paraId="063E8E1F"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076CBD3" w14:textId="2B747705" w:rsidR="40C993A5" w:rsidRPr="00982B5F" w:rsidRDefault="40C993A5" w:rsidP="00982B5F">
            <w:pPr>
              <w:spacing w:before="120" w:after="120"/>
              <w:rPr>
                <w:rFonts w:cs="Arial"/>
                <w:sz w:val="16"/>
                <w:szCs w:val="16"/>
              </w:rPr>
            </w:pPr>
            <w:r w:rsidRPr="00982B5F">
              <w:rPr>
                <w:rFonts w:cs="Arial"/>
                <w:sz w:val="16"/>
                <w:szCs w:val="16"/>
              </w:rPr>
              <w:t xml:space="preserve">JUN2019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F52D43E" w14:textId="5C917370" w:rsidR="40C993A5" w:rsidRPr="00982B5F" w:rsidRDefault="40C993A5" w:rsidP="00982B5F">
            <w:pPr>
              <w:spacing w:before="120" w:after="120"/>
              <w:jc w:val="right"/>
              <w:rPr>
                <w:sz w:val="16"/>
                <w:szCs w:val="20"/>
              </w:rPr>
            </w:pPr>
            <w:r w:rsidRPr="00982B5F">
              <w:rPr>
                <w:sz w:val="16"/>
                <w:szCs w:val="20"/>
              </w:rPr>
              <w:t xml:space="preserve">106.6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31F6E427" w14:textId="1116BA3F" w:rsidR="40C993A5" w:rsidRPr="00982B5F" w:rsidRDefault="40C993A5" w:rsidP="00982B5F">
            <w:pPr>
              <w:spacing w:before="120" w:after="120"/>
              <w:jc w:val="right"/>
              <w:rPr>
                <w:sz w:val="16"/>
                <w:szCs w:val="20"/>
              </w:rPr>
            </w:pPr>
            <w:r w:rsidRPr="00982B5F">
              <w:rPr>
                <w:sz w:val="16"/>
                <w:szCs w:val="20"/>
              </w:rPr>
              <w:t>130.6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6CE8471" w14:textId="1283817C" w:rsidR="40C993A5" w:rsidRPr="00982B5F" w:rsidRDefault="40C993A5" w:rsidP="00982B5F">
            <w:pPr>
              <w:spacing w:before="120" w:after="120"/>
              <w:jc w:val="right"/>
              <w:rPr>
                <w:sz w:val="16"/>
                <w:szCs w:val="20"/>
              </w:rPr>
            </w:pPr>
            <w:r w:rsidRPr="00982B5F">
              <w:rPr>
                <w:sz w:val="16"/>
                <w:szCs w:val="20"/>
              </w:rPr>
              <w:t xml:space="preserve">110.7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05EEABE" w14:textId="225FF9A2" w:rsidR="40C993A5" w:rsidRPr="00982B5F" w:rsidRDefault="40C993A5" w:rsidP="00982B5F">
            <w:pPr>
              <w:spacing w:before="120" w:after="120"/>
              <w:jc w:val="right"/>
              <w:rPr>
                <w:sz w:val="16"/>
                <w:szCs w:val="20"/>
              </w:rPr>
            </w:pPr>
            <w:r w:rsidRPr="00982B5F">
              <w:rPr>
                <w:sz w:val="16"/>
                <w:szCs w:val="20"/>
              </w:rPr>
              <w:t>99.3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9923D11" w14:textId="04D528BB" w:rsidR="40C993A5" w:rsidRPr="00982B5F" w:rsidRDefault="40C993A5" w:rsidP="00982B5F">
            <w:pPr>
              <w:spacing w:before="120" w:after="120"/>
              <w:jc w:val="right"/>
              <w:rPr>
                <w:sz w:val="16"/>
                <w:szCs w:val="20"/>
              </w:rPr>
            </w:pPr>
            <w:r w:rsidRPr="00982B5F">
              <w:rPr>
                <w:sz w:val="16"/>
                <w:szCs w:val="20"/>
              </w:rPr>
              <w:t>87.8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2A8806A" w14:textId="5D999A7C" w:rsidR="40C993A5" w:rsidRPr="00982B5F" w:rsidRDefault="40C993A5" w:rsidP="00982B5F">
            <w:pPr>
              <w:spacing w:before="120" w:after="120"/>
              <w:jc w:val="right"/>
              <w:rPr>
                <w:sz w:val="16"/>
                <w:szCs w:val="20"/>
              </w:rPr>
            </w:pPr>
            <w:r w:rsidRPr="00982B5F">
              <w:rPr>
                <w:sz w:val="16"/>
                <w:szCs w:val="20"/>
              </w:rPr>
              <w:t>91.3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A232541" w14:textId="1256A862" w:rsidR="40C993A5" w:rsidRPr="00982B5F" w:rsidRDefault="40C993A5" w:rsidP="00982B5F">
            <w:pPr>
              <w:spacing w:before="120" w:after="120"/>
              <w:jc w:val="right"/>
              <w:rPr>
                <w:sz w:val="16"/>
                <w:szCs w:val="20"/>
              </w:rPr>
            </w:pPr>
            <w:r w:rsidRPr="00982B5F">
              <w:rPr>
                <w:sz w:val="16"/>
                <w:szCs w:val="20"/>
              </w:rPr>
              <w:t>25.8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46DD6CF" w14:textId="7A46CCA5" w:rsidR="40C993A5" w:rsidRPr="00982B5F" w:rsidRDefault="40C993A5" w:rsidP="00982B5F">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19FEDD97" w14:textId="217EFE6B" w:rsidR="40C993A5" w:rsidRPr="00982B5F" w:rsidRDefault="40C993A5" w:rsidP="00982B5F">
            <w:pPr>
              <w:spacing w:before="120" w:after="120"/>
              <w:jc w:val="right"/>
              <w:rPr>
                <w:sz w:val="16"/>
                <w:szCs w:val="20"/>
              </w:rPr>
            </w:pPr>
            <w:r w:rsidRPr="00982B5F">
              <w:rPr>
                <w:sz w:val="16"/>
                <w:szCs w:val="20"/>
              </w:rPr>
              <w:t>55.8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067F56C" w14:textId="57B727B1" w:rsidR="40C993A5" w:rsidRPr="00982B5F" w:rsidRDefault="40C993A5" w:rsidP="00982B5F">
            <w:pPr>
              <w:spacing w:before="120" w:after="120"/>
              <w:jc w:val="right"/>
              <w:rPr>
                <w:sz w:val="16"/>
                <w:szCs w:val="16"/>
              </w:rPr>
            </w:pPr>
            <w:r w:rsidRPr="00982B5F">
              <w:rPr>
                <w:sz w:val="16"/>
                <w:szCs w:val="16"/>
              </w:rPr>
              <w:t>92.9</w:t>
            </w:r>
          </w:p>
        </w:tc>
      </w:tr>
      <w:tr w:rsidR="007318C9" w14:paraId="7A94E2B0"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36EACEB6" w14:textId="7D2205B8" w:rsidR="40C993A5" w:rsidRPr="00982B5F" w:rsidRDefault="40C993A5" w:rsidP="00982B5F">
            <w:pPr>
              <w:spacing w:before="120" w:after="120"/>
              <w:rPr>
                <w:rFonts w:cs="Arial"/>
                <w:sz w:val="16"/>
                <w:szCs w:val="16"/>
              </w:rPr>
            </w:pPr>
            <w:r w:rsidRPr="00982B5F">
              <w:rPr>
                <w:rFonts w:cs="Arial"/>
                <w:sz w:val="16"/>
                <w:szCs w:val="16"/>
              </w:rPr>
              <w:t xml:space="preserve">SEP2019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30CC362" w14:textId="770EB2FA" w:rsidR="40C993A5" w:rsidRPr="00982B5F" w:rsidRDefault="40C993A5" w:rsidP="00982B5F">
            <w:pPr>
              <w:spacing w:before="120" w:after="120"/>
              <w:jc w:val="right"/>
              <w:rPr>
                <w:sz w:val="16"/>
                <w:szCs w:val="20"/>
              </w:rPr>
            </w:pPr>
            <w:r w:rsidRPr="00982B5F">
              <w:rPr>
                <w:sz w:val="16"/>
                <w:szCs w:val="20"/>
              </w:rPr>
              <w:t xml:space="preserve">105.7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591AA603" w14:textId="3FD4B411" w:rsidR="40C993A5" w:rsidRPr="00982B5F" w:rsidRDefault="40C993A5" w:rsidP="00982B5F">
            <w:pPr>
              <w:spacing w:before="120" w:after="120"/>
              <w:jc w:val="right"/>
              <w:rPr>
                <w:sz w:val="16"/>
                <w:szCs w:val="20"/>
              </w:rPr>
            </w:pPr>
            <w:r w:rsidRPr="00982B5F">
              <w:rPr>
                <w:sz w:val="16"/>
                <w:szCs w:val="20"/>
              </w:rPr>
              <w:t>131.3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CFD0D49" w14:textId="2C88EB95" w:rsidR="40C993A5" w:rsidRPr="00982B5F" w:rsidRDefault="40C993A5" w:rsidP="00982B5F">
            <w:pPr>
              <w:spacing w:before="120" w:after="120"/>
              <w:jc w:val="right"/>
              <w:rPr>
                <w:sz w:val="16"/>
                <w:szCs w:val="20"/>
              </w:rPr>
            </w:pPr>
            <w:r w:rsidRPr="00982B5F">
              <w:rPr>
                <w:sz w:val="16"/>
                <w:szCs w:val="20"/>
              </w:rPr>
              <w:t xml:space="preserve">111.0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1ECB51A" w14:textId="547C5F8A" w:rsidR="40C993A5" w:rsidRPr="00982B5F" w:rsidRDefault="40C993A5" w:rsidP="00982B5F">
            <w:pPr>
              <w:spacing w:before="120" w:after="120"/>
              <w:jc w:val="right"/>
              <w:rPr>
                <w:sz w:val="16"/>
                <w:szCs w:val="20"/>
              </w:rPr>
            </w:pPr>
            <w:r w:rsidRPr="00982B5F">
              <w:rPr>
                <w:sz w:val="16"/>
                <w:szCs w:val="20"/>
              </w:rPr>
              <w:t>98.4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3762DCF" w14:textId="5CF419D6" w:rsidR="40C993A5" w:rsidRPr="00982B5F" w:rsidRDefault="40C993A5" w:rsidP="00982B5F">
            <w:pPr>
              <w:spacing w:before="120" w:after="120"/>
              <w:jc w:val="right"/>
              <w:rPr>
                <w:sz w:val="16"/>
                <w:szCs w:val="20"/>
              </w:rPr>
            </w:pPr>
            <w:r w:rsidRPr="00982B5F">
              <w:rPr>
                <w:sz w:val="16"/>
                <w:szCs w:val="20"/>
              </w:rPr>
              <w:t>88.3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9979B45" w14:textId="091B20B4" w:rsidR="40C993A5" w:rsidRPr="00982B5F" w:rsidRDefault="40C993A5" w:rsidP="00982B5F">
            <w:pPr>
              <w:spacing w:before="120" w:after="120"/>
              <w:jc w:val="right"/>
              <w:rPr>
                <w:sz w:val="16"/>
                <w:szCs w:val="20"/>
              </w:rPr>
            </w:pPr>
            <w:r w:rsidRPr="00982B5F">
              <w:rPr>
                <w:sz w:val="16"/>
                <w:szCs w:val="20"/>
              </w:rPr>
              <w:t>91.5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F903ED5" w14:textId="3C41ADFC" w:rsidR="40C993A5" w:rsidRPr="00982B5F" w:rsidRDefault="40C993A5" w:rsidP="00982B5F">
            <w:pPr>
              <w:spacing w:before="120" w:after="120"/>
              <w:jc w:val="right"/>
              <w:rPr>
                <w:sz w:val="16"/>
                <w:szCs w:val="20"/>
              </w:rPr>
            </w:pPr>
            <w:r w:rsidRPr="00982B5F">
              <w:rPr>
                <w:sz w:val="16"/>
                <w:szCs w:val="20"/>
              </w:rPr>
              <w:t>25.6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205554E" w14:textId="22C55642" w:rsidR="40C993A5" w:rsidRPr="00982B5F" w:rsidRDefault="40C993A5" w:rsidP="00982B5F">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057BEDCF" w14:textId="58B7923E" w:rsidR="40C993A5" w:rsidRPr="00982B5F" w:rsidRDefault="40C993A5" w:rsidP="00982B5F">
            <w:pPr>
              <w:spacing w:before="120" w:after="120"/>
              <w:jc w:val="right"/>
              <w:rPr>
                <w:sz w:val="16"/>
                <w:szCs w:val="20"/>
              </w:rPr>
            </w:pPr>
            <w:r w:rsidRPr="00982B5F">
              <w:rPr>
                <w:sz w:val="16"/>
                <w:szCs w:val="20"/>
              </w:rPr>
              <w:t>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55E8FB22" w14:textId="19FF9847" w:rsidR="40C993A5" w:rsidRPr="00982B5F" w:rsidRDefault="40C993A5" w:rsidP="00982B5F">
            <w:pPr>
              <w:spacing w:before="120" w:after="120"/>
              <w:jc w:val="right"/>
              <w:rPr>
                <w:sz w:val="16"/>
                <w:szCs w:val="16"/>
              </w:rPr>
            </w:pPr>
            <w:r w:rsidRPr="00982B5F">
              <w:rPr>
                <w:sz w:val="16"/>
                <w:szCs w:val="16"/>
              </w:rPr>
              <w:t>92.9</w:t>
            </w:r>
          </w:p>
        </w:tc>
      </w:tr>
      <w:tr w:rsidR="007318C9" w14:paraId="09943FEB"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EC66C55" w14:textId="7EEF8B65" w:rsidR="40C993A5" w:rsidRPr="00982B5F" w:rsidRDefault="40C993A5" w:rsidP="00982B5F">
            <w:pPr>
              <w:spacing w:before="120" w:after="120"/>
              <w:rPr>
                <w:rFonts w:cs="Arial"/>
                <w:sz w:val="16"/>
                <w:szCs w:val="16"/>
              </w:rPr>
            </w:pPr>
            <w:r w:rsidRPr="00982B5F">
              <w:rPr>
                <w:rFonts w:cs="Arial"/>
                <w:sz w:val="16"/>
                <w:szCs w:val="16"/>
              </w:rPr>
              <w:t xml:space="preserve">DEC2019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2C381984" w14:textId="0E2BF8D0" w:rsidR="40C993A5" w:rsidRPr="00982B5F" w:rsidRDefault="40C993A5" w:rsidP="00982B5F">
            <w:pPr>
              <w:spacing w:before="120" w:after="120"/>
              <w:jc w:val="right"/>
              <w:rPr>
                <w:sz w:val="16"/>
                <w:szCs w:val="20"/>
              </w:rPr>
            </w:pPr>
            <w:r w:rsidRPr="00982B5F">
              <w:rPr>
                <w:sz w:val="16"/>
                <w:szCs w:val="20"/>
              </w:rPr>
              <w:t xml:space="preserve">104.4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6E686A7A" w14:textId="6A2E74EA" w:rsidR="40C993A5" w:rsidRPr="00982B5F" w:rsidRDefault="40C993A5" w:rsidP="00982B5F">
            <w:pPr>
              <w:spacing w:before="120" w:after="120"/>
              <w:jc w:val="right"/>
              <w:rPr>
                <w:sz w:val="16"/>
                <w:szCs w:val="20"/>
              </w:rPr>
            </w:pPr>
            <w:r w:rsidRPr="00982B5F">
              <w:rPr>
                <w:sz w:val="16"/>
                <w:szCs w:val="20"/>
              </w:rPr>
              <w:t>131.8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89ABF21" w14:textId="2238FAE4" w:rsidR="40C993A5" w:rsidRPr="00982B5F" w:rsidRDefault="40C993A5" w:rsidP="00982B5F">
            <w:pPr>
              <w:spacing w:before="120" w:after="120"/>
              <w:jc w:val="right"/>
              <w:rPr>
                <w:sz w:val="16"/>
                <w:szCs w:val="20"/>
              </w:rPr>
            </w:pPr>
            <w:r w:rsidRPr="00982B5F">
              <w:rPr>
                <w:sz w:val="16"/>
                <w:szCs w:val="20"/>
              </w:rPr>
              <w:t xml:space="preserve">111.4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78E680A" w14:textId="612F261D" w:rsidR="40C993A5" w:rsidRPr="00982B5F" w:rsidRDefault="40C993A5" w:rsidP="00982B5F">
            <w:pPr>
              <w:spacing w:before="120" w:after="120"/>
              <w:jc w:val="right"/>
              <w:rPr>
                <w:sz w:val="16"/>
                <w:szCs w:val="20"/>
              </w:rPr>
            </w:pPr>
            <w:r w:rsidRPr="00982B5F">
              <w:rPr>
                <w:sz w:val="16"/>
                <w:szCs w:val="20"/>
              </w:rPr>
              <w:t>97.2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6925823" w14:textId="31D49B39" w:rsidR="40C993A5" w:rsidRPr="00982B5F" w:rsidRDefault="40C993A5" w:rsidP="00982B5F">
            <w:pPr>
              <w:spacing w:before="120" w:after="120"/>
              <w:jc w:val="right"/>
              <w:rPr>
                <w:sz w:val="16"/>
                <w:szCs w:val="20"/>
              </w:rPr>
            </w:pPr>
            <w:r w:rsidRPr="00982B5F">
              <w:rPr>
                <w:sz w:val="16"/>
                <w:szCs w:val="20"/>
              </w:rPr>
              <w:t>88.6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FDC1BED" w14:textId="055140C5" w:rsidR="40C993A5" w:rsidRPr="00982B5F" w:rsidRDefault="40C993A5" w:rsidP="00982B5F">
            <w:pPr>
              <w:spacing w:before="120" w:after="120"/>
              <w:jc w:val="right"/>
              <w:rPr>
                <w:sz w:val="16"/>
                <w:szCs w:val="20"/>
              </w:rPr>
            </w:pPr>
            <w:r w:rsidRPr="00982B5F">
              <w:rPr>
                <w:sz w:val="16"/>
                <w:szCs w:val="20"/>
              </w:rPr>
              <w:t>91.8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D9966D0" w14:textId="16512A0D" w:rsidR="40C993A5" w:rsidRPr="00982B5F" w:rsidRDefault="40C993A5" w:rsidP="00982B5F">
            <w:pPr>
              <w:spacing w:before="120" w:after="120"/>
              <w:jc w:val="right"/>
              <w:rPr>
                <w:sz w:val="16"/>
                <w:szCs w:val="20"/>
              </w:rPr>
            </w:pPr>
            <w:r w:rsidRPr="00982B5F">
              <w:rPr>
                <w:sz w:val="16"/>
                <w:szCs w:val="20"/>
              </w:rPr>
              <w:t>25.3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4FA8F19" w14:textId="02097124" w:rsidR="40C993A5" w:rsidRPr="00982B5F" w:rsidRDefault="40C993A5" w:rsidP="00982B5F">
            <w:pPr>
              <w:spacing w:before="120" w:after="120"/>
              <w:jc w:val="right"/>
              <w:rPr>
                <w:sz w:val="16"/>
                <w:szCs w:val="20"/>
              </w:rPr>
            </w:pPr>
            <w:r w:rsidRPr="00982B5F">
              <w:rPr>
                <w:sz w:val="16"/>
                <w:szCs w:val="20"/>
              </w:rPr>
              <w:t>11.4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2901BF4B" w14:textId="214E9FEB" w:rsidR="40C993A5" w:rsidRPr="00982B5F" w:rsidRDefault="40C993A5" w:rsidP="00982B5F">
            <w:pPr>
              <w:spacing w:before="120" w:after="120"/>
              <w:jc w:val="right"/>
              <w:rPr>
                <w:sz w:val="16"/>
                <w:szCs w:val="20"/>
              </w:rPr>
            </w:pPr>
            <w:r w:rsidRPr="00982B5F">
              <w:rPr>
                <w:sz w:val="16"/>
                <w:szCs w:val="20"/>
              </w:rPr>
              <w:t>56.2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5B0C201" w14:textId="4964D70F" w:rsidR="40C993A5" w:rsidRPr="00982B5F" w:rsidRDefault="40C993A5" w:rsidP="00982B5F">
            <w:pPr>
              <w:spacing w:before="120" w:after="120"/>
              <w:jc w:val="right"/>
              <w:rPr>
                <w:sz w:val="16"/>
                <w:szCs w:val="16"/>
              </w:rPr>
            </w:pPr>
            <w:r w:rsidRPr="00982B5F">
              <w:rPr>
                <w:sz w:val="16"/>
                <w:szCs w:val="16"/>
              </w:rPr>
              <w:t>92.8</w:t>
            </w:r>
          </w:p>
        </w:tc>
      </w:tr>
      <w:tr w:rsidR="007318C9" w14:paraId="68A52137"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3E6650C" w14:textId="7ABDA0FB" w:rsidR="40C993A5" w:rsidRPr="00982B5F" w:rsidRDefault="40C993A5" w:rsidP="00982B5F">
            <w:pPr>
              <w:spacing w:before="120" w:after="120"/>
              <w:rPr>
                <w:rFonts w:cs="Arial"/>
                <w:sz w:val="16"/>
                <w:szCs w:val="16"/>
              </w:rPr>
            </w:pPr>
            <w:r w:rsidRPr="00982B5F">
              <w:rPr>
                <w:rFonts w:cs="Arial"/>
                <w:sz w:val="16"/>
                <w:szCs w:val="16"/>
              </w:rPr>
              <w:t xml:space="preserve">MAR2020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D1E9889" w14:textId="691B0182" w:rsidR="40C993A5" w:rsidRPr="00982B5F" w:rsidRDefault="40C993A5" w:rsidP="00982B5F">
            <w:pPr>
              <w:spacing w:before="120" w:after="120"/>
              <w:jc w:val="right"/>
              <w:rPr>
                <w:sz w:val="16"/>
                <w:szCs w:val="20"/>
              </w:rPr>
            </w:pPr>
            <w:r w:rsidRPr="00982B5F">
              <w:rPr>
                <w:sz w:val="16"/>
                <w:szCs w:val="20"/>
              </w:rPr>
              <w:t xml:space="preserve">109.1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204DC490" w14:textId="03734672" w:rsidR="40C993A5" w:rsidRPr="00982B5F" w:rsidRDefault="40C993A5" w:rsidP="00982B5F">
            <w:pPr>
              <w:spacing w:before="120" w:after="120"/>
              <w:jc w:val="right"/>
              <w:rPr>
                <w:sz w:val="16"/>
                <w:szCs w:val="20"/>
              </w:rPr>
            </w:pPr>
            <w:r w:rsidRPr="00982B5F">
              <w:rPr>
                <w:sz w:val="16"/>
                <w:szCs w:val="20"/>
              </w:rPr>
              <w:t>132.7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DF36CB" w14:textId="2C45CB6B" w:rsidR="40C993A5" w:rsidRPr="00982B5F" w:rsidRDefault="40C993A5" w:rsidP="00982B5F">
            <w:pPr>
              <w:spacing w:before="120" w:after="120"/>
              <w:jc w:val="right"/>
              <w:rPr>
                <w:sz w:val="16"/>
                <w:szCs w:val="20"/>
              </w:rPr>
            </w:pPr>
            <w:r w:rsidRPr="00982B5F">
              <w:rPr>
                <w:sz w:val="16"/>
                <w:szCs w:val="20"/>
              </w:rPr>
              <w:t xml:space="preserve">112.1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B2F2B50" w14:textId="519C8D0E" w:rsidR="40C993A5" w:rsidRPr="00982B5F" w:rsidRDefault="40C993A5" w:rsidP="00982B5F">
            <w:pPr>
              <w:spacing w:before="120" w:after="120"/>
              <w:jc w:val="right"/>
              <w:rPr>
                <w:sz w:val="16"/>
                <w:szCs w:val="20"/>
              </w:rPr>
            </w:pPr>
            <w:r w:rsidRPr="00982B5F">
              <w:rPr>
                <w:sz w:val="16"/>
                <w:szCs w:val="20"/>
              </w:rPr>
              <w:t>101.6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7159642" w14:textId="4EA0078C" w:rsidR="40C993A5" w:rsidRPr="00982B5F" w:rsidRDefault="40C993A5" w:rsidP="00982B5F">
            <w:pPr>
              <w:spacing w:before="120" w:after="120"/>
              <w:jc w:val="right"/>
              <w:rPr>
                <w:sz w:val="16"/>
                <w:szCs w:val="20"/>
              </w:rPr>
            </w:pPr>
            <w:r w:rsidRPr="00982B5F">
              <w:rPr>
                <w:sz w:val="16"/>
                <w:szCs w:val="20"/>
              </w:rPr>
              <w:t>89.2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5952DF8" w14:textId="19A430CD" w:rsidR="40C993A5" w:rsidRPr="00982B5F" w:rsidRDefault="40C993A5" w:rsidP="00982B5F">
            <w:pPr>
              <w:spacing w:before="120" w:after="120"/>
              <w:jc w:val="right"/>
              <w:rPr>
                <w:sz w:val="16"/>
                <w:szCs w:val="20"/>
              </w:rPr>
            </w:pPr>
            <w:r w:rsidRPr="00982B5F">
              <w:rPr>
                <w:sz w:val="16"/>
                <w:szCs w:val="20"/>
              </w:rPr>
              <w:t>92.4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50DF493" w14:textId="766351C6" w:rsidR="40C993A5" w:rsidRPr="00982B5F" w:rsidRDefault="40C993A5" w:rsidP="00982B5F">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06978FA" w14:textId="26F2E659" w:rsidR="40C993A5" w:rsidRPr="00982B5F" w:rsidRDefault="40C993A5" w:rsidP="00982B5F">
            <w:pPr>
              <w:spacing w:before="120" w:after="120"/>
              <w:jc w:val="right"/>
              <w:rPr>
                <w:sz w:val="16"/>
                <w:szCs w:val="20"/>
              </w:rPr>
            </w:pPr>
            <w:r w:rsidRPr="00982B5F">
              <w:rPr>
                <w:sz w:val="16"/>
                <w:szCs w:val="20"/>
              </w:rPr>
              <w:t>11.4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6F0C5ACC" w14:textId="498B39A9" w:rsidR="40C993A5" w:rsidRPr="00982B5F" w:rsidRDefault="40C993A5" w:rsidP="00982B5F">
            <w:pPr>
              <w:spacing w:before="120" w:after="120"/>
              <w:jc w:val="right"/>
              <w:rPr>
                <w:sz w:val="16"/>
                <w:szCs w:val="20"/>
              </w:rPr>
            </w:pPr>
            <w:r w:rsidRPr="00982B5F">
              <w:rPr>
                <w:sz w:val="16"/>
                <w:szCs w:val="20"/>
              </w:rPr>
              <w:t>56.5</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BAB3772" w14:textId="5A5FB698" w:rsidR="40C993A5" w:rsidRPr="00982B5F" w:rsidRDefault="40C993A5" w:rsidP="00982B5F">
            <w:pPr>
              <w:spacing w:before="120" w:after="120"/>
              <w:jc w:val="right"/>
              <w:rPr>
                <w:sz w:val="16"/>
                <w:szCs w:val="16"/>
              </w:rPr>
            </w:pPr>
            <w:r w:rsidRPr="00982B5F">
              <w:rPr>
                <w:sz w:val="16"/>
                <w:szCs w:val="16"/>
              </w:rPr>
              <w:t>94.4</w:t>
            </w:r>
          </w:p>
        </w:tc>
      </w:tr>
      <w:tr w:rsidR="007318C9" w14:paraId="5CF0D57B"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EABF46F" w14:textId="065946D0" w:rsidR="40C993A5" w:rsidRPr="00982B5F" w:rsidRDefault="40C993A5" w:rsidP="00982B5F">
            <w:pPr>
              <w:spacing w:before="120" w:after="120"/>
              <w:rPr>
                <w:rFonts w:cs="Arial"/>
                <w:sz w:val="16"/>
                <w:szCs w:val="16"/>
              </w:rPr>
            </w:pPr>
            <w:r w:rsidRPr="00982B5F">
              <w:rPr>
                <w:rFonts w:cs="Arial"/>
                <w:sz w:val="16"/>
                <w:szCs w:val="16"/>
              </w:rPr>
              <w:t xml:space="preserve">JUN2020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138475B5" w14:textId="22F16C86" w:rsidR="40C993A5" w:rsidRPr="00982B5F" w:rsidRDefault="40C993A5" w:rsidP="00982B5F">
            <w:pPr>
              <w:spacing w:before="120" w:after="120"/>
              <w:jc w:val="right"/>
              <w:rPr>
                <w:sz w:val="16"/>
                <w:szCs w:val="20"/>
              </w:rPr>
            </w:pPr>
            <w:r w:rsidRPr="00982B5F">
              <w:rPr>
                <w:sz w:val="16"/>
                <w:szCs w:val="20"/>
              </w:rPr>
              <w:t xml:space="preserve">108.7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4C424D5C" w14:textId="57FD52CE" w:rsidR="40C993A5" w:rsidRPr="00982B5F" w:rsidRDefault="40C993A5" w:rsidP="00982B5F">
            <w:pPr>
              <w:spacing w:before="120" w:after="120"/>
              <w:jc w:val="right"/>
              <w:rPr>
                <w:sz w:val="16"/>
                <w:szCs w:val="20"/>
              </w:rPr>
            </w:pPr>
            <w:r w:rsidRPr="00982B5F">
              <w:rPr>
                <w:sz w:val="16"/>
                <w:szCs w:val="20"/>
              </w:rPr>
              <w:t>133.7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7819A02" w14:textId="05BC91CA" w:rsidR="40C993A5" w:rsidRPr="00982B5F" w:rsidRDefault="40C993A5" w:rsidP="00982B5F">
            <w:pPr>
              <w:spacing w:before="120" w:after="120"/>
              <w:jc w:val="right"/>
              <w:rPr>
                <w:sz w:val="16"/>
                <w:szCs w:val="20"/>
              </w:rPr>
            </w:pPr>
            <w:r w:rsidRPr="00982B5F">
              <w:rPr>
                <w:sz w:val="16"/>
                <w:szCs w:val="20"/>
              </w:rPr>
              <w:t xml:space="preserve">112.7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027F738" w14:textId="2E1649F6" w:rsidR="40C993A5" w:rsidRPr="00982B5F" w:rsidRDefault="40C993A5" w:rsidP="00982B5F">
            <w:pPr>
              <w:spacing w:before="120" w:after="120"/>
              <w:jc w:val="right"/>
              <w:rPr>
                <w:sz w:val="16"/>
                <w:szCs w:val="20"/>
              </w:rPr>
            </w:pPr>
            <w:r w:rsidRPr="00982B5F">
              <w:rPr>
                <w:sz w:val="16"/>
                <w:szCs w:val="20"/>
              </w:rPr>
              <w:t>101.2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641448D" w14:textId="64FE9B69" w:rsidR="40C993A5" w:rsidRPr="00982B5F" w:rsidRDefault="40C993A5" w:rsidP="00982B5F">
            <w:pPr>
              <w:spacing w:before="120" w:after="120"/>
              <w:jc w:val="right"/>
              <w:rPr>
                <w:sz w:val="16"/>
                <w:szCs w:val="20"/>
              </w:rPr>
            </w:pPr>
            <w:r w:rsidRPr="00982B5F">
              <w:rPr>
                <w:sz w:val="16"/>
                <w:szCs w:val="20"/>
              </w:rPr>
              <w:t>89.9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8C5D9E0" w14:textId="4C67B6D3" w:rsidR="40C993A5" w:rsidRPr="00982B5F" w:rsidRDefault="40C993A5" w:rsidP="00982B5F">
            <w:pPr>
              <w:spacing w:before="120" w:after="120"/>
              <w:jc w:val="right"/>
              <w:rPr>
                <w:sz w:val="16"/>
                <w:szCs w:val="20"/>
              </w:rPr>
            </w:pPr>
            <w:r w:rsidRPr="00982B5F">
              <w:rPr>
                <w:sz w:val="16"/>
                <w:szCs w:val="20"/>
              </w:rPr>
              <w:t>92.9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E3F248F" w14:textId="21FDEF8E" w:rsidR="40C993A5" w:rsidRPr="00982B5F" w:rsidRDefault="40C993A5" w:rsidP="00982B5F">
            <w:pPr>
              <w:spacing w:before="120" w:after="120"/>
              <w:jc w:val="right"/>
              <w:rPr>
                <w:sz w:val="16"/>
                <w:szCs w:val="20"/>
              </w:rPr>
            </w:pPr>
            <w:r w:rsidRPr="00982B5F">
              <w:rPr>
                <w:sz w:val="16"/>
                <w:szCs w:val="20"/>
              </w:rPr>
              <w:t>26.3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DFDAD30" w14:textId="0B7264E1" w:rsidR="40C993A5" w:rsidRPr="00982B5F" w:rsidRDefault="40C993A5" w:rsidP="00982B5F">
            <w:pPr>
              <w:spacing w:before="120" w:after="120"/>
              <w:jc w:val="right"/>
              <w:rPr>
                <w:sz w:val="16"/>
                <w:szCs w:val="20"/>
              </w:rPr>
            </w:pPr>
            <w:r w:rsidRPr="00982B5F">
              <w:rPr>
                <w:sz w:val="16"/>
                <w:szCs w:val="20"/>
              </w:rPr>
              <w:t>11.5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7FD597C4" w14:textId="432222A8" w:rsidR="40C993A5" w:rsidRPr="00982B5F" w:rsidRDefault="40C993A5" w:rsidP="00982B5F">
            <w:pPr>
              <w:spacing w:before="120" w:after="120"/>
              <w:jc w:val="right"/>
              <w:rPr>
                <w:sz w:val="16"/>
                <w:szCs w:val="20"/>
              </w:rPr>
            </w:pPr>
            <w:r w:rsidRPr="00982B5F">
              <w:rPr>
                <w:sz w:val="16"/>
                <w:szCs w:val="20"/>
              </w:rPr>
              <w:t>56.8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7013188" w14:textId="7FA2592D" w:rsidR="40C993A5" w:rsidRPr="00982B5F" w:rsidRDefault="40C993A5" w:rsidP="00982B5F">
            <w:pPr>
              <w:spacing w:before="120" w:after="120"/>
              <w:jc w:val="right"/>
              <w:rPr>
                <w:sz w:val="16"/>
                <w:szCs w:val="16"/>
              </w:rPr>
            </w:pPr>
            <w:r w:rsidRPr="00982B5F">
              <w:rPr>
                <w:sz w:val="16"/>
                <w:szCs w:val="16"/>
              </w:rPr>
              <w:t>94.7</w:t>
            </w:r>
          </w:p>
        </w:tc>
      </w:tr>
      <w:tr w:rsidR="007318C9" w14:paraId="1EB51656"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1A2890C4" w14:textId="16BB3C1F" w:rsidR="40C993A5" w:rsidRPr="00982B5F" w:rsidRDefault="40C993A5" w:rsidP="00982B5F">
            <w:pPr>
              <w:spacing w:before="120" w:after="120"/>
              <w:rPr>
                <w:rFonts w:cs="Arial"/>
                <w:sz w:val="16"/>
                <w:szCs w:val="16"/>
              </w:rPr>
            </w:pPr>
            <w:r w:rsidRPr="00982B5F">
              <w:rPr>
                <w:rFonts w:cs="Arial"/>
                <w:sz w:val="16"/>
                <w:szCs w:val="16"/>
              </w:rPr>
              <w:t xml:space="preserve">SEP2020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54FB6EA" w14:textId="2025EB3E" w:rsidR="40C993A5" w:rsidRPr="00982B5F" w:rsidRDefault="40C993A5" w:rsidP="00982B5F">
            <w:pPr>
              <w:spacing w:before="120" w:after="120"/>
              <w:jc w:val="right"/>
              <w:rPr>
                <w:sz w:val="16"/>
                <w:szCs w:val="20"/>
              </w:rPr>
            </w:pPr>
            <w:r w:rsidRPr="00982B5F">
              <w:rPr>
                <w:sz w:val="16"/>
                <w:szCs w:val="20"/>
              </w:rPr>
              <w:t xml:space="preserve">106.7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454E0303" w14:textId="2602A04E" w:rsidR="40C993A5" w:rsidRPr="00982B5F" w:rsidRDefault="40C993A5" w:rsidP="00982B5F">
            <w:pPr>
              <w:spacing w:before="120" w:after="120"/>
              <w:jc w:val="right"/>
              <w:rPr>
                <w:sz w:val="16"/>
                <w:szCs w:val="20"/>
              </w:rPr>
            </w:pPr>
            <w:r w:rsidRPr="00982B5F">
              <w:rPr>
                <w:sz w:val="16"/>
                <w:szCs w:val="20"/>
              </w:rPr>
              <w:t>134.4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C13E8C6" w14:textId="3876DFF2" w:rsidR="40C993A5" w:rsidRPr="00982B5F" w:rsidRDefault="40C993A5" w:rsidP="00982B5F">
            <w:pPr>
              <w:spacing w:before="120" w:after="120"/>
              <w:jc w:val="right"/>
              <w:rPr>
                <w:sz w:val="16"/>
                <w:szCs w:val="20"/>
              </w:rPr>
            </w:pPr>
            <w:r w:rsidRPr="00982B5F">
              <w:rPr>
                <w:sz w:val="16"/>
                <w:szCs w:val="20"/>
              </w:rPr>
              <w:t xml:space="preserve">112.5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6D0D0E3" w14:textId="1C56017E" w:rsidR="40C993A5" w:rsidRPr="00982B5F" w:rsidRDefault="40C993A5" w:rsidP="00982B5F">
            <w:pPr>
              <w:spacing w:before="120" w:after="120"/>
              <w:jc w:val="right"/>
              <w:rPr>
                <w:sz w:val="16"/>
                <w:szCs w:val="20"/>
              </w:rPr>
            </w:pPr>
            <w:r w:rsidRPr="00982B5F">
              <w:rPr>
                <w:sz w:val="16"/>
                <w:szCs w:val="20"/>
              </w:rPr>
              <w:t>99.3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104F83D" w14:textId="551412A8" w:rsidR="40C993A5" w:rsidRPr="00982B5F" w:rsidRDefault="40C993A5" w:rsidP="00982B5F">
            <w:pPr>
              <w:spacing w:before="120" w:after="120"/>
              <w:jc w:val="right"/>
              <w:rPr>
                <w:sz w:val="16"/>
                <w:szCs w:val="20"/>
              </w:rPr>
            </w:pPr>
            <w:r w:rsidRPr="00982B5F">
              <w:rPr>
                <w:sz w:val="16"/>
                <w:szCs w:val="20"/>
              </w:rPr>
              <w:t>90.4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5DCE5D8" w14:textId="142FB135" w:rsidR="40C993A5" w:rsidRPr="00982B5F" w:rsidRDefault="40C993A5" w:rsidP="00982B5F">
            <w:pPr>
              <w:spacing w:before="120" w:after="120"/>
              <w:jc w:val="right"/>
              <w:rPr>
                <w:sz w:val="16"/>
                <w:szCs w:val="20"/>
              </w:rPr>
            </w:pPr>
            <w:r w:rsidRPr="00982B5F">
              <w:rPr>
                <w:sz w:val="16"/>
                <w:szCs w:val="20"/>
              </w:rPr>
              <w:t>92.7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31D1FFC" w14:textId="1C7F02DE" w:rsidR="40C993A5" w:rsidRPr="00982B5F" w:rsidRDefault="40C993A5" w:rsidP="00982B5F">
            <w:pPr>
              <w:spacing w:before="120" w:after="120"/>
              <w:jc w:val="right"/>
              <w:rPr>
                <w:sz w:val="16"/>
                <w:szCs w:val="20"/>
              </w:rPr>
            </w:pPr>
            <w:r w:rsidRPr="00982B5F">
              <w:rPr>
                <w:sz w:val="16"/>
                <w:szCs w:val="20"/>
              </w:rPr>
              <w:t>25.8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033D38C" w14:textId="48C641FB" w:rsidR="40C993A5" w:rsidRPr="00982B5F" w:rsidRDefault="40C993A5" w:rsidP="00982B5F">
            <w:pPr>
              <w:spacing w:before="120" w:after="120"/>
              <w:jc w:val="right"/>
              <w:rPr>
                <w:sz w:val="16"/>
                <w:szCs w:val="20"/>
              </w:rPr>
            </w:pPr>
            <w:r w:rsidRPr="00982B5F">
              <w:rPr>
                <w:sz w:val="16"/>
                <w:szCs w:val="20"/>
              </w:rPr>
              <w:t>11.6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77477885" w14:textId="2CCE5545" w:rsidR="40C993A5" w:rsidRPr="00982B5F" w:rsidRDefault="40C993A5" w:rsidP="00982B5F">
            <w:pPr>
              <w:spacing w:before="120" w:after="120"/>
              <w:jc w:val="right"/>
              <w:rPr>
                <w:sz w:val="16"/>
                <w:szCs w:val="20"/>
              </w:rPr>
            </w:pPr>
            <w:r w:rsidRPr="00982B5F">
              <w:rPr>
                <w:sz w:val="16"/>
                <w:szCs w:val="20"/>
              </w:rPr>
              <w:t>56.7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7400A823" w14:textId="25D3CECA" w:rsidR="40C993A5" w:rsidRPr="00982B5F" w:rsidRDefault="40C993A5" w:rsidP="00982B5F">
            <w:pPr>
              <w:spacing w:before="120" w:after="120"/>
              <w:jc w:val="right"/>
              <w:rPr>
                <w:sz w:val="16"/>
                <w:szCs w:val="16"/>
              </w:rPr>
            </w:pPr>
            <w:r w:rsidRPr="00982B5F">
              <w:rPr>
                <w:sz w:val="16"/>
                <w:szCs w:val="16"/>
              </w:rPr>
              <w:t>94.2</w:t>
            </w:r>
          </w:p>
        </w:tc>
      </w:tr>
      <w:tr w:rsidR="007318C9" w14:paraId="413A2107"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32591033" w14:textId="5521CF0B" w:rsidR="40C993A5" w:rsidRPr="00982B5F" w:rsidRDefault="40C993A5" w:rsidP="00982B5F">
            <w:pPr>
              <w:spacing w:before="120" w:after="120"/>
              <w:rPr>
                <w:rFonts w:cs="Arial"/>
                <w:sz w:val="16"/>
                <w:szCs w:val="16"/>
              </w:rPr>
            </w:pPr>
            <w:r w:rsidRPr="00982B5F">
              <w:rPr>
                <w:rFonts w:cs="Arial"/>
                <w:sz w:val="16"/>
                <w:szCs w:val="16"/>
              </w:rPr>
              <w:t xml:space="preserve">DEC2020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6211538" w14:textId="7EA539AF" w:rsidR="40C993A5" w:rsidRPr="00982B5F" w:rsidRDefault="40C993A5" w:rsidP="00982B5F">
            <w:pPr>
              <w:spacing w:before="120" w:after="120"/>
              <w:jc w:val="right"/>
              <w:rPr>
                <w:sz w:val="16"/>
                <w:szCs w:val="20"/>
              </w:rPr>
            </w:pPr>
            <w:r w:rsidRPr="00982B5F">
              <w:rPr>
                <w:sz w:val="16"/>
                <w:szCs w:val="20"/>
              </w:rPr>
              <w:t xml:space="preserve">104.1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5748078B" w14:textId="7A37CF01" w:rsidR="40C993A5" w:rsidRPr="00982B5F" w:rsidRDefault="40C993A5" w:rsidP="00982B5F">
            <w:pPr>
              <w:spacing w:before="120" w:after="120"/>
              <w:jc w:val="right"/>
              <w:rPr>
                <w:sz w:val="16"/>
                <w:szCs w:val="20"/>
              </w:rPr>
            </w:pPr>
            <w:r w:rsidRPr="00982B5F">
              <w:rPr>
                <w:sz w:val="16"/>
                <w:szCs w:val="20"/>
              </w:rPr>
              <w:t>135.3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DAEC3BE" w14:textId="6150CE7F" w:rsidR="40C993A5" w:rsidRPr="00982B5F" w:rsidRDefault="40C993A5" w:rsidP="00982B5F">
            <w:pPr>
              <w:spacing w:before="120" w:after="120"/>
              <w:jc w:val="right"/>
              <w:rPr>
                <w:sz w:val="16"/>
                <w:szCs w:val="20"/>
              </w:rPr>
            </w:pPr>
            <w:r w:rsidRPr="00982B5F">
              <w:rPr>
                <w:sz w:val="16"/>
                <w:szCs w:val="20"/>
              </w:rPr>
              <w:t xml:space="preserve">112.4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106F5B2" w14:textId="5AFF070D" w:rsidR="40C993A5" w:rsidRPr="00982B5F" w:rsidRDefault="40C993A5" w:rsidP="00982B5F">
            <w:pPr>
              <w:spacing w:before="120" w:after="120"/>
              <w:jc w:val="right"/>
              <w:rPr>
                <w:sz w:val="16"/>
                <w:szCs w:val="20"/>
              </w:rPr>
            </w:pPr>
            <w:r w:rsidRPr="00982B5F">
              <w:rPr>
                <w:sz w:val="16"/>
                <w:szCs w:val="20"/>
              </w:rPr>
              <w:t>96.9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D9AA5C7" w14:textId="1C496F2D" w:rsidR="40C993A5" w:rsidRPr="00982B5F" w:rsidRDefault="40C993A5" w:rsidP="00982B5F">
            <w:pPr>
              <w:spacing w:before="120" w:after="120"/>
              <w:jc w:val="right"/>
              <w:rPr>
                <w:sz w:val="16"/>
                <w:szCs w:val="20"/>
              </w:rPr>
            </w:pPr>
            <w:r w:rsidRPr="00982B5F">
              <w:rPr>
                <w:sz w:val="16"/>
                <w:szCs w:val="20"/>
              </w:rPr>
              <w:t>91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266B151" w14:textId="161D4918" w:rsidR="40C993A5" w:rsidRPr="00982B5F" w:rsidRDefault="40C993A5" w:rsidP="00982B5F">
            <w:pPr>
              <w:spacing w:before="120" w:after="120"/>
              <w:jc w:val="right"/>
              <w:rPr>
                <w:sz w:val="16"/>
                <w:szCs w:val="20"/>
              </w:rPr>
            </w:pPr>
            <w:r w:rsidRPr="00982B5F">
              <w:rPr>
                <w:sz w:val="16"/>
                <w:szCs w:val="20"/>
              </w:rPr>
              <w:t>92.7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F8527D4" w14:textId="5B171914" w:rsidR="40C993A5" w:rsidRPr="00982B5F" w:rsidRDefault="40C993A5" w:rsidP="00982B5F">
            <w:pPr>
              <w:spacing w:before="120" w:after="120"/>
              <w:jc w:val="right"/>
              <w:rPr>
                <w:sz w:val="16"/>
                <w:szCs w:val="20"/>
              </w:rPr>
            </w:pPr>
            <w:r w:rsidRPr="00982B5F">
              <w:rPr>
                <w:sz w:val="16"/>
                <w:szCs w:val="20"/>
              </w:rPr>
              <w:t>25.2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C9C2859" w14:textId="390C87B9" w:rsidR="40C993A5" w:rsidRPr="00982B5F" w:rsidRDefault="40C993A5" w:rsidP="00982B5F">
            <w:pPr>
              <w:spacing w:before="120" w:after="120"/>
              <w:jc w:val="right"/>
              <w:rPr>
                <w:sz w:val="16"/>
                <w:szCs w:val="20"/>
              </w:rPr>
            </w:pPr>
            <w:r w:rsidRPr="00982B5F">
              <w:rPr>
                <w:sz w:val="16"/>
                <w:szCs w:val="20"/>
              </w:rPr>
              <w:t>11.7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7DFC3196" w14:textId="50229106" w:rsidR="40C993A5" w:rsidRPr="00982B5F" w:rsidRDefault="40C993A5" w:rsidP="00982B5F">
            <w:pPr>
              <w:spacing w:before="120" w:after="120"/>
              <w:jc w:val="right"/>
              <w:rPr>
                <w:sz w:val="16"/>
                <w:szCs w:val="20"/>
              </w:rPr>
            </w:pPr>
            <w:r w:rsidRPr="00982B5F">
              <w:rPr>
                <w:sz w:val="16"/>
                <w:szCs w:val="20"/>
              </w:rPr>
              <w:t>56.7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DE500B9" w14:textId="68DB66D7" w:rsidR="40C993A5" w:rsidRPr="00982B5F" w:rsidRDefault="40C993A5" w:rsidP="00982B5F">
            <w:pPr>
              <w:spacing w:before="120" w:after="120"/>
              <w:jc w:val="right"/>
              <w:rPr>
                <w:sz w:val="16"/>
                <w:szCs w:val="16"/>
              </w:rPr>
            </w:pPr>
            <w:r w:rsidRPr="00982B5F">
              <w:rPr>
                <w:sz w:val="16"/>
                <w:szCs w:val="16"/>
              </w:rPr>
              <w:t>93.6</w:t>
            </w:r>
          </w:p>
        </w:tc>
      </w:tr>
      <w:tr w:rsidR="007318C9" w14:paraId="069886B3"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888937E" w14:textId="5FBB1909" w:rsidR="40C993A5" w:rsidRPr="00982B5F" w:rsidRDefault="40C993A5" w:rsidP="00982B5F">
            <w:pPr>
              <w:spacing w:before="120" w:after="120"/>
              <w:rPr>
                <w:rFonts w:cs="Arial"/>
                <w:sz w:val="16"/>
                <w:szCs w:val="16"/>
              </w:rPr>
            </w:pPr>
            <w:r w:rsidRPr="00982B5F">
              <w:rPr>
                <w:rFonts w:cs="Arial"/>
                <w:sz w:val="16"/>
                <w:szCs w:val="16"/>
              </w:rPr>
              <w:t xml:space="preserve">MAR2021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603A157" w14:textId="5458A19F" w:rsidR="40C993A5" w:rsidRPr="00982B5F" w:rsidRDefault="40C993A5" w:rsidP="00982B5F">
            <w:pPr>
              <w:spacing w:before="120" w:after="120"/>
              <w:jc w:val="right"/>
              <w:rPr>
                <w:sz w:val="16"/>
                <w:szCs w:val="20"/>
              </w:rPr>
            </w:pPr>
            <w:r w:rsidRPr="00982B5F">
              <w:rPr>
                <w:sz w:val="16"/>
                <w:szCs w:val="20"/>
              </w:rPr>
              <w:t xml:space="preserve">109.0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0E8045DE" w14:textId="0CA19701" w:rsidR="40C993A5" w:rsidRPr="00982B5F" w:rsidRDefault="40C993A5" w:rsidP="00982B5F">
            <w:pPr>
              <w:spacing w:before="120" w:after="120"/>
              <w:jc w:val="right"/>
              <w:rPr>
                <w:sz w:val="16"/>
                <w:szCs w:val="20"/>
              </w:rPr>
            </w:pPr>
            <w:r w:rsidRPr="00982B5F">
              <w:rPr>
                <w:sz w:val="16"/>
                <w:szCs w:val="20"/>
              </w:rPr>
              <w:t>135.8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BB1304E" w14:textId="0C7051B5" w:rsidR="40C993A5" w:rsidRPr="00982B5F" w:rsidRDefault="40C993A5" w:rsidP="00982B5F">
            <w:pPr>
              <w:spacing w:before="120" w:after="120"/>
              <w:jc w:val="right"/>
              <w:rPr>
                <w:sz w:val="16"/>
                <w:szCs w:val="20"/>
              </w:rPr>
            </w:pPr>
            <w:r w:rsidRPr="00982B5F">
              <w:rPr>
                <w:sz w:val="16"/>
                <w:szCs w:val="20"/>
              </w:rPr>
              <w:t xml:space="preserve">112.3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952751A" w14:textId="05EEF7E6" w:rsidR="40C993A5" w:rsidRPr="00982B5F" w:rsidRDefault="40C993A5" w:rsidP="00982B5F">
            <w:pPr>
              <w:spacing w:before="120" w:after="120"/>
              <w:jc w:val="right"/>
              <w:rPr>
                <w:sz w:val="16"/>
                <w:szCs w:val="20"/>
              </w:rPr>
            </w:pPr>
            <w:r w:rsidRPr="00982B5F">
              <w:rPr>
                <w:sz w:val="16"/>
                <w:szCs w:val="20"/>
              </w:rPr>
              <w:t>101.5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680ABEA" w14:textId="44E10CF3" w:rsidR="40C993A5" w:rsidRPr="00982B5F" w:rsidRDefault="40C993A5" w:rsidP="00982B5F">
            <w:pPr>
              <w:spacing w:before="120" w:after="120"/>
              <w:jc w:val="right"/>
              <w:rPr>
                <w:sz w:val="16"/>
                <w:szCs w:val="20"/>
              </w:rPr>
            </w:pPr>
            <w:r w:rsidRPr="00982B5F">
              <w:rPr>
                <w:sz w:val="16"/>
                <w:szCs w:val="20"/>
              </w:rPr>
              <w:t>91.3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B14ECAE" w14:textId="5EA3141B" w:rsidR="40C993A5" w:rsidRPr="00982B5F" w:rsidRDefault="40C993A5" w:rsidP="00982B5F">
            <w:pPr>
              <w:spacing w:before="120" w:after="120"/>
              <w:jc w:val="right"/>
              <w:rPr>
                <w:sz w:val="16"/>
                <w:szCs w:val="20"/>
              </w:rPr>
            </w:pPr>
            <w:r w:rsidRPr="00982B5F">
              <w:rPr>
                <w:sz w:val="16"/>
                <w:szCs w:val="20"/>
              </w:rPr>
              <w:t>92.6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F72970B" w14:textId="2ECA8B01" w:rsidR="40C993A5" w:rsidRPr="00982B5F" w:rsidRDefault="40C993A5" w:rsidP="00982B5F">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44BECA7" w14:textId="25524B7B" w:rsidR="40C993A5" w:rsidRPr="00982B5F" w:rsidRDefault="40C993A5" w:rsidP="00982B5F">
            <w:pPr>
              <w:spacing w:before="120" w:after="120"/>
              <w:jc w:val="right"/>
              <w:rPr>
                <w:sz w:val="16"/>
                <w:szCs w:val="20"/>
              </w:rPr>
            </w:pPr>
            <w:r w:rsidRPr="00982B5F">
              <w:rPr>
                <w:sz w:val="16"/>
                <w:szCs w:val="20"/>
              </w:rPr>
              <w:t>11.7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3A59AA1F" w14:textId="4638FE28" w:rsidR="40C993A5" w:rsidRPr="00982B5F" w:rsidRDefault="40C993A5" w:rsidP="00982B5F">
            <w:pPr>
              <w:spacing w:before="120" w:after="120"/>
              <w:jc w:val="right"/>
              <w:rPr>
                <w:sz w:val="16"/>
                <w:szCs w:val="20"/>
              </w:rPr>
            </w:pPr>
            <w:r w:rsidRPr="00982B5F">
              <w:rPr>
                <w:sz w:val="16"/>
                <w:szCs w:val="20"/>
              </w:rPr>
              <w:t>56.6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7EB54B1" w14:textId="5498CE5D" w:rsidR="40C993A5" w:rsidRPr="00982B5F" w:rsidRDefault="40C993A5" w:rsidP="00982B5F">
            <w:pPr>
              <w:spacing w:before="120" w:after="120"/>
              <w:jc w:val="right"/>
              <w:rPr>
                <w:sz w:val="16"/>
                <w:szCs w:val="16"/>
              </w:rPr>
            </w:pPr>
            <w:r w:rsidRPr="00982B5F">
              <w:rPr>
                <w:sz w:val="16"/>
                <w:szCs w:val="16"/>
              </w:rPr>
              <w:t>94.7</w:t>
            </w:r>
          </w:p>
        </w:tc>
      </w:tr>
      <w:tr w:rsidR="007318C9" w14:paraId="05963085"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441ED25B" w14:textId="794430DB" w:rsidR="40C993A5" w:rsidRPr="00982B5F" w:rsidRDefault="40C993A5" w:rsidP="00982B5F">
            <w:pPr>
              <w:spacing w:before="120" w:after="120"/>
              <w:rPr>
                <w:rFonts w:cs="Arial"/>
                <w:sz w:val="16"/>
                <w:szCs w:val="16"/>
              </w:rPr>
            </w:pPr>
            <w:r w:rsidRPr="00982B5F">
              <w:rPr>
                <w:rFonts w:cs="Arial"/>
                <w:sz w:val="16"/>
                <w:szCs w:val="16"/>
              </w:rPr>
              <w:t xml:space="preserve">JUN2021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86931C0" w14:textId="2E7AE3A1" w:rsidR="40C993A5" w:rsidRPr="00982B5F" w:rsidRDefault="40C993A5" w:rsidP="00982B5F">
            <w:pPr>
              <w:spacing w:before="120" w:after="120"/>
              <w:jc w:val="right"/>
              <w:rPr>
                <w:sz w:val="16"/>
                <w:szCs w:val="20"/>
              </w:rPr>
            </w:pPr>
            <w:r w:rsidRPr="00982B5F">
              <w:rPr>
                <w:sz w:val="16"/>
                <w:szCs w:val="20"/>
              </w:rPr>
              <w:t xml:space="preserve">107.9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11002D88" w14:textId="347CB34C" w:rsidR="40C993A5" w:rsidRPr="00982B5F" w:rsidRDefault="40C993A5" w:rsidP="00982B5F">
            <w:pPr>
              <w:spacing w:before="120" w:after="120"/>
              <w:jc w:val="right"/>
              <w:rPr>
                <w:sz w:val="16"/>
                <w:szCs w:val="20"/>
              </w:rPr>
            </w:pPr>
            <w:r w:rsidRPr="00982B5F">
              <w:rPr>
                <w:sz w:val="16"/>
                <w:szCs w:val="20"/>
              </w:rPr>
              <w:t>137.6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6FFE9C2" w14:textId="49605937" w:rsidR="40C993A5" w:rsidRPr="00982B5F" w:rsidRDefault="40C993A5" w:rsidP="00982B5F">
            <w:pPr>
              <w:spacing w:before="120" w:after="120"/>
              <w:jc w:val="right"/>
              <w:rPr>
                <w:sz w:val="16"/>
                <w:szCs w:val="20"/>
              </w:rPr>
            </w:pPr>
            <w:r w:rsidRPr="00982B5F">
              <w:rPr>
                <w:sz w:val="16"/>
                <w:szCs w:val="20"/>
              </w:rPr>
              <w:t xml:space="preserve">112.6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0C0F78D" w14:textId="28620EB0" w:rsidR="40C993A5" w:rsidRPr="00982B5F" w:rsidRDefault="40C993A5" w:rsidP="00982B5F">
            <w:pPr>
              <w:spacing w:before="120" w:after="120"/>
              <w:jc w:val="right"/>
              <w:rPr>
                <w:sz w:val="16"/>
                <w:szCs w:val="20"/>
              </w:rPr>
            </w:pPr>
            <w:r w:rsidRPr="00982B5F">
              <w:rPr>
                <w:sz w:val="16"/>
                <w:szCs w:val="20"/>
              </w:rPr>
              <w:t>100.5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C02B964" w14:textId="6780F682" w:rsidR="40C993A5" w:rsidRPr="00982B5F" w:rsidRDefault="40C993A5" w:rsidP="00982B5F">
            <w:pPr>
              <w:spacing w:before="120" w:after="120"/>
              <w:jc w:val="right"/>
              <w:rPr>
                <w:sz w:val="16"/>
                <w:szCs w:val="20"/>
              </w:rPr>
            </w:pPr>
            <w:r w:rsidRPr="00982B5F">
              <w:rPr>
                <w:sz w:val="16"/>
                <w:szCs w:val="20"/>
              </w:rPr>
              <w:t>92.5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04BAE36" w14:textId="0CB4E2A0" w:rsidR="40C993A5" w:rsidRPr="00982B5F" w:rsidRDefault="40C993A5" w:rsidP="00982B5F">
            <w:pPr>
              <w:spacing w:before="120" w:after="120"/>
              <w:jc w:val="right"/>
              <w:rPr>
                <w:sz w:val="16"/>
                <w:szCs w:val="20"/>
              </w:rPr>
            </w:pPr>
            <w:r w:rsidRPr="00982B5F">
              <w:rPr>
                <w:sz w:val="16"/>
                <w:szCs w:val="20"/>
              </w:rPr>
              <w:t>92.8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444ED4D" w14:textId="1E80F41C" w:rsidR="40C993A5" w:rsidRPr="00982B5F" w:rsidRDefault="40C993A5" w:rsidP="00982B5F">
            <w:pPr>
              <w:spacing w:before="120" w:after="120"/>
              <w:jc w:val="right"/>
              <w:rPr>
                <w:sz w:val="16"/>
                <w:szCs w:val="20"/>
              </w:rPr>
            </w:pPr>
            <w:r w:rsidRPr="00982B5F">
              <w:rPr>
                <w:sz w:val="16"/>
                <w:szCs w:val="20"/>
              </w:rPr>
              <w:t>26.1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8E8C034" w14:textId="44CCFE97" w:rsidR="40C993A5" w:rsidRPr="00982B5F" w:rsidRDefault="40C993A5" w:rsidP="00982B5F">
            <w:pPr>
              <w:spacing w:before="120" w:after="120"/>
              <w:jc w:val="right"/>
              <w:rPr>
                <w:sz w:val="16"/>
                <w:szCs w:val="20"/>
              </w:rPr>
            </w:pPr>
            <w:r w:rsidRPr="00982B5F">
              <w:rPr>
                <w:sz w:val="16"/>
                <w:szCs w:val="20"/>
              </w:rPr>
              <w:t>11.9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5616A56D" w14:textId="7C337B42" w:rsidR="40C993A5" w:rsidRPr="00982B5F" w:rsidRDefault="40C993A5" w:rsidP="00982B5F">
            <w:pPr>
              <w:spacing w:before="120" w:after="120"/>
              <w:jc w:val="right"/>
              <w:rPr>
                <w:sz w:val="16"/>
                <w:szCs w:val="20"/>
              </w:rPr>
            </w:pPr>
            <w:r w:rsidRPr="00982B5F">
              <w:rPr>
                <w:sz w:val="16"/>
                <w:szCs w:val="20"/>
              </w:rPr>
              <w:t>56.8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6995F4F2" w14:textId="6546B0B0" w:rsidR="40C993A5" w:rsidRPr="00982B5F" w:rsidRDefault="40C993A5" w:rsidP="00982B5F">
            <w:pPr>
              <w:spacing w:before="120" w:after="120"/>
              <w:jc w:val="right"/>
              <w:rPr>
                <w:sz w:val="16"/>
                <w:szCs w:val="16"/>
              </w:rPr>
            </w:pPr>
            <w:r w:rsidRPr="00982B5F">
              <w:rPr>
                <w:sz w:val="16"/>
                <w:szCs w:val="16"/>
              </w:rPr>
              <w:t>94.8</w:t>
            </w:r>
          </w:p>
        </w:tc>
      </w:tr>
      <w:tr w:rsidR="007318C9" w14:paraId="37333769"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A5B2703" w14:textId="3E333FB7" w:rsidR="40C993A5" w:rsidRPr="00982B5F" w:rsidRDefault="40C993A5" w:rsidP="00982B5F">
            <w:pPr>
              <w:spacing w:before="120" w:after="120"/>
              <w:rPr>
                <w:rFonts w:cs="Arial"/>
                <w:sz w:val="16"/>
                <w:szCs w:val="16"/>
              </w:rPr>
            </w:pPr>
            <w:r w:rsidRPr="00982B5F">
              <w:rPr>
                <w:rFonts w:cs="Arial"/>
                <w:sz w:val="16"/>
                <w:szCs w:val="16"/>
              </w:rPr>
              <w:t xml:space="preserve">SEP2021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D5760F8" w14:textId="06246612" w:rsidR="40C993A5" w:rsidRPr="00982B5F" w:rsidRDefault="40C993A5" w:rsidP="00982B5F">
            <w:pPr>
              <w:spacing w:before="120" w:after="120"/>
              <w:jc w:val="right"/>
              <w:rPr>
                <w:sz w:val="16"/>
                <w:szCs w:val="20"/>
              </w:rPr>
            </w:pPr>
            <w:r w:rsidRPr="00982B5F">
              <w:rPr>
                <w:sz w:val="16"/>
                <w:szCs w:val="20"/>
              </w:rPr>
              <w:t xml:space="preserve">106.2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13DCBA9B" w14:textId="658C9EB3" w:rsidR="40C993A5" w:rsidRPr="00982B5F" w:rsidRDefault="40C993A5" w:rsidP="00982B5F">
            <w:pPr>
              <w:spacing w:before="120" w:after="120"/>
              <w:jc w:val="right"/>
              <w:rPr>
                <w:sz w:val="16"/>
                <w:szCs w:val="20"/>
              </w:rPr>
            </w:pPr>
            <w:r w:rsidRPr="00982B5F">
              <w:rPr>
                <w:sz w:val="16"/>
                <w:szCs w:val="20"/>
              </w:rPr>
              <w:t>139.3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501E9CF" w14:textId="5D562C68" w:rsidR="40C993A5" w:rsidRPr="00982B5F" w:rsidRDefault="40C993A5" w:rsidP="00982B5F">
            <w:pPr>
              <w:spacing w:before="120" w:after="120"/>
              <w:jc w:val="right"/>
              <w:rPr>
                <w:sz w:val="16"/>
                <w:szCs w:val="20"/>
              </w:rPr>
            </w:pPr>
            <w:r w:rsidRPr="00982B5F">
              <w:rPr>
                <w:sz w:val="16"/>
                <w:szCs w:val="20"/>
              </w:rPr>
              <w:t xml:space="preserve">113.4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E53E904" w14:textId="337C804D" w:rsidR="40C993A5" w:rsidRPr="00982B5F" w:rsidRDefault="40C993A5" w:rsidP="00982B5F">
            <w:pPr>
              <w:spacing w:before="120" w:after="120"/>
              <w:jc w:val="right"/>
              <w:rPr>
                <w:sz w:val="16"/>
                <w:szCs w:val="20"/>
              </w:rPr>
            </w:pPr>
            <w:r w:rsidRPr="00982B5F">
              <w:rPr>
                <w:sz w:val="16"/>
                <w:szCs w:val="20"/>
              </w:rPr>
              <w:t>98.9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63DC67F" w14:textId="102B2BB6" w:rsidR="40C993A5" w:rsidRPr="00982B5F" w:rsidRDefault="40C993A5" w:rsidP="00982B5F">
            <w:pPr>
              <w:spacing w:before="120" w:after="120"/>
              <w:jc w:val="right"/>
              <w:rPr>
                <w:sz w:val="16"/>
                <w:szCs w:val="20"/>
              </w:rPr>
            </w:pPr>
            <w:r w:rsidRPr="00982B5F">
              <w:rPr>
                <w:sz w:val="16"/>
                <w:szCs w:val="20"/>
              </w:rPr>
              <w:t>93.7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9B5434B" w14:textId="2C58A29D" w:rsidR="40C993A5" w:rsidRPr="00982B5F" w:rsidRDefault="40C993A5" w:rsidP="00982B5F">
            <w:pPr>
              <w:spacing w:before="120" w:after="120"/>
              <w:jc w:val="right"/>
              <w:rPr>
                <w:sz w:val="16"/>
                <w:szCs w:val="20"/>
              </w:rPr>
            </w:pPr>
            <w:r w:rsidRPr="00982B5F">
              <w:rPr>
                <w:sz w:val="16"/>
                <w:szCs w:val="20"/>
              </w:rPr>
              <w:t>93.5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853F3BC" w14:textId="7FFEEC45" w:rsidR="40C993A5" w:rsidRPr="00982B5F" w:rsidRDefault="40C993A5" w:rsidP="00982B5F">
            <w:pPr>
              <w:spacing w:before="120" w:after="120"/>
              <w:jc w:val="right"/>
              <w:rPr>
                <w:sz w:val="16"/>
                <w:szCs w:val="20"/>
              </w:rPr>
            </w:pPr>
            <w:r w:rsidRPr="00982B5F">
              <w:rPr>
                <w:sz w:val="16"/>
                <w:szCs w:val="20"/>
              </w:rPr>
              <w:t>25.7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477C193" w14:textId="6258F59F" w:rsidR="40C993A5" w:rsidRPr="00982B5F" w:rsidRDefault="40C993A5" w:rsidP="00982B5F">
            <w:pPr>
              <w:spacing w:before="120" w:after="120"/>
              <w:jc w:val="right"/>
              <w:rPr>
                <w:sz w:val="16"/>
                <w:szCs w:val="20"/>
              </w:rPr>
            </w:pPr>
            <w:r w:rsidRPr="00982B5F">
              <w:rPr>
                <w:sz w:val="16"/>
                <w:szCs w:val="20"/>
              </w:rPr>
              <w:t>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13A9E65D" w14:textId="41568158" w:rsidR="40C993A5" w:rsidRPr="00982B5F" w:rsidRDefault="40C993A5" w:rsidP="00982B5F">
            <w:pPr>
              <w:spacing w:before="120" w:after="120"/>
              <w:jc w:val="right"/>
              <w:rPr>
                <w:sz w:val="16"/>
                <w:szCs w:val="20"/>
              </w:rPr>
            </w:pPr>
            <w:r w:rsidRPr="00982B5F">
              <w:rPr>
                <w:sz w:val="16"/>
                <w:szCs w:val="20"/>
              </w:rPr>
              <w:t>57.2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CDBDBDE" w14:textId="48E7B1EA" w:rsidR="40C993A5" w:rsidRPr="00982B5F" w:rsidRDefault="40C993A5" w:rsidP="00982B5F">
            <w:pPr>
              <w:spacing w:before="120" w:after="120"/>
              <w:jc w:val="right"/>
              <w:rPr>
                <w:sz w:val="16"/>
                <w:szCs w:val="16"/>
              </w:rPr>
            </w:pPr>
            <w:r w:rsidRPr="00982B5F">
              <w:rPr>
                <w:sz w:val="16"/>
                <w:szCs w:val="16"/>
              </w:rPr>
              <w:t>94.9</w:t>
            </w:r>
          </w:p>
        </w:tc>
      </w:tr>
      <w:tr w:rsidR="007318C9" w14:paraId="6B9AA0B2"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1574E91" w14:textId="013B3FA1" w:rsidR="40C993A5" w:rsidRPr="00982B5F" w:rsidRDefault="40C993A5" w:rsidP="00982B5F">
            <w:pPr>
              <w:spacing w:before="120" w:after="120"/>
              <w:rPr>
                <w:rFonts w:cs="Arial"/>
                <w:sz w:val="16"/>
                <w:szCs w:val="16"/>
              </w:rPr>
            </w:pPr>
            <w:r w:rsidRPr="00982B5F">
              <w:rPr>
                <w:rFonts w:cs="Arial"/>
                <w:sz w:val="16"/>
                <w:szCs w:val="16"/>
              </w:rPr>
              <w:lastRenderedPageBreak/>
              <w:t xml:space="preserve">DEC2021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1E71EDF" w14:textId="471D28DF" w:rsidR="40C993A5" w:rsidRPr="00982B5F" w:rsidRDefault="40C993A5" w:rsidP="00982B5F">
            <w:pPr>
              <w:spacing w:before="120" w:after="120"/>
              <w:jc w:val="right"/>
              <w:rPr>
                <w:sz w:val="16"/>
                <w:szCs w:val="20"/>
              </w:rPr>
            </w:pPr>
            <w:r w:rsidRPr="00982B5F">
              <w:rPr>
                <w:sz w:val="16"/>
                <w:szCs w:val="20"/>
              </w:rPr>
              <w:t xml:space="preserve">105.0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087ADBE2" w14:textId="25C190FE" w:rsidR="40C993A5" w:rsidRPr="00982B5F" w:rsidRDefault="40C993A5" w:rsidP="00982B5F">
            <w:pPr>
              <w:spacing w:before="120" w:after="120"/>
              <w:jc w:val="right"/>
              <w:rPr>
                <w:sz w:val="16"/>
                <w:szCs w:val="20"/>
              </w:rPr>
            </w:pPr>
            <w:r w:rsidRPr="00982B5F">
              <w:rPr>
                <w:sz w:val="16"/>
                <w:szCs w:val="20"/>
              </w:rPr>
              <w:t>139.9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D8EEAE8" w14:textId="34D7C9A5" w:rsidR="40C993A5" w:rsidRPr="00982B5F" w:rsidRDefault="40C993A5" w:rsidP="00982B5F">
            <w:pPr>
              <w:spacing w:before="120" w:after="120"/>
              <w:jc w:val="right"/>
              <w:rPr>
                <w:sz w:val="16"/>
                <w:szCs w:val="20"/>
              </w:rPr>
            </w:pPr>
            <w:r w:rsidRPr="00982B5F">
              <w:rPr>
                <w:sz w:val="16"/>
                <w:szCs w:val="20"/>
              </w:rPr>
              <w:t xml:space="preserve">115.1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55F50FD" w14:textId="48E75422" w:rsidR="40C993A5" w:rsidRPr="00982B5F" w:rsidRDefault="40C993A5" w:rsidP="00982B5F">
            <w:pPr>
              <w:spacing w:before="120" w:after="120"/>
              <w:jc w:val="right"/>
              <w:rPr>
                <w:sz w:val="16"/>
                <w:szCs w:val="20"/>
              </w:rPr>
            </w:pPr>
            <w:r w:rsidRPr="00982B5F">
              <w:rPr>
                <w:sz w:val="16"/>
                <w:szCs w:val="20"/>
              </w:rPr>
              <w:t>97.8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1535738" w14:textId="6F71ABFF" w:rsidR="40C993A5" w:rsidRPr="00982B5F" w:rsidRDefault="40C993A5" w:rsidP="00982B5F">
            <w:pPr>
              <w:spacing w:before="120" w:after="120"/>
              <w:jc w:val="right"/>
              <w:rPr>
                <w:sz w:val="16"/>
                <w:szCs w:val="20"/>
              </w:rPr>
            </w:pPr>
            <w:r w:rsidRPr="00982B5F">
              <w:rPr>
                <w:sz w:val="16"/>
                <w:szCs w:val="20"/>
              </w:rPr>
              <w:t>94.1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4A495A8" w14:textId="2984CA7E" w:rsidR="40C993A5" w:rsidRPr="00982B5F" w:rsidRDefault="40C993A5" w:rsidP="00982B5F">
            <w:pPr>
              <w:spacing w:before="120" w:after="120"/>
              <w:jc w:val="right"/>
              <w:rPr>
                <w:sz w:val="16"/>
                <w:szCs w:val="20"/>
              </w:rPr>
            </w:pPr>
            <w:r w:rsidRPr="00982B5F">
              <w:rPr>
                <w:sz w:val="16"/>
                <w:szCs w:val="20"/>
              </w:rPr>
              <w:t>94.9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814B1AD" w14:textId="31EEA6FD" w:rsidR="40C993A5" w:rsidRPr="00982B5F" w:rsidRDefault="40C993A5" w:rsidP="00982B5F">
            <w:pPr>
              <w:spacing w:before="120" w:after="120"/>
              <w:jc w:val="right"/>
              <w:rPr>
                <w:sz w:val="16"/>
                <w:szCs w:val="20"/>
              </w:rPr>
            </w:pPr>
            <w:r w:rsidRPr="00982B5F">
              <w:rPr>
                <w:sz w:val="16"/>
                <w:szCs w:val="20"/>
              </w:rPr>
              <w:t>25.4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DE4F304" w14:textId="10FE84D4" w:rsidR="40C993A5" w:rsidRPr="00982B5F" w:rsidRDefault="40C993A5" w:rsidP="00982B5F">
            <w:pPr>
              <w:spacing w:before="120" w:after="120"/>
              <w:jc w:val="right"/>
              <w:rPr>
                <w:sz w:val="16"/>
                <w:szCs w:val="20"/>
              </w:rPr>
            </w:pPr>
            <w:r w:rsidRPr="00982B5F">
              <w:rPr>
                <w:sz w:val="16"/>
                <w:szCs w:val="20"/>
              </w:rPr>
              <w:t>12.1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5DB19E1D" w14:textId="70890C75" w:rsidR="40C993A5" w:rsidRPr="00982B5F" w:rsidRDefault="40C993A5" w:rsidP="00982B5F">
            <w:pPr>
              <w:spacing w:before="120" w:after="120"/>
              <w:jc w:val="right"/>
              <w:rPr>
                <w:sz w:val="16"/>
                <w:szCs w:val="20"/>
              </w:rPr>
            </w:pPr>
            <w:r w:rsidRPr="00982B5F">
              <w:rPr>
                <w:sz w:val="16"/>
                <w:szCs w:val="20"/>
              </w:rPr>
              <w:t>58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3645E757" w14:textId="169849B2" w:rsidR="40C993A5" w:rsidRPr="00982B5F" w:rsidRDefault="40C993A5" w:rsidP="00982B5F">
            <w:pPr>
              <w:spacing w:before="120" w:after="120"/>
              <w:jc w:val="right"/>
              <w:rPr>
                <w:sz w:val="16"/>
                <w:szCs w:val="16"/>
              </w:rPr>
            </w:pPr>
            <w:r w:rsidRPr="00982B5F">
              <w:rPr>
                <w:sz w:val="16"/>
                <w:szCs w:val="16"/>
              </w:rPr>
              <w:t>95.5</w:t>
            </w:r>
          </w:p>
        </w:tc>
      </w:tr>
      <w:tr w:rsidR="007318C9" w14:paraId="76C47654"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173683AF" w14:textId="40DEB589" w:rsidR="40C993A5" w:rsidRPr="00982B5F" w:rsidRDefault="40C993A5" w:rsidP="00982B5F">
            <w:pPr>
              <w:spacing w:before="120" w:after="120"/>
              <w:rPr>
                <w:rFonts w:cs="Arial"/>
                <w:sz w:val="16"/>
                <w:szCs w:val="16"/>
              </w:rPr>
            </w:pPr>
            <w:r w:rsidRPr="00982B5F">
              <w:rPr>
                <w:rFonts w:cs="Arial"/>
                <w:sz w:val="16"/>
                <w:szCs w:val="16"/>
              </w:rPr>
              <w:t xml:space="preserve">MAR2022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DD3308A" w14:textId="788A4D99" w:rsidR="40C993A5" w:rsidRPr="00982B5F" w:rsidRDefault="40C993A5" w:rsidP="00982B5F">
            <w:pPr>
              <w:spacing w:before="120" w:after="120"/>
              <w:jc w:val="right"/>
              <w:rPr>
                <w:sz w:val="16"/>
                <w:szCs w:val="20"/>
              </w:rPr>
            </w:pPr>
            <w:r w:rsidRPr="00982B5F">
              <w:rPr>
                <w:sz w:val="16"/>
                <w:szCs w:val="20"/>
              </w:rPr>
              <w:t xml:space="preserve">110.1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0AFC6FE3" w14:textId="6F378086" w:rsidR="40C993A5" w:rsidRPr="00982B5F" w:rsidRDefault="40C993A5" w:rsidP="00982B5F">
            <w:pPr>
              <w:spacing w:before="120" w:after="120"/>
              <w:jc w:val="right"/>
              <w:rPr>
                <w:sz w:val="16"/>
                <w:szCs w:val="20"/>
              </w:rPr>
            </w:pPr>
            <w:r w:rsidRPr="00982B5F">
              <w:rPr>
                <w:sz w:val="16"/>
                <w:szCs w:val="20"/>
              </w:rPr>
              <w:t>141.5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A838AC" w14:textId="0CE5D157" w:rsidR="40C993A5" w:rsidRPr="00982B5F" w:rsidRDefault="40C993A5" w:rsidP="00982B5F">
            <w:pPr>
              <w:spacing w:before="120" w:after="120"/>
              <w:jc w:val="right"/>
              <w:rPr>
                <w:sz w:val="16"/>
                <w:szCs w:val="20"/>
              </w:rPr>
            </w:pPr>
            <w:r w:rsidRPr="00982B5F">
              <w:rPr>
                <w:sz w:val="16"/>
                <w:szCs w:val="20"/>
              </w:rPr>
              <w:t xml:space="preserve">115.6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80A1959" w14:textId="32C9D989" w:rsidR="40C993A5" w:rsidRPr="00982B5F" w:rsidRDefault="40C993A5" w:rsidP="00982B5F">
            <w:pPr>
              <w:spacing w:before="120" w:after="120"/>
              <w:jc w:val="right"/>
              <w:rPr>
                <w:sz w:val="16"/>
                <w:szCs w:val="20"/>
              </w:rPr>
            </w:pPr>
            <w:r w:rsidRPr="00982B5F">
              <w:rPr>
                <w:sz w:val="16"/>
                <w:szCs w:val="20"/>
              </w:rPr>
              <w:t>102.5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59DBD2A" w14:textId="39253E84" w:rsidR="40C993A5" w:rsidRPr="00982B5F" w:rsidRDefault="40C993A5" w:rsidP="00982B5F">
            <w:pPr>
              <w:spacing w:before="120" w:after="120"/>
              <w:jc w:val="right"/>
              <w:rPr>
                <w:sz w:val="16"/>
                <w:szCs w:val="20"/>
              </w:rPr>
            </w:pPr>
            <w:r w:rsidRPr="00982B5F">
              <w:rPr>
                <w:sz w:val="16"/>
                <w:szCs w:val="20"/>
              </w:rPr>
              <w:t>95.2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490E09F" w14:textId="693B5FAD" w:rsidR="40C993A5" w:rsidRPr="00982B5F" w:rsidRDefault="40C993A5" w:rsidP="00982B5F">
            <w:pPr>
              <w:spacing w:before="120" w:after="120"/>
              <w:jc w:val="right"/>
              <w:rPr>
                <w:sz w:val="16"/>
                <w:szCs w:val="20"/>
              </w:rPr>
            </w:pPr>
            <w:r w:rsidRPr="00982B5F">
              <w:rPr>
                <w:sz w:val="16"/>
                <w:szCs w:val="20"/>
              </w:rPr>
              <w:t>95.3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C5669C3" w14:textId="610C2CBF" w:rsidR="40C993A5" w:rsidRPr="00982B5F" w:rsidRDefault="40C993A5" w:rsidP="00982B5F">
            <w:pPr>
              <w:spacing w:before="120" w:after="120"/>
              <w:jc w:val="right"/>
              <w:rPr>
                <w:sz w:val="16"/>
                <w:szCs w:val="20"/>
              </w:rPr>
            </w:pPr>
            <w:r w:rsidRPr="00982B5F">
              <w:rPr>
                <w:sz w:val="16"/>
                <w:szCs w:val="20"/>
              </w:rPr>
              <w:t>26.7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48E0419" w14:textId="6047C8FE" w:rsidR="40C993A5" w:rsidRPr="00982B5F" w:rsidRDefault="40C993A5" w:rsidP="00982B5F">
            <w:pPr>
              <w:spacing w:before="120" w:after="120"/>
              <w:jc w:val="right"/>
              <w:rPr>
                <w:sz w:val="16"/>
                <w:szCs w:val="20"/>
              </w:rPr>
            </w:pPr>
            <w:r w:rsidRPr="00982B5F">
              <w:rPr>
                <w:sz w:val="16"/>
                <w:szCs w:val="20"/>
              </w:rPr>
              <w:t>12.2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2D448D1F" w14:textId="19123310" w:rsidR="40C993A5" w:rsidRPr="00982B5F" w:rsidRDefault="40C993A5" w:rsidP="00982B5F">
            <w:pPr>
              <w:spacing w:before="120" w:after="120"/>
              <w:jc w:val="right"/>
              <w:rPr>
                <w:sz w:val="16"/>
                <w:szCs w:val="20"/>
              </w:rPr>
            </w:pPr>
            <w:r w:rsidRPr="00982B5F">
              <w:rPr>
                <w:sz w:val="16"/>
                <w:szCs w:val="20"/>
              </w:rPr>
              <w:t>58.3</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DD630B9" w14:textId="16973838" w:rsidR="40C993A5" w:rsidRPr="00982B5F" w:rsidRDefault="40C993A5" w:rsidP="00982B5F">
            <w:pPr>
              <w:spacing w:before="120" w:after="120"/>
              <w:jc w:val="right"/>
              <w:rPr>
                <w:sz w:val="16"/>
                <w:szCs w:val="16"/>
              </w:rPr>
            </w:pPr>
            <w:r w:rsidRPr="00982B5F">
              <w:rPr>
                <w:sz w:val="16"/>
                <w:szCs w:val="16"/>
              </w:rPr>
              <w:t>97.2</w:t>
            </w:r>
          </w:p>
        </w:tc>
      </w:tr>
      <w:tr w:rsidR="007318C9" w14:paraId="3DF09241"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4E2A8DE2" w14:textId="5FF630C4" w:rsidR="40C993A5" w:rsidRPr="00982B5F" w:rsidRDefault="40C993A5" w:rsidP="00982B5F">
            <w:pPr>
              <w:spacing w:before="120" w:after="120"/>
              <w:rPr>
                <w:rFonts w:cs="Arial"/>
                <w:sz w:val="16"/>
                <w:szCs w:val="16"/>
              </w:rPr>
            </w:pPr>
            <w:r w:rsidRPr="00982B5F">
              <w:rPr>
                <w:rFonts w:cs="Arial"/>
                <w:sz w:val="16"/>
                <w:szCs w:val="16"/>
              </w:rPr>
              <w:t xml:space="preserve">JUN2022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0A6FB17" w14:textId="4ED19F12" w:rsidR="40C993A5" w:rsidRPr="00982B5F" w:rsidRDefault="40C993A5" w:rsidP="00982B5F">
            <w:pPr>
              <w:spacing w:before="120" w:after="120"/>
              <w:jc w:val="right"/>
              <w:rPr>
                <w:sz w:val="16"/>
                <w:szCs w:val="20"/>
              </w:rPr>
            </w:pPr>
            <w:r w:rsidRPr="00982B5F">
              <w:rPr>
                <w:sz w:val="16"/>
                <w:szCs w:val="20"/>
              </w:rPr>
              <w:t xml:space="preserve">109.1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60F9591F" w14:textId="2341E579" w:rsidR="40C993A5" w:rsidRPr="00982B5F" w:rsidRDefault="40C993A5" w:rsidP="00982B5F">
            <w:pPr>
              <w:spacing w:before="120" w:after="120"/>
              <w:jc w:val="right"/>
              <w:rPr>
                <w:sz w:val="16"/>
                <w:szCs w:val="20"/>
              </w:rPr>
            </w:pPr>
            <w:r w:rsidRPr="00982B5F">
              <w:rPr>
                <w:sz w:val="16"/>
                <w:szCs w:val="20"/>
              </w:rPr>
              <w:t>141.9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46912F6" w14:textId="72C067A6" w:rsidR="40C993A5" w:rsidRPr="00982B5F" w:rsidRDefault="40C993A5" w:rsidP="00982B5F">
            <w:pPr>
              <w:spacing w:before="120" w:after="120"/>
              <w:jc w:val="right"/>
              <w:rPr>
                <w:sz w:val="16"/>
                <w:szCs w:val="20"/>
              </w:rPr>
            </w:pPr>
            <w:r w:rsidRPr="00982B5F">
              <w:rPr>
                <w:sz w:val="16"/>
                <w:szCs w:val="20"/>
              </w:rPr>
              <w:t xml:space="preserve">117.3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6DAFA774" w14:textId="2E46A835" w:rsidR="40C993A5" w:rsidRPr="00982B5F" w:rsidRDefault="40C993A5" w:rsidP="00982B5F">
            <w:pPr>
              <w:spacing w:before="120" w:after="120"/>
              <w:jc w:val="right"/>
              <w:rPr>
                <w:sz w:val="16"/>
                <w:szCs w:val="20"/>
              </w:rPr>
            </w:pPr>
            <w:r w:rsidRPr="00982B5F">
              <w:rPr>
                <w:sz w:val="16"/>
                <w:szCs w:val="20"/>
              </w:rPr>
              <w:t>101.6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1A1DE837" w14:textId="22DDA0FC" w:rsidR="40C993A5" w:rsidRPr="00982B5F" w:rsidRDefault="40C993A5" w:rsidP="00982B5F">
            <w:pPr>
              <w:spacing w:before="120" w:after="120"/>
              <w:jc w:val="right"/>
              <w:rPr>
                <w:sz w:val="16"/>
                <w:szCs w:val="20"/>
              </w:rPr>
            </w:pPr>
            <w:r w:rsidRPr="00982B5F">
              <w:rPr>
                <w:sz w:val="16"/>
                <w:szCs w:val="20"/>
              </w:rPr>
              <w:t>95.4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2A11707" w14:textId="16F2A49D" w:rsidR="40C993A5" w:rsidRPr="00982B5F" w:rsidRDefault="40C993A5" w:rsidP="00982B5F">
            <w:pPr>
              <w:spacing w:before="120" w:after="120"/>
              <w:jc w:val="right"/>
              <w:rPr>
                <w:sz w:val="16"/>
                <w:szCs w:val="20"/>
              </w:rPr>
            </w:pPr>
            <w:r w:rsidRPr="00982B5F">
              <w:rPr>
                <w:sz w:val="16"/>
                <w:szCs w:val="20"/>
              </w:rPr>
              <w:t>96.7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3947F4D" w14:textId="660B74D8" w:rsidR="40C993A5" w:rsidRPr="00982B5F" w:rsidRDefault="40C993A5" w:rsidP="00982B5F">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0FEE248F" w14:textId="02874FA1" w:rsidR="40C993A5" w:rsidRPr="00982B5F" w:rsidRDefault="40C993A5" w:rsidP="00982B5F">
            <w:pPr>
              <w:spacing w:before="120" w:after="120"/>
              <w:jc w:val="right"/>
              <w:rPr>
                <w:sz w:val="16"/>
                <w:szCs w:val="20"/>
              </w:rPr>
            </w:pPr>
            <w:r w:rsidRPr="00982B5F">
              <w:rPr>
                <w:sz w:val="16"/>
                <w:szCs w:val="20"/>
              </w:rPr>
              <w:t>12.2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0B78E0AD" w14:textId="331D15B8" w:rsidR="40C993A5" w:rsidRPr="00982B5F" w:rsidRDefault="40C993A5" w:rsidP="00982B5F">
            <w:pPr>
              <w:spacing w:before="120" w:after="120"/>
              <w:jc w:val="right"/>
              <w:rPr>
                <w:sz w:val="16"/>
                <w:szCs w:val="20"/>
              </w:rPr>
            </w:pPr>
            <w:r w:rsidRPr="00982B5F">
              <w:rPr>
                <w:sz w:val="16"/>
                <w:szCs w:val="20"/>
              </w:rPr>
              <w:t>59.1</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45F77904" w14:textId="1F60C4B2" w:rsidR="40C993A5" w:rsidRPr="00982B5F" w:rsidRDefault="40C993A5" w:rsidP="00982B5F">
            <w:pPr>
              <w:spacing w:before="120" w:after="120"/>
              <w:jc w:val="right"/>
              <w:rPr>
                <w:sz w:val="16"/>
                <w:szCs w:val="16"/>
              </w:rPr>
            </w:pPr>
            <w:r w:rsidRPr="00982B5F">
              <w:rPr>
                <w:sz w:val="16"/>
                <w:szCs w:val="16"/>
              </w:rPr>
              <w:t>97.8</w:t>
            </w:r>
          </w:p>
        </w:tc>
      </w:tr>
      <w:tr w:rsidR="007318C9" w14:paraId="56F1763B"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0B8F6F5" w14:textId="11B22863" w:rsidR="40C993A5" w:rsidRPr="00982B5F" w:rsidRDefault="40C993A5" w:rsidP="00982B5F">
            <w:pPr>
              <w:spacing w:before="120" w:after="120"/>
              <w:rPr>
                <w:rFonts w:cs="Arial"/>
                <w:sz w:val="16"/>
                <w:szCs w:val="16"/>
              </w:rPr>
            </w:pPr>
            <w:r w:rsidRPr="00982B5F">
              <w:rPr>
                <w:rFonts w:cs="Arial"/>
                <w:sz w:val="16"/>
                <w:szCs w:val="16"/>
              </w:rPr>
              <w:t xml:space="preserve">SEP2022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6A3A247" w14:textId="59178697" w:rsidR="40C993A5" w:rsidRPr="00982B5F" w:rsidRDefault="40C993A5" w:rsidP="00982B5F">
            <w:pPr>
              <w:spacing w:before="120" w:after="120"/>
              <w:jc w:val="right"/>
              <w:rPr>
                <w:sz w:val="16"/>
                <w:szCs w:val="20"/>
              </w:rPr>
            </w:pPr>
            <w:r w:rsidRPr="00982B5F">
              <w:rPr>
                <w:sz w:val="16"/>
                <w:szCs w:val="20"/>
              </w:rPr>
              <w:t xml:space="preserve">107.5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156F5346" w14:textId="5865E84A" w:rsidR="40C993A5" w:rsidRPr="00982B5F" w:rsidRDefault="40C993A5" w:rsidP="00982B5F">
            <w:pPr>
              <w:spacing w:before="120" w:after="120"/>
              <w:jc w:val="right"/>
              <w:rPr>
                <w:sz w:val="16"/>
                <w:szCs w:val="20"/>
              </w:rPr>
            </w:pPr>
            <w:r w:rsidRPr="00982B5F">
              <w:rPr>
                <w:sz w:val="16"/>
                <w:szCs w:val="20"/>
              </w:rPr>
              <w:t>145.1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EAA006A" w14:textId="3AB5D6D2" w:rsidR="40C993A5" w:rsidRPr="00982B5F" w:rsidRDefault="40C993A5" w:rsidP="00982B5F">
            <w:pPr>
              <w:spacing w:before="120" w:after="120"/>
              <w:jc w:val="right"/>
              <w:rPr>
                <w:sz w:val="16"/>
                <w:szCs w:val="20"/>
              </w:rPr>
            </w:pPr>
            <w:r w:rsidRPr="00982B5F">
              <w:rPr>
                <w:sz w:val="16"/>
                <w:szCs w:val="20"/>
              </w:rPr>
              <w:t xml:space="preserve">118.8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BD24B62" w14:textId="06C37F93" w:rsidR="40C993A5" w:rsidRPr="00982B5F" w:rsidRDefault="40C993A5" w:rsidP="00982B5F">
            <w:pPr>
              <w:spacing w:before="120" w:after="120"/>
              <w:jc w:val="right"/>
              <w:rPr>
                <w:sz w:val="16"/>
                <w:szCs w:val="20"/>
              </w:rPr>
            </w:pPr>
            <w:r w:rsidRPr="00982B5F">
              <w:rPr>
                <w:sz w:val="16"/>
                <w:szCs w:val="20"/>
              </w:rPr>
              <w:t>100.1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56E6D56" w14:textId="2E1ADF32" w:rsidR="40C993A5" w:rsidRPr="00982B5F" w:rsidRDefault="40C993A5" w:rsidP="00982B5F">
            <w:pPr>
              <w:spacing w:before="120" w:after="120"/>
              <w:jc w:val="right"/>
              <w:rPr>
                <w:sz w:val="16"/>
                <w:szCs w:val="20"/>
              </w:rPr>
            </w:pPr>
            <w:r w:rsidRPr="00982B5F">
              <w:rPr>
                <w:sz w:val="16"/>
                <w:szCs w:val="20"/>
              </w:rPr>
              <w:t>97.6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207249A" w14:textId="5FEE34D0" w:rsidR="40C993A5" w:rsidRPr="00982B5F" w:rsidRDefault="40C993A5" w:rsidP="00982B5F">
            <w:pPr>
              <w:spacing w:before="120" w:after="120"/>
              <w:jc w:val="right"/>
              <w:rPr>
                <w:sz w:val="16"/>
                <w:szCs w:val="20"/>
              </w:rPr>
            </w:pPr>
            <w:r w:rsidRPr="00982B5F">
              <w:rPr>
                <w:sz w:val="16"/>
                <w:szCs w:val="20"/>
              </w:rPr>
              <w:t>97.9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4B909E2" w14:textId="705E0F86" w:rsidR="40C993A5" w:rsidRPr="00982B5F" w:rsidRDefault="40C993A5" w:rsidP="00982B5F">
            <w:pPr>
              <w:spacing w:before="120" w:after="120"/>
              <w:jc w:val="right"/>
              <w:rPr>
                <w:sz w:val="16"/>
                <w:szCs w:val="20"/>
              </w:rPr>
            </w:pPr>
            <w:r w:rsidRPr="00982B5F">
              <w:rPr>
                <w:sz w:val="16"/>
                <w:szCs w:val="20"/>
              </w:rPr>
              <w:t>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EA62833" w14:textId="031A90D1" w:rsidR="40C993A5" w:rsidRPr="00982B5F" w:rsidRDefault="40C993A5" w:rsidP="00982B5F">
            <w:pPr>
              <w:spacing w:before="120" w:after="120"/>
              <w:jc w:val="right"/>
              <w:rPr>
                <w:sz w:val="16"/>
                <w:szCs w:val="20"/>
              </w:rPr>
            </w:pPr>
            <w:r w:rsidRPr="00982B5F">
              <w:rPr>
                <w:sz w:val="16"/>
                <w:szCs w:val="20"/>
              </w:rPr>
              <w:t>12.5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230E49BF" w14:textId="568D52CA" w:rsidR="40C993A5" w:rsidRPr="00982B5F" w:rsidRDefault="40C993A5" w:rsidP="00982B5F">
            <w:pPr>
              <w:spacing w:before="120" w:after="120"/>
              <w:jc w:val="right"/>
              <w:rPr>
                <w:sz w:val="16"/>
                <w:szCs w:val="20"/>
              </w:rPr>
            </w:pPr>
            <w:r w:rsidRPr="00982B5F">
              <w:rPr>
                <w:sz w:val="16"/>
                <w:szCs w:val="20"/>
              </w:rPr>
              <w:t>59.9</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tcPr>
          <w:p w14:paraId="5744AD08" w14:textId="4C2A164A" w:rsidR="40C993A5" w:rsidRPr="00982B5F" w:rsidRDefault="40C993A5" w:rsidP="00982B5F">
            <w:pPr>
              <w:spacing w:before="120" w:after="120"/>
              <w:jc w:val="right"/>
              <w:rPr>
                <w:sz w:val="16"/>
                <w:szCs w:val="16"/>
              </w:rPr>
            </w:pPr>
            <w:r w:rsidRPr="00982B5F">
              <w:rPr>
                <w:sz w:val="16"/>
                <w:szCs w:val="16"/>
              </w:rPr>
              <w:t>98.5</w:t>
            </w:r>
          </w:p>
        </w:tc>
      </w:tr>
      <w:tr w:rsidR="007318C9" w14:paraId="58081966" w14:textId="77777777" w:rsidTr="002762F2">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8CAC317" w14:textId="418FDE5E" w:rsidR="40C993A5" w:rsidRPr="00982B5F" w:rsidRDefault="40C993A5" w:rsidP="00982B5F">
            <w:pPr>
              <w:spacing w:before="120" w:after="120"/>
              <w:rPr>
                <w:rFonts w:cs="Arial"/>
                <w:sz w:val="16"/>
                <w:szCs w:val="16"/>
              </w:rPr>
            </w:pPr>
            <w:r w:rsidRPr="00982B5F">
              <w:rPr>
                <w:rFonts w:cs="Arial"/>
                <w:sz w:val="16"/>
                <w:szCs w:val="16"/>
              </w:rPr>
              <w:t xml:space="preserve">DEC2022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F435E48" w14:textId="4A064078" w:rsidR="40C993A5" w:rsidRPr="00982B5F" w:rsidRDefault="40C993A5" w:rsidP="00982B5F">
            <w:pPr>
              <w:spacing w:before="120" w:after="120"/>
              <w:jc w:val="right"/>
              <w:rPr>
                <w:sz w:val="16"/>
                <w:szCs w:val="20"/>
              </w:rPr>
            </w:pPr>
            <w:r w:rsidRPr="00982B5F">
              <w:rPr>
                <w:sz w:val="16"/>
                <w:szCs w:val="20"/>
              </w:rPr>
              <w:t xml:space="preserve">107.4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tcPr>
          <w:p w14:paraId="207D8581" w14:textId="6A81A255" w:rsidR="40C993A5" w:rsidRPr="00982B5F" w:rsidRDefault="40C993A5" w:rsidP="00982B5F">
            <w:pPr>
              <w:spacing w:before="120" w:after="120"/>
              <w:jc w:val="right"/>
              <w:rPr>
                <w:sz w:val="16"/>
                <w:szCs w:val="20"/>
              </w:rPr>
            </w:pPr>
            <w:r w:rsidRPr="00982B5F">
              <w:rPr>
                <w:sz w:val="16"/>
                <w:szCs w:val="20"/>
              </w:rPr>
              <w:t>148.7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60697FB" w14:textId="12297A40" w:rsidR="40C993A5" w:rsidRPr="00982B5F" w:rsidRDefault="40C993A5" w:rsidP="00982B5F">
            <w:pPr>
              <w:spacing w:before="120" w:after="120"/>
              <w:jc w:val="right"/>
              <w:rPr>
                <w:sz w:val="16"/>
                <w:szCs w:val="20"/>
              </w:rPr>
            </w:pPr>
            <w:r w:rsidRPr="00982B5F">
              <w:rPr>
                <w:sz w:val="16"/>
                <w:szCs w:val="20"/>
              </w:rPr>
              <w:t xml:space="preserve">121.3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565BEA6E" w14:textId="6E26F247" w:rsidR="40C993A5" w:rsidRPr="00982B5F" w:rsidRDefault="40C993A5" w:rsidP="00982B5F">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717C59E4" w14:textId="37DB706C" w:rsidR="40C993A5" w:rsidRPr="00982B5F" w:rsidRDefault="40C993A5" w:rsidP="00982B5F">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4B1C76E8" w14:textId="01B69F0D" w:rsidR="40C993A5" w:rsidRPr="00982B5F" w:rsidRDefault="40C993A5" w:rsidP="00982B5F">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22E58B8A" w14:textId="11521829" w:rsidR="40C993A5" w:rsidRPr="00982B5F" w:rsidRDefault="40C993A5" w:rsidP="00982B5F">
            <w:pPr>
              <w:spacing w:before="120" w:after="120"/>
              <w:jc w:val="right"/>
              <w:rPr>
                <w:sz w:val="16"/>
                <w:szCs w:val="20"/>
              </w:rPr>
            </w:pPr>
            <w:r w:rsidRPr="00982B5F">
              <w:rPr>
                <w:sz w:val="16"/>
                <w:szCs w:val="20"/>
              </w:rPr>
              <w:t>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bottom"/>
          </w:tcPr>
          <w:p w14:paraId="3318BA14" w14:textId="349D0642" w:rsidR="40C993A5" w:rsidRPr="00982B5F" w:rsidRDefault="40C993A5" w:rsidP="00982B5F">
            <w:pPr>
              <w:spacing w:before="120" w:after="120"/>
              <w:jc w:val="right"/>
              <w:rPr>
                <w:sz w:val="16"/>
                <w:szCs w:val="20"/>
              </w:rPr>
            </w:pPr>
            <w:r w:rsidRPr="00982B5F">
              <w:rPr>
                <w:sz w:val="16"/>
                <w:szCs w:val="20"/>
              </w:rPr>
              <w:t>12.8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bottom"/>
          </w:tcPr>
          <w:p w14:paraId="4FEAD38E" w14:textId="1D995D9F" w:rsidR="40C993A5" w:rsidRPr="00982B5F" w:rsidRDefault="40C993A5" w:rsidP="00982B5F">
            <w:pPr>
              <w:spacing w:before="120" w:after="120"/>
              <w:jc w:val="right"/>
              <w:rPr>
                <w:sz w:val="16"/>
                <w:szCs w:val="20"/>
              </w:rPr>
            </w:pPr>
            <w:r w:rsidRPr="00982B5F">
              <w:rPr>
                <w:sz w:val="16"/>
                <w:szCs w:val="20"/>
              </w:rPr>
              <w:t>61.2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tcPr>
          <w:p w14:paraId="7AD237AA" w14:textId="1A0B71FA" w:rsidR="40C993A5" w:rsidRPr="00982B5F" w:rsidRDefault="40C993A5" w:rsidP="00982B5F">
            <w:pPr>
              <w:spacing w:before="120" w:after="120"/>
              <w:jc w:val="right"/>
              <w:rPr>
                <w:sz w:val="16"/>
                <w:szCs w:val="16"/>
              </w:rPr>
            </w:pPr>
            <w:r w:rsidRPr="00982B5F">
              <w:rPr>
                <w:sz w:val="16"/>
                <w:szCs w:val="16"/>
              </w:rPr>
              <w:t xml:space="preserve">100 </w:t>
            </w:r>
          </w:p>
        </w:tc>
      </w:tr>
    </w:tbl>
    <w:p w14:paraId="3497D705" w14:textId="774E8A0A" w:rsidR="00FC5B3A" w:rsidRPr="00F44818" w:rsidRDefault="00FC5B3A" w:rsidP="40C993A5">
      <w:pPr>
        <w:pStyle w:val="TableFigureheading"/>
      </w:pPr>
    </w:p>
    <w:p w14:paraId="52FE8400" w14:textId="318474C3" w:rsidR="00FC5B3A" w:rsidRDefault="00FC5B3A" w:rsidP="00982B5F">
      <w:pPr>
        <w:spacing w:line="257" w:lineRule="auto"/>
        <w:rPr>
          <w:rFonts w:ascii="Times New Roman" w:eastAsia="Times New Roman" w:hAnsi="Times New Roman" w:cs="Times New Roman"/>
          <w:sz w:val="24"/>
          <w:szCs w:val="24"/>
        </w:rPr>
      </w:pPr>
    </w:p>
    <w:p w14:paraId="7FD9D683" w14:textId="3E4C74BC" w:rsidR="00FC5B3A" w:rsidRDefault="00FC5B3A">
      <w:pPr>
        <w:spacing w:line="259" w:lineRule="auto"/>
      </w:pPr>
    </w:p>
    <w:p w14:paraId="1DCB62EA" w14:textId="4351A63B" w:rsidR="2C98ECEE" w:rsidRDefault="2C98ECEE" w:rsidP="2C98ECEE">
      <w:pPr>
        <w:spacing w:line="259" w:lineRule="auto"/>
      </w:pPr>
    </w:p>
    <w:p w14:paraId="774AEAE3" w14:textId="37774F8E" w:rsidR="00F44818" w:rsidRDefault="00F44818">
      <w:pPr>
        <w:spacing w:line="259" w:lineRule="auto"/>
      </w:pPr>
      <w:r>
        <w:br w:type="page"/>
      </w:r>
    </w:p>
    <w:p w14:paraId="451FCE8F" w14:textId="3C82E1AB" w:rsidR="00A51E56" w:rsidRDefault="00273B40" w:rsidP="00A51E56">
      <w:pPr>
        <w:pStyle w:val="TableFigureheading"/>
      </w:pPr>
      <w:r>
        <w:lastRenderedPageBreak/>
        <w:t>Table </w:t>
      </w:r>
      <w:fldSimple w:instr=" SEQ Table \* ARABIC ">
        <w:r w:rsidR="00B1072E">
          <w:rPr>
            <w:noProof/>
          </w:rPr>
          <w:t>18</w:t>
        </w:r>
      </w:fldSimple>
      <w:r w:rsidR="00A51E56">
        <w:t>: Hotel price index numbers – source</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1004"/>
        <w:gridCol w:w="1177"/>
        <w:gridCol w:w="1177"/>
        <w:gridCol w:w="1177"/>
        <w:gridCol w:w="1178"/>
        <w:gridCol w:w="1178"/>
        <w:gridCol w:w="1178"/>
        <w:gridCol w:w="1178"/>
        <w:gridCol w:w="1178"/>
        <w:gridCol w:w="1178"/>
        <w:gridCol w:w="1178"/>
        <w:gridCol w:w="1172"/>
      </w:tblGrid>
      <w:tr w:rsidR="003B5161" w:rsidRPr="004E67F4" w14:paraId="0E1B4D29" w14:textId="77777777" w:rsidTr="00C31B44">
        <w:trPr>
          <w:cnfStyle w:val="100000000000" w:firstRow="1" w:lastRow="0" w:firstColumn="0" w:lastColumn="0" w:oddVBand="0" w:evenVBand="0" w:oddHBand="0" w:evenHBand="0" w:firstRowFirstColumn="0" w:firstRowLastColumn="0" w:lastRowFirstColumn="0" w:lastRowLastColumn="0"/>
          <w:cantSplit/>
          <w:trHeight w:val="20"/>
          <w:tblHeader/>
        </w:trPr>
        <w:tc>
          <w:tcPr>
            <w:tcW w:w="36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5FF4611A" w14:textId="77777777" w:rsidR="003B5161" w:rsidRPr="00FF1850" w:rsidRDefault="003B5161" w:rsidP="003B5161">
            <w:pPr>
              <w:spacing w:before="120" w:after="120"/>
              <w:jc w:val="center"/>
              <w:rPr>
                <w:b/>
                <w:bCs/>
                <w:color w:val="FFFFFF" w:themeColor="background2"/>
              </w:rPr>
            </w:pPr>
            <w:r w:rsidRPr="00FF1850">
              <w:rPr>
                <w:b/>
                <w:bCs/>
                <w:color w:val="FFFFFF" w:themeColor="background2"/>
              </w:rPr>
              <w:t>Quarter</w:t>
            </w:r>
          </w:p>
        </w:tc>
        <w:tc>
          <w:tcPr>
            <w:tcW w:w="4640"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3D3DFCE2" w14:textId="656967D8" w:rsidR="003B5161" w:rsidRPr="00FF1850" w:rsidRDefault="003B5161" w:rsidP="003B5161">
            <w:pPr>
              <w:spacing w:before="120" w:after="120"/>
              <w:jc w:val="center"/>
              <w:rPr>
                <w:b/>
                <w:bCs/>
                <w:color w:val="FFFFFF" w:themeColor="background2"/>
              </w:rPr>
            </w:pPr>
            <w:r w:rsidRPr="003B5161">
              <w:rPr>
                <w:b/>
                <w:bCs/>
                <w:color w:val="FFFFFF" w:themeColor="background2"/>
              </w:rPr>
              <w:t>Source index numbers</w:t>
            </w:r>
          </w:p>
        </w:tc>
      </w:tr>
      <w:tr w:rsidR="00247555" w:rsidRPr="008A31CB" w14:paraId="73B0352A" w14:textId="77777777" w:rsidTr="00247555">
        <w:trPr>
          <w:cnfStyle w:val="100000000000" w:firstRow="1" w:lastRow="0" w:firstColumn="0" w:lastColumn="0" w:oddVBand="0" w:evenVBand="0" w:oddHBand="0" w:evenHBand="0" w:firstRowFirstColumn="0" w:firstRowLastColumn="0" w:lastRowFirstColumn="0" w:lastRowLastColumn="0"/>
          <w:cantSplit/>
          <w:trHeight w:val="20"/>
          <w:tblHeader/>
        </w:trPr>
        <w:tc>
          <w:tcPr>
            <w:tcW w:w="36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486BD651" w14:textId="77777777" w:rsidR="00247555" w:rsidRPr="008A31CB" w:rsidRDefault="00247555" w:rsidP="00247555">
            <w:pPr>
              <w:spacing w:before="120" w:after="120"/>
              <w:jc w:val="center"/>
              <w:rPr>
                <w:rFonts w:cs="Arial"/>
                <w:b/>
                <w:bCs/>
                <w:sz w:val="16"/>
                <w:szCs w:val="16"/>
              </w:rPr>
            </w:pPr>
          </w:p>
        </w:tc>
        <w:tc>
          <w:tcPr>
            <w:tcW w:w="422"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tcPr>
          <w:p w14:paraId="6C09B2A5" w14:textId="0C131E47" w:rsidR="00247555" w:rsidRPr="00247555" w:rsidRDefault="00247555" w:rsidP="00247555">
            <w:pPr>
              <w:spacing w:before="120" w:after="120"/>
              <w:jc w:val="center"/>
              <w:rPr>
                <w:rFonts w:cs="Arial"/>
                <w:b/>
                <w:bCs/>
                <w:sz w:val="16"/>
                <w:szCs w:val="16"/>
              </w:rPr>
            </w:pPr>
            <w:r w:rsidRPr="0056704F">
              <w:rPr>
                <w:rFonts w:cs="Arial"/>
                <w:b/>
                <w:bCs/>
                <w:sz w:val="16"/>
                <w:szCs w:val="16"/>
              </w:rPr>
              <w:t>A2325891R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4B17603F" w14:textId="65509E77" w:rsidR="00247555" w:rsidRPr="00247555" w:rsidRDefault="00247555" w:rsidP="00247555">
            <w:pPr>
              <w:spacing w:before="120" w:after="120"/>
              <w:jc w:val="center"/>
              <w:rPr>
                <w:rFonts w:cs="Arial"/>
                <w:b/>
                <w:bCs/>
                <w:sz w:val="16"/>
                <w:szCs w:val="16"/>
              </w:rPr>
            </w:pPr>
            <w:r w:rsidRPr="0056704F">
              <w:rPr>
                <w:rFonts w:cs="Arial"/>
                <w:b/>
                <w:bCs/>
                <w:sz w:val="16"/>
                <w:szCs w:val="16"/>
              </w:rPr>
              <w:t>A2326026R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5AD437E9" w14:textId="7BC70428" w:rsidR="00247555" w:rsidRPr="00247555" w:rsidRDefault="00247555" w:rsidP="00247555">
            <w:pPr>
              <w:spacing w:before="120" w:after="120"/>
              <w:jc w:val="center"/>
              <w:rPr>
                <w:rFonts w:cs="Arial"/>
                <w:b/>
                <w:bCs/>
                <w:sz w:val="16"/>
                <w:szCs w:val="16"/>
              </w:rPr>
            </w:pPr>
            <w:r w:rsidRPr="0056704F">
              <w:rPr>
                <w:rFonts w:cs="Arial"/>
                <w:b/>
                <w:bCs/>
                <w:sz w:val="16"/>
                <w:szCs w:val="16"/>
              </w:rPr>
              <w:t>A2326521X</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1A71DC7C" w14:textId="5BB74AF1" w:rsidR="00247555" w:rsidRPr="00247555" w:rsidRDefault="00247555" w:rsidP="00247555">
            <w:pPr>
              <w:spacing w:before="120" w:after="120"/>
              <w:jc w:val="center"/>
              <w:rPr>
                <w:rFonts w:cs="Arial"/>
                <w:b/>
                <w:bCs/>
                <w:sz w:val="16"/>
                <w:szCs w:val="16"/>
              </w:rPr>
            </w:pPr>
            <w:r w:rsidRPr="0056704F">
              <w:rPr>
                <w:rFonts w:cs="Arial"/>
                <w:b/>
                <w:bCs/>
                <w:sz w:val="16"/>
                <w:szCs w:val="16"/>
              </w:rPr>
              <w:t>A2326656J</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1D2437AC" w14:textId="4DBE249C" w:rsidR="00247555" w:rsidRPr="00247555" w:rsidRDefault="00247555" w:rsidP="00247555">
            <w:pPr>
              <w:spacing w:before="120" w:after="120"/>
              <w:jc w:val="center"/>
              <w:rPr>
                <w:rFonts w:cs="Arial"/>
                <w:b/>
                <w:bCs/>
                <w:sz w:val="16"/>
                <w:szCs w:val="16"/>
              </w:rPr>
            </w:pPr>
            <w:r w:rsidRPr="0056704F">
              <w:rPr>
                <w:rFonts w:cs="Arial"/>
                <w:b/>
                <w:bCs/>
                <w:sz w:val="16"/>
                <w:szCs w:val="16"/>
              </w:rPr>
              <w:t>A2328051C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117884EC" w14:textId="1D4B3A35" w:rsidR="00247555" w:rsidRPr="00247555" w:rsidRDefault="00247555" w:rsidP="00247555">
            <w:pPr>
              <w:spacing w:before="120" w:after="120"/>
              <w:jc w:val="center"/>
              <w:rPr>
                <w:rFonts w:cs="Arial"/>
                <w:b/>
                <w:bCs/>
                <w:sz w:val="16"/>
                <w:szCs w:val="16"/>
              </w:rPr>
            </w:pPr>
            <w:r w:rsidRPr="0056704F">
              <w:rPr>
                <w:rFonts w:cs="Arial"/>
                <w:b/>
                <w:bCs/>
                <w:sz w:val="16"/>
                <w:szCs w:val="16"/>
              </w:rPr>
              <w:t>A2331381C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5790177E" w14:textId="523C1198" w:rsidR="00247555" w:rsidRPr="00247555" w:rsidRDefault="00247555" w:rsidP="00247555">
            <w:pPr>
              <w:spacing w:before="120" w:after="120"/>
              <w:jc w:val="center"/>
              <w:rPr>
                <w:rFonts w:cs="Arial"/>
                <w:b/>
                <w:bCs/>
                <w:sz w:val="16"/>
                <w:szCs w:val="16"/>
              </w:rPr>
            </w:pPr>
            <w:r w:rsidRPr="0056704F">
              <w:rPr>
                <w:rFonts w:cs="Arial"/>
                <w:b/>
                <w:bCs/>
                <w:sz w:val="16"/>
                <w:szCs w:val="16"/>
              </w:rPr>
              <w:t>A2332776R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4DE21ABC" w14:textId="5D659B89" w:rsidR="00247555" w:rsidRPr="00247555" w:rsidRDefault="00247555" w:rsidP="00247555">
            <w:pPr>
              <w:spacing w:before="120" w:after="120"/>
              <w:jc w:val="center"/>
              <w:rPr>
                <w:rFonts w:cs="Arial"/>
                <w:b/>
                <w:bCs/>
                <w:sz w:val="16"/>
                <w:szCs w:val="16"/>
              </w:rPr>
            </w:pPr>
            <w:r w:rsidRPr="0056704F">
              <w:rPr>
                <w:rFonts w:cs="Arial"/>
                <w:b/>
                <w:bCs/>
                <w:sz w:val="16"/>
                <w:szCs w:val="16"/>
              </w:rPr>
              <w:t>A2602929A</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76286F97" w14:textId="6C668E39" w:rsidR="00247555" w:rsidRPr="00247555" w:rsidRDefault="00247555" w:rsidP="00247555">
            <w:pPr>
              <w:spacing w:before="120" w:after="120"/>
              <w:jc w:val="center"/>
              <w:rPr>
                <w:rFonts w:cs="Arial"/>
                <w:b/>
                <w:bCs/>
                <w:sz w:val="16"/>
                <w:szCs w:val="16"/>
              </w:rPr>
            </w:pPr>
            <w:r w:rsidRPr="0056704F">
              <w:rPr>
                <w:rFonts w:cs="Arial"/>
                <w:b/>
                <w:bCs/>
                <w:sz w:val="16"/>
                <w:szCs w:val="16"/>
              </w:rPr>
              <w:t>A3602833C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084DF722" w14:textId="681CD05C" w:rsidR="00247555" w:rsidRPr="00247555" w:rsidRDefault="00247555" w:rsidP="00247555">
            <w:pPr>
              <w:spacing w:before="120" w:after="120"/>
              <w:jc w:val="center"/>
              <w:rPr>
                <w:rFonts w:cs="Arial"/>
                <w:b/>
                <w:bCs/>
                <w:sz w:val="16"/>
                <w:szCs w:val="16"/>
              </w:rPr>
            </w:pPr>
            <w:r w:rsidRPr="0056704F">
              <w:rPr>
                <w:rFonts w:cs="Arial"/>
                <w:b/>
                <w:bCs/>
                <w:sz w:val="16"/>
                <w:szCs w:val="16"/>
              </w:rPr>
              <w:t>A3604408A</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tcPr>
          <w:p w14:paraId="320E8FD2" w14:textId="1FD158B9" w:rsidR="00247555" w:rsidRPr="00247555" w:rsidRDefault="00247555" w:rsidP="00247555">
            <w:pPr>
              <w:spacing w:before="120" w:after="120"/>
              <w:jc w:val="center"/>
              <w:rPr>
                <w:rFonts w:cs="Arial"/>
                <w:b/>
                <w:bCs/>
                <w:sz w:val="16"/>
                <w:szCs w:val="16"/>
              </w:rPr>
            </w:pPr>
            <w:r w:rsidRPr="0056704F">
              <w:rPr>
                <w:rFonts w:cs="Arial"/>
                <w:b/>
                <w:bCs/>
                <w:sz w:val="16"/>
                <w:szCs w:val="16"/>
              </w:rPr>
              <w:t>A3604423X</w:t>
            </w:r>
          </w:p>
        </w:tc>
      </w:tr>
      <w:tr w:rsidR="00E24B37" w:rsidRPr="008A31CB" w14:paraId="73C7F8C4"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49F49035" w14:textId="77777777" w:rsidR="003C0054" w:rsidRPr="008A31CB" w:rsidRDefault="003C0054" w:rsidP="003C0054">
            <w:pPr>
              <w:spacing w:before="120" w:after="120"/>
              <w:rPr>
                <w:rFonts w:cs="Arial"/>
                <w:color w:val="1C1C1C"/>
                <w:sz w:val="16"/>
                <w:szCs w:val="16"/>
              </w:rPr>
            </w:pPr>
            <w:r w:rsidRPr="008A31CB">
              <w:rPr>
                <w:rFonts w:cs="Arial"/>
                <w:sz w:val="16"/>
                <w:szCs w:val="16"/>
              </w:rPr>
              <w:t>SEP2021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64D1626" w14:textId="37EBE8F3" w:rsidR="003C0054" w:rsidRPr="00E24B37" w:rsidRDefault="003C0054" w:rsidP="003C0054">
            <w:pPr>
              <w:spacing w:before="120" w:after="120"/>
              <w:jc w:val="right"/>
              <w:rPr>
                <w:rFonts w:cs="Arial"/>
                <w:sz w:val="16"/>
                <w:szCs w:val="16"/>
              </w:rPr>
            </w:pPr>
            <w:r w:rsidRPr="00E24B37">
              <w:rPr>
                <w:rFonts w:cs="Arial"/>
                <w:sz w:val="16"/>
                <w:szCs w:val="16"/>
              </w:rPr>
              <w:t>114.2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65781EE" w14:textId="70549541" w:rsidR="003C0054" w:rsidRPr="008A31CB" w:rsidRDefault="003C0054" w:rsidP="003C0054">
            <w:pPr>
              <w:spacing w:before="120" w:after="120"/>
              <w:jc w:val="right"/>
              <w:rPr>
                <w:rFonts w:cs="Arial"/>
                <w:sz w:val="16"/>
                <w:szCs w:val="16"/>
              </w:rPr>
            </w:pPr>
            <w:r w:rsidRPr="00E24B37">
              <w:rPr>
                <w:rFonts w:cs="Arial"/>
                <w:sz w:val="16"/>
                <w:szCs w:val="16"/>
              </w:rPr>
              <w:t>111.1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6203DEF" w14:textId="77EEDCCA" w:rsidR="003C0054" w:rsidRPr="008A31CB" w:rsidRDefault="003C0054" w:rsidP="003C0054">
            <w:pPr>
              <w:spacing w:before="120" w:after="120"/>
              <w:jc w:val="right"/>
              <w:rPr>
                <w:rFonts w:cs="Arial"/>
                <w:sz w:val="16"/>
                <w:szCs w:val="16"/>
              </w:rPr>
            </w:pPr>
            <w:r w:rsidRPr="00E24B37">
              <w:rPr>
                <w:rFonts w:cs="Arial"/>
                <w:sz w:val="16"/>
                <w:szCs w:val="16"/>
              </w:rPr>
              <w:t>128.5</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DF4D5B1" w14:textId="21992D17" w:rsidR="003C0054" w:rsidRPr="008A31CB" w:rsidRDefault="003C0054" w:rsidP="003C0054">
            <w:pPr>
              <w:spacing w:before="120" w:after="120"/>
              <w:jc w:val="right"/>
              <w:rPr>
                <w:rFonts w:cs="Arial"/>
                <w:sz w:val="16"/>
                <w:szCs w:val="16"/>
              </w:rPr>
            </w:pPr>
            <w:r w:rsidRPr="00E24B37">
              <w:rPr>
                <w:rFonts w:cs="Arial"/>
                <w:sz w:val="16"/>
                <w:szCs w:val="16"/>
              </w:rPr>
              <w:t>113.2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4B68EF1" w14:textId="0C63A101" w:rsidR="003C0054" w:rsidRPr="008A31CB" w:rsidRDefault="003C0054" w:rsidP="003C0054">
            <w:pPr>
              <w:spacing w:before="120" w:after="120"/>
              <w:jc w:val="right"/>
              <w:rPr>
                <w:rFonts w:cs="Arial"/>
                <w:sz w:val="16"/>
                <w:szCs w:val="16"/>
              </w:rPr>
            </w:pPr>
            <w:r w:rsidRPr="00E24B37">
              <w:rPr>
                <w:rFonts w:cs="Arial"/>
                <w:sz w:val="16"/>
                <w:szCs w:val="16"/>
              </w:rPr>
              <w:t>127.4</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A966A65" w14:textId="65244814" w:rsidR="003C0054" w:rsidRPr="008A31CB" w:rsidRDefault="003C0054" w:rsidP="003C0054">
            <w:pPr>
              <w:spacing w:before="120" w:after="120"/>
              <w:jc w:val="right"/>
              <w:rPr>
                <w:rFonts w:cs="Arial"/>
                <w:sz w:val="16"/>
                <w:szCs w:val="16"/>
              </w:rPr>
            </w:pPr>
            <w:r w:rsidRPr="00E24B37">
              <w:rPr>
                <w:rFonts w:cs="Arial"/>
                <w:sz w:val="16"/>
                <w:szCs w:val="16"/>
              </w:rPr>
              <w:t>117.6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77CA366" w14:textId="3BEE0141" w:rsidR="003C0054" w:rsidRPr="008A31CB" w:rsidRDefault="003C0054" w:rsidP="003C0054">
            <w:pPr>
              <w:spacing w:before="120" w:after="120"/>
              <w:jc w:val="right"/>
              <w:rPr>
                <w:rFonts w:cs="Arial"/>
                <w:sz w:val="16"/>
                <w:szCs w:val="16"/>
              </w:rPr>
            </w:pPr>
            <w:r w:rsidRPr="00E24B37">
              <w:rPr>
                <w:rFonts w:cs="Arial"/>
                <w:sz w:val="16"/>
                <w:szCs w:val="16"/>
              </w:rPr>
              <w:t>113.4</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3953972" w14:textId="34B2FA39" w:rsidR="003C0054" w:rsidRPr="008A31CB" w:rsidRDefault="003C0054" w:rsidP="003C0054">
            <w:pPr>
              <w:spacing w:before="120" w:after="120"/>
              <w:jc w:val="right"/>
              <w:rPr>
                <w:rFonts w:cs="Arial"/>
                <w:sz w:val="16"/>
                <w:szCs w:val="16"/>
              </w:rPr>
            </w:pPr>
            <w:r w:rsidRPr="00E24B37">
              <w:rPr>
                <w:rFonts w:cs="Arial"/>
                <w:sz w:val="16"/>
                <w:szCs w:val="16"/>
              </w:rPr>
              <w:t>144.1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EC9CFDD" w14:textId="51362DDB" w:rsidR="003C0054" w:rsidRPr="008A31CB" w:rsidRDefault="003C0054" w:rsidP="003C0054">
            <w:pPr>
              <w:spacing w:before="120" w:after="120"/>
              <w:jc w:val="right"/>
              <w:rPr>
                <w:rFonts w:cs="Arial"/>
                <w:sz w:val="16"/>
                <w:szCs w:val="16"/>
              </w:rPr>
            </w:pPr>
            <w:r w:rsidRPr="00E24B37">
              <w:rPr>
                <w:rFonts w:cs="Arial"/>
                <w:sz w:val="16"/>
                <w:szCs w:val="16"/>
              </w:rPr>
              <w:t>139.3</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F381817" w14:textId="2689F989" w:rsidR="003C0054" w:rsidRPr="008A31CB" w:rsidRDefault="003C0054" w:rsidP="003C0054">
            <w:pPr>
              <w:spacing w:before="120" w:after="120"/>
              <w:jc w:val="right"/>
              <w:rPr>
                <w:rFonts w:cs="Arial"/>
                <w:sz w:val="16"/>
                <w:szCs w:val="16"/>
              </w:rPr>
            </w:pPr>
            <w:r w:rsidRPr="00E24B37">
              <w:rPr>
                <w:rFonts w:cs="Arial"/>
                <w:sz w:val="16"/>
                <w:szCs w:val="16"/>
              </w:rPr>
              <w:t>117.2</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06011D26" w14:textId="1636C17B" w:rsidR="003C0054" w:rsidRPr="008A31CB" w:rsidRDefault="003C0054" w:rsidP="003C0054">
            <w:pPr>
              <w:spacing w:before="120" w:after="120"/>
              <w:jc w:val="right"/>
              <w:rPr>
                <w:rFonts w:cs="Arial"/>
                <w:sz w:val="16"/>
                <w:szCs w:val="16"/>
              </w:rPr>
            </w:pPr>
            <w:r w:rsidRPr="00E24B37">
              <w:rPr>
                <w:rFonts w:cs="Arial"/>
                <w:sz w:val="16"/>
                <w:szCs w:val="16"/>
              </w:rPr>
              <w:t>68.6</w:t>
            </w:r>
          </w:p>
        </w:tc>
      </w:tr>
      <w:tr w:rsidR="00E24B37" w:rsidRPr="008A31CB" w14:paraId="24352D49" w14:textId="77777777" w:rsidTr="003B5161">
        <w:trPr>
          <w:cnfStyle w:val="000000010000" w:firstRow="0" w:lastRow="0" w:firstColumn="0" w:lastColumn="0" w:oddVBand="0" w:evenVBand="0" w:oddHBand="0" w:evenHBand="1"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599F7FB9" w14:textId="77777777" w:rsidR="003C0054" w:rsidRPr="008A31CB" w:rsidRDefault="003C0054" w:rsidP="003C0054">
            <w:pPr>
              <w:spacing w:before="120" w:after="120"/>
              <w:rPr>
                <w:rFonts w:cs="Arial"/>
                <w:color w:val="1C1C1C"/>
                <w:sz w:val="16"/>
                <w:szCs w:val="16"/>
              </w:rPr>
            </w:pPr>
            <w:r w:rsidRPr="008A31CB">
              <w:rPr>
                <w:rFonts w:cs="Arial"/>
                <w:sz w:val="16"/>
                <w:szCs w:val="16"/>
              </w:rPr>
              <w:t>DEC2021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6F3B43F" w14:textId="4DA954D0" w:rsidR="003C0054" w:rsidRPr="00E24B37" w:rsidRDefault="003C0054" w:rsidP="003C0054">
            <w:pPr>
              <w:spacing w:before="120" w:after="120"/>
              <w:jc w:val="right"/>
              <w:rPr>
                <w:rFonts w:cs="Arial"/>
                <w:sz w:val="16"/>
                <w:szCs w:val="16"/>
              </w:rPr>
            </w:pPr>
            <w:r w:rsidRPr="00E24B37">
              <w:rPr>
                <w:rFonts w:cs="Arial"/>
                <w:sz w:val="16"/>
                <w:szCs w:val="16"/>
              </w:rPr>
              <w:t>115.0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E56BF22" w14:textId="74279430" w:rsidR="003C0054" w:rsidRPr="008A31CB" w:rsidRDefault="003C0054" w:rsidP="003C0054">
            <w:pPr>
              <w:spacing w:before="120" w:after="120"/>
              <w:jc w:val="right"/>
              <w:rPr>
                <w:rFonts w:cs="Arial"/>
                <w:sz w:val="16"/>
                <w:szCs w:val="16"/>
              </w:rPr>
            </w:pPr>
            <w:r w:rsidRPr="00E24B37">
              <w:rPr>
                <w:rFonts w:cs="Arial"/>
                <w:sz w:val="16"/>
                <w:szCs w:val="16"/>
              </w:rPr>
              <w:t>112.3</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0EF6AEC" w14:textId="2D6CF378" w:rsidR="003C0054" w:rsidRPr="008A31CB" w:rsidRDefault="003C0054" w:rsidP="003C0054">
            <w:pPr>
              <w:spacing w:before="120" w:after="120"/>
              <w:jc w:val="right"/>
              <w:rPr>
                <w:rFonts w:cs="Arial"/>
                <w:sz w:val="16"/>
                <w:szCs w:val="16"/>
              </w:rPr>
            </w:pPr>
            <w:r w:rsidRPr="00E24B37">
              <w:rPr>
                <w:rFonts w:cs="Arial"/>
                <w:sz w:val="16"/>
                <w:szCs w:val="16"/>
              </w:rPr>
              <w:t>128.9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BE5A4F8" w14:textId="47C50A26" w:rsidR="003C0054" w:rsidRPr="008A31CB" w:rsidRDefault="003C0054" w:rsidP="003C0054">
            <w:pPr>
              <w:spacing w:before="120" w:after="120"/>
              <w:jc w:val="right"/>
              <w:rPr>
                <w:rFonts w:cs="Arial"/>
                <w:sz w:val="16"/>
                <w:szCs w:val="16"/>
              </w:rPr>
            </w:pPr>
            <w:r w:rsidRPr="00E24B37">
              <w:rPr>
                <w:rFonts w:cs="Arial"/>
                <w:sz w:val="16"/>
                <w:szCs w:val="16"/>
              </w:rPr>
              <w:t>116.6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3F691A3" w14:textId="6D233F8D" w:rsidR="003C0054" w:rsidRPr="008A31CB" w:rsidRDefault="003C0054" w:rsidP="003C0054">
            <w:pPr>
              <w:spacing w:before="120" w:after="120"/>
              <w:jc w:val="right"/>
              <w:rPr>
                <w:rFonts w:cs="Arial"/>
                <w:sz w:val="16"/>
                <w:szCs w:val="16"/>
              </w:rPr>
            </w:pPr>
            <w:r w:rsidRPr="00E24B37">
              <w:rPr>
                <w:rFonts w:cs="Arial"/>
                <w:sz w:val="16"/>
                <w:szCs w:val="16"/>
              </w:rPr>
              <w:t>127.9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53E085C" w14:textId="7C49E5B3" w:rsidR="003C0054" w:rsidRPr="008A31CB" w:rsidRDefault="003C0054" w:rsidP="003C0054">
            <w:pPr>
              <w:spacing w:before="120" w:after="120"/>
              <w:jc w:val="right"/>
              <w:rPr>
                <w:rFonts w:cs="Arial"/>
                <w:sz w:val="16"/>
                <w:szCs w:val="16"/>
              </w:rPr>
            </w:pPr>
            <w:r w:rsidRPr="00E24B37">
              <w:rPr>
                <w:rFonts w:cs="Arial"/>
                <w:sz w:val="16"/>
                <w:szCs w:val="16"/>
              </w:rPr>
              <w:t>117.7</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7D38BDC" w14:textId="39FE105E" w:rsidR="003C0054" w:rsidRPr="008A31CB" w:rsidRDefault="003C0054" w:rsidP="003C0054">
            <w:pPr>
              <w:spacing w:before="120" w:after="120"/>
              <w:jc w:val="right"/>
              <w:rPr>
                <w:rFonts w:cs="Arial"/>
                <w:sz w:val="16"/>
                <w:szCs w:val="16"/>
              </w:rPr>
            </w:pPr>
            <w:r w:rsidRPr="00E24B37">
              <w:rPr>
                <w:rFonts w:cs="Arial"/>
                <w:sz w:val="16"/>
                <w:szCs w:val="16"/>
              </w:rPr>
              <w:t>115.1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9A959FB" w14:textId="62C6C83A" w:rsidR="003C0054" w:rsidRPr="008A31CB" w:rsidRDefault="003C0054" w:rsidP="003C0054">
            <w:pPr>
              <w:spacing w:before="120" w:after="120"/>
              <w:jc w:val="right"/>
              <w:rPr>
                <w:rFonts w:cs="Arial"/>
                <w:sz w:val="16"/>
                <w:szCs w:val="16"/>
              </w:rPr>
            </w:pPr>
            <w:r w:rsidRPr="00E24B37">
              <w:rPr>
                <w:rFonts w:cs="Arial"/>
                <w:sz w:val="16"/>
                <w:szCs w:val="16"/>
              </w:rPr>
              <w:t>144.6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0EDAA9C" w14:textId="7EFC505A" w:rsidR="003C0054" w:rsidRPr="008A31CB" w:rsidRDefault="003C0054" w:rsidP="003C0054">
            <w:pPr>
              <w:spacing w:before="120" w:after="120"/>
              <w:jc w:val="right"/>
              <w:rPr>
                <w:rFonts w:cs="Arial"/>
                <w:sz w:val="16"/>
                <w:szCs w:val="16"/>
              </w:rPr>
            </w:pPr>
            <w:r w:rsidRPr="00E24B37">
              <w:rPr>
                <w:rFonts w:cs="Arial"/>
                <w:sz w:val="16"/>
                <w:szCs w:val="16"/>
              </w:rPr>
              <w:t>139.9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8B6CD89" w14:textId="30A3937E" w:rsidR="003C0054" w:rsidRPr="008A31CB" w:rsidRDefault="003C0054" w:rsidP="003C0054">
            <w:pPr>
              <w:spacing w:before="120" w:after="120"/>
              <w:jc w:val="right"/>
              <w:rPr>
                <w:rFonts w:cs="Arial"/>
                <w:sz w:val="16"/>
                <w:szCs w:val="16"/>
              </w:rPr>
            </w:pPr>
            <w:r w:rsidRPr="00E24B37">
              <w:rPr>
                <w:rFonts w:cs="Arial"/>
                <w:sz w:val="16"/>
                <w:szCs w:val="16"/>
              </w:rPr>
              <w:t>115.9</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7F7B059" w14:textId="0E5E19ED" w:rsidR="003C0054" w:rsidRPr="008A31CB" w:rsidRDefault="003C0054" w:rsidP="003C0054">
            <w:pPr>
              <w:spacing w:before="120" w:after="120"/>
              <w:jc w:val="right"/>
              <w:rPr>
                <w:rFonts w:cs="Arial"/>
                <w:sz w:val="16"/>
                <w:szCs w:val="16"/>
              </w:rPr>
            </w:pPr>
            <w:r w:rsidRPr="00E24B37">
              <w:rPr>
                <w:rFonts w:cs="Arial"/>
                <w:sz w:val="16"/>
                <w:szCs w:val="16"/>
              </w:rPr>
              <w:t>69.3</w:t>
            </w:r>
          </w:p>
        </w:tc>
      </w:tr>
      <w:tr w:rsidR="00E24B37" w:rsidRPr="008A31CB" w14:paraId="245DF5B9"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27171307" w14:textId="77777777" w:rsidR="003C0054" w:rsidRPr="008A31CB" w:rsidRDefault="003C0054" w:rsidP="003C0054">
            <w:pPr>
              <w:spacing w:before="120" w:after="120"/>
              <w:rPr>
                <w:rFonts w:cs="Arial"/>
                <w:color w:val="1C1C1C"/>
                <w:sz w:val="16"/>
                <w:szCs w:val="16"/>
              </w:rPr>
            </w:pPr>
            <w:r w:rsidRPr="008A31CB">
              <w:rPr>
                <w:rFonts w:cs="Arial"/>
                <w:sz w:val="16"/>
                <w:szCs w:val="16"/>
              </w:rPr>
              <w:t>MAR2022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B41AE4A" w14:textId="4B1541B5" w:rsidR="003C0054" w:rsidRPr="00E24B37" w:rsidRDefault="003C0054" w:rsidP="003C0054">
            <w:pPr>
              <w:spacing w:before="120" w:after="120"/>
              <w:jc w:val="right"/>
              <w:rPr>
                <w:rFonts w:cs="Arial"/>
                <w:sz w:val="16"/>
                <w:szCs w:val="16"/>
              </w:rPr>
            </w:pPr>
            <w:r w:rsidRPr="00E24B37">
              <w:rPr>
                <w:rFonts w:cs="Arial"/>
                <w:sz w:val="16"/>
                <w:szCs w:val="16"/>
              </w:rPr>
              <w:t>118.2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1C80FF1" w14:textId="0986A7D5" w:rsidR="003C0054" w:rsidRPr="008A31CB" w:rsidRDefault="003C0054" w:rsidP="003C0054">
            <w:pPr>
              <w:spacing w:before="120" w:after="120"/>
              <w:jc w:val="right"/>
              <w:rPr>
                <w:rFonts w:cs="Arial"/>
                <w:sz w:val="16"/>
                <w:szCs w:val="16"/>
              </w:rPr>
            </w:pPr>
            <w:r w:rsidRPr="00E24B37">
              <w:rPr>
                <w:rFonts w:cs="Arial"/>
                <w:sz w:val="16"/>
                <w:szCs w:val="16"/>
              </w:rPr>
              <w:t>113.5</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3188031" w14:textId="0DE13926" w:rsidR="003C0054" w:rsidRPr="008A31CB" w:rsidRDefault="003C0054" w:rsidP="003C0054">
            <w:pPr>
              <w:spacing w:before="120" w:after="120"/>
              <w:jc w:val="right"/>
              <w:rPr>
                <w:rFonts w:cs="Arial"/>
                <w:sz w:val="16"/>
                <w:szCs w:val="16"/>
              </w:rPr>
            </w:pPr>
            <w:r w:rsidRPr="00E24B37">
              <w:rPr>
                <w:rFonts w:cs="Arial"/>
                <w:sz w:val="16"/>
                <w:szCs w:val="16"/>
              </w:rPr>
              <w:t>130.3</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DFACA5D" w14:textId="145A2513" w:rsidR="003C0054" w:rsidRPr="008A31CB" w:rsidRDefault="003C0054" w:rsidP="003C0054">
            <w:pPr>
              <w:spacing w:before="120" w:after="120"/>
              <w:jc w:val="right"/>
              <w:rPr>
                <w:rFonts w:cs="Arial"/>
                <w:sz w:val="16"/>
                <w:szCs w:val="16"/>
              </w:rPr>
            </w:pPr>
            <w:r w:rsidRPr="00E24B37">
              <w:rPr>
                <w:rFonts w:cs="Arial"/>
                <w:sz w:val="16"/>
                <w:szCs w:val="16"/>
              </w:rPr>
              <w:t>121.6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9324792" w14:textId="614CFB34" w:rsidR="003C0054" w:rsidRPr="008A31CB" w:rsidRDefault="003C0054" w:rsidP="003C0054">
            <w:pPr>
              <w:spacing w:before="120" w:after="120"/>
              <w:jc w:val="right"/>
              <w:rPr>
                <w:rFonts w:cs="Arial"/>
                <w:sz w:val="16"/>
                <w:szCs w:val="16"/>
              </w:rPr>
            </w:pPr>
            <w:r w:rsidRPr="00E24B37">
              <w:rPr>
                <w:rFonts w:cs="Arial"/>
                <w:sz w:val="16"/>
                <w:szCs w:val="16"/>
              </w:rPr>
              <w:t>130.2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8F09A8F" w14:textId="614DE7A9" w:rsidR="003C0054" w:rsidRPr="008A31CB" w:rsidRDefault="003C0054" w:rsidP="003C0054">
            <w:pPr>
              <w:spacing w:before="120" w:after="120"/>
              <w:jc w:val="right"/>
              <w:rPr>
                <w:rFonts w:cs="Arial"/>
                <w:sz w:val="16"/>
                <w:szCs w:val="16"/>
              </w:rPr>
            </w:pPr>
            <w:r w:rsidRPr="00E24B37">
              <w:rPr>
                <w:rFonts w:cs="Arial"/>
                <w:sz w:val="16"/>
                <w:szCs w:val="16"/>
              </w:rPr>
              <w:t>119.9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16636B8" w14:textId="04BD1C35" w:rsidR="003C0054" w:rsidRPr="008A31CB" w:rsidRDefault="003C0054" w:rsidP="003C0054">
            <w:pPr>
              <w:spacing w:before="120" w:after="120"/>
              <w:jc w:val="right"/>
              <w:rPr>
                <w:rFonts w:cs="Arial"/>
                <w:sz w:val="16"/>
                <w:szCs w:val="16"/>
              </w:rPr>
            </w:pPr>
            <w:r w:rsidRPr="00E24B37">
              <w:rPr>
                <w:rFonts w:cs="Arial"/>
                <w:sz w:val="16"/>
                <w:szCs w:val="16"/>
              </w:rPr>
              <w:t>115.6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94DF15C" w14:textId="65EFE09D" w:rsidR="003C0054" w:rsidRPr="008A31CB" w:rsidRDefault="003C0054" w:rsidP="003C0054">
            <w:pPr>
              <w:spacing w:before="120" w:after="120"/>
              <w:jc w:val="right"/>
              <w:rPr>
                <w:rFonts w:cs="Arial"/>
                <w:sz w:val="16"/>
                <w:szCs w:val="16"/>
              </w:rPr>
            </w:pPr>
            <w:r w:rsidRPr="00E24B37">
              <w:rPr>
                <w:rFonts w:cs="Arial"/>
                <w:sz w:val="16"/>
                <w:szCs w:val="16"/>
              </w:rPr>
              <w:t>145.1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E3118F4" w14:textId="3E88CC30" w:rsidR="003C0054" w:rsidRPr="008A31CB" w:rsidRDefault="003C0054" w:rsidP="003C0054">
            <w:pPr>
              <w:spacing w:before="120" w:after="120"/>
              <w:jc w:val="right"/>
              <w:rPr>
                <w:rFonts w:cs="Arial"/>
                <w:sz w:val="16"/>
                <w:szCs w:val="16"/>
              </w:rPr>
            </w:pPr>
            <w:r w:rsidRPr="00E24B37">
              <w:rPr>
                <w:rFonts w:cs="Arial"/>
                <w:sz w:val="16"/>
                <w:szCs w:val="16"/>
              </w:rPr>
              <w:t>141.5</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C97543C" w14:textId="210E2F85" w:rsidR="003C0054" w:rsidRPr="008A31CB" w:rsidRDefault="003C0054" w:rsidP="003C0054">
            <w:pPr>
              <w:spacing w:before="120" w:after="120"/>
              <w:jc w:val="right"/>
              <w:rPr>
                <w:rFonts w:cs="Arial"/>
                <w:sz w:val="16"/>
                <w:szCs w:val="16"/>
              </w:rPr>
            </w:pPr>
            <w:r w:rsidRPr="00E24B37">
              <w:rPr>
                <w:rFonts w:cs="Arial"/>
                <w:sz w:val="16"/>
                <w:szCs w:val="16"/>
              </w:rPr>
              <w:t>118.2</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14874490" w14:textId="3841D23D" w:rsidR="003C0054" w:rsidRPr="008A31CB" w:rsidRDefault="003C0054" w:rsidP="003C0054">
            <w:pPr>
              <w:spacing w:before="120" w:after="120"/>
              <w:jc w:val="right"/>
              <w:rPr>
                <w:rFonts w:cs="Arial"/>
                <w:sz w:val="16"/>
                <w:szCs w:val="16"/>
              </w:rPr>
            </w:pPr>
            <w:r w:rsidRPr="00E24B37">
              <w:rPr>
                <w:rFonts w:cs="Arial"/>
                <w:sz w:val="16"/>
                <w:szCs w:val="16"/>
              </w:rPr>
              <w:t>69.0</w:t>
            </w:r>
          </w:p>
        </w:tc>
      </w:tr>
      <w:tr w:rsidR="00E24B37" w:rsidRPr="008A31CB" w14:paraId="3A8A1D41" w14:textId="77777777" w:rsidTr="003B5161">
        <w:trPr>
          <w:cnfStyle w:val="000000010000" w:firstRow="0" w:lastRow="0" w:firstColumn="0" w:lastColumn="0" w:oddVBand="0" w:evenVBand="0" w:oddHBand="0" w:evenHBand="1"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43A87088" w14:textId="77777777" w:rsidR="003C0054" w:rsidRPr="008A31CB" w:rsidRDefault="003C0054" w:rsidP="003C0054">
            <w:pPr>
              <w:spacing w:before="120" w:after="120"/>
              <w:rPr>
                <w:rFonts w:cs="Arial"/>
                <w:color w:val="1C1C1C"/>
                <w:sz w:val="16"/>
                <w:szCs w:val="16"/>
              </w:rPr>
            </w:pPr>
            <w:r w:rsidRPr="008A31CB">
              <w:rPr>
                <w:rFonts w:cs="Arial"/>
                <w:sz w:val="16"/>
                <w:szCs w:val="16"/>
              </w:rPr>
              <w:t>JUN2022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FF1DF55" w14:textId="502B4E98" w:rsidR="003C0054" w:rsidRPr="00E24B37" w:rsidRDefault="003C0054" w:rsidP="003C0054">
            <w:pPr>
              <w:spacing w:before="120" w:after="120"/>
              <w:jc w:val="right"/>
              <w:rPr>
                <w:rFonts w:cs="Arial"/>
                <w:sz w:val="16"/>
                <w:szCs w:val="16"/>
              </w:rPr>
            </w:pPr>
            <w:r w:rsidRPr="00E24B37">
              <w:rPr>
                <w:rFonts w:cs="Arial"/>
                <w:sz w:val="16"/>
                <w:szCs w:val="16"/>
              </w:rPr>
              <w:t>120.6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D11961E" w14:textId="2872EE4B" w:rsidR="003C0054" w:rsidRPr="008A31CB" w:rsidRDefault="003C0054" w:rsidP="003C0054">
            <w:pPr>
              <w:spacing w:before="120" w:after="120"/>
              <w:jc w:val="right"/>
              <w:rPr>
                <w:rFonts w:cs="Arial"/>
                <w:sz w:val="16"/>
                <w:szCs w:val="16"/>
              </w:rPr>
            </w:pPr>
            <w:r w:rsidRPr="00E24B37">
              <w:rPr>
                <w:rFonts w:cs="Arial"/>
                <w:sz w:val="16"/>
                <w:szCs w:val="16"/>
              </w:rPr>
              <w:t>116.3</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6B8FFB9" w14:textId="5C2C7B40" w:rsidR="003C0054" w:rsidRPr="008A31CB" w:rsidRDefault="003C0054" w:rsidP="003C0054">
            <w:pPr>
              <w:spacing w:before="120" w:after="120"/>
              <w:jc w:val="right"/>
              <w:rPr>
                <w:rFonts w:cs="Arial"/>
                <w:sz w:val="16"/>
                <w:szCs w:val="16"/>
              </w:rPr>
            </w:pPr>
            <w:r w:rsidRPr="00E24B37">
              <w:rPr>
                <w:rFonts w:cs="Arial"/>
                <w:sz w:val="16"/>
                <w:szCs w:val="16"/>
              </w:rPr>
              <w:t>130.0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2373BBE" w14:textId="31813572" w:rsidR="003C0054" w:rsidRPr="008A31CB" w:rsidRDefault="003C0054" w:rsidP="003C0054">
            <w:pPr>
              <w:spacing w:before="120" w:after="120"/>
              <w:jc w:val="right"/>
              <w:rPr>
                <w:rFonts w:cs="Arial"/>
                <w:sz w:val="16"/>
                <w:szCs w:val="16"/>
              </w:rPr>
            </w:pPr>
            <w:r w:rsidRPr="00E24B37">
              <w:rPr>
                <w:rFonts w:cs="Arial"/>
                <w:sz w:val="16"/>
                <w:szCs w:val="16"/>
              </w:rPr>
              <w:t>124.7</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BFBB233" w14:textId="44EC1F2B" w:rsidR="003C0054" w:rsidRPr="008A31CB" w:rsidRDefault="003C0054" w:rsidP="003C0054">
            <w:pPr>
              <w:spacing w:before="120" w:after="120"/>
              <w:jc w:val="right"/>
              <w:rPr>
                <w:rFonts w:cs="Arial"/>
                <w:sz w:val="16"/>
                <w:szCs w:val="16"/>
              </w:rPr>
            </w:pPr>
            <w:r w:rsidRPr="00E24B37">
              <w:rPr>
                <w:rFonts w:cs="Arial"/>
                <w:sz w:val="16"/>
                <w:szCs w:val="16"/>
              </w:rPr>
              <w:t>133.9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1F047FD" w14:textId="31749CC6" w:rsidR="003C0054" w:rsidRPr="008A31CB" w:rsidRDefault="003C0054" w:rsidP="003C0054">
            <w:pPr>
              <w:spacing w:before="120" w:after="120"/>
              <w:jc w:val="right"/>
              <w:rPr>
                <w:rFonts w:cs="Arial"/>
                <w:sz w:val="16"/>
                <w:szCs w:val="16"/>
              </w:rPr>
            </w:pPr>
            <w:r w:rsidRPr="00E24B37">
              <w:rPr>
                <w:rFonts w:cs="Arial"/>
                <w:sz w:val="16"/>
                <w:szCs w:val="16"/>
              </w:rPr>
              <w:t>121.4</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A067951" w14:textId="61AF1DD6" w:rsidR="003C0054" w:rsidRPr="008A31CB" w:rsidRDefault="003C0054" w:rsidP="003C0054">
            <w:pPr>
              <w:spacing w:before="120" w:after="120"/>
              <w:jc w:val="right"/>
              <w:rPr>
                <w:rFonts w:cs="Arial"/>
                <w:sz w:val="16"/>
                <w:szCs w:val="16"/>
              </w:rPr>
            </w:pPr>
            <w:r w:rsidRPr="00E24B37">
              <w:rPr>
                <w:rFonts w:cs="Arial"/>
                <w:sz w:val="16"/>
                <w:szCs w:val="16"/>
              </w:rPr>
              <w:t>117.3</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5691269" w14:textId="161886A4" w:rsidR="003C0054" w:rsidRPr="008A31CB" w:rsidRDefault="003C0054" w:rsidP="003C0054">
            <w:pPr>
              <w:spacing w:before="120" w:after="120"/>
              <w:jc w:val="right"/>
              <w:rPr>
                <w:rFonts w:cs="Arial"/>
                <w:sz w:val="16"/>
                <w:szCs w:val="16"/>
              </w:rPr>
            </w:pPr>
            <w:r w:rsidRPr="00E24B37">
              <w:rPr>
                <w:rFonts w:cs="Arial"/>
                <w:sz w:val="16"/>
                <w:szCs w:val="16"/>
              </w:rPr>
              <w:t>145.5</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AF414E4" w14:textId="45F20AA2" w:rsidR="003C0054" w:rsidRPr="008A31CB" w:rsidRDefault="003C0054" w:rsidP="003C0054">
            <w:pPr>
              <w:spacing w:before="120" w:after="120"/>
              <w:jc w:val="right"/>
              <w:rPr>
                <w:rFonts w:cs="Arial"/>
                <w:sz w:val="16"/>
                <w:szCs w:val="16"/>
              </w:rPr>
            </w:pPr>
            <w:r w:rsidRPr="00E24B37">
              <w:rPr>
                <w:rFonts w:cs="Arial"/>
                <w:sz w:val="16"/>
                <w:szCs w:val="16"/>
              </w:rPr>
              <w:t>141.9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0D26B5D" w14:textId="718EC682" w:rsidR="003C0054" w:rsidRPr="008A31CB" w:rsidRDefault="003C0054" w:rsidP="003C0054">
            <w:pPr>
              <w:spacing w:before="120" w:after="120"/>
              <w:jc w:val="right"/>
              <w:rPr>
                <w:rFonts w:cs="Arial"/>
                <w:sz w:val="16"/>
                <w:szCs w:val="16"/>
              </w:rPr>
            </w:pPr>
            <w:r w:rsidRPr="00E24B37">
              <w:rPr>
                <w:rFonts w:cs="Arial"/>
                <w:sz w:val="16"/>
                <w:szCs w:val="16"/>
              </w:rPr>
              <w:t>118.7</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36D7E11" w14:textId="0D626B61" w:rsidR="003C0054" w:rsidRPr="008A31CB" w:rsidRDefault="003C0054" w:rsidP="003C0054">
            <w:pPr>
              <w:spacing w:before="120" w:after="120"/>
              <w:jc w:val="right"/>
              <w:rPr>
                <w:rFonts w:cs="Arial"/>
                <w:sz w:val="16"/>
                <w:szCs w:val="16"/>
              </w:rPr>
            </w:pPr>
            <w:r w:rsidRPr="00E24B37">
              <w:rPr>
                <w:rFonts w:cs="Arial"/>
                <w:sz w:val="16"/>
                <w:szCs w:val="16"/>
              </w:rPr>
              <w:t>69.8</w:t>
            </w:r>
          </w:p>
        </w:tc>
      </w:tr>
      <w:tr w:rsidR="00E24B37" w:rsidRPr="008A31CB" w14:paraId="7191F179"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5F912C1A" w14:textId="77777777" w:rsidR="003C0054" w:rsidRPr="008A31CB" w:rsidRDefault="003C0054" w:rsidP="003C0054">
            <w:pPr>
              <w:spacing w:before="120" w:after="120"/>
              <w:rPr>
                <w:rFonts w:cs="Arial"/>
                <w:color w:val="1C1C1C"/>
                <w:sz w:val="16"/>
                <w:szCs w:val="16"/>
              </w:rPr>
            </w:pPr>
            <w:r w:rsidRPr="008A31CB">
              <w:rPr>
                <w:rFonts w:cs="Arial"/>
                <w:sz w:val="16"/>
                <w:szCs w:val="16"/>
              </w:rPr>
              <w:t>SEP2022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F55CFBD" w14:textId="13BE2F59" w:rsidR="003C0054" w:rsidRPr="00E24B37" w:rsidRDefault="003C0054" w:rsidP="003C0054">
            <w:pPr>
              <w:spacing w:before="120" w:after="120"/>
              <w:jc w:val="right"/>
              <w:rPr>
                <w:rFonts w:cs="Arial"/>
                <w:sz w:val="16"/>
                <w:szCs w:val="16"/>
              </w:rPr>
            </w:pPr>
            <w:r w:rsidRPr="00E24B37">
              <w:rPr>
                <w:rFonts w:cs="Arial"/>
                <w:sz w:val="16"/>
                <w:szCs w:val="16"/>
              </w:rPr>
              <w:t>124.5</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A0F6DE2" w14:textId="022B2B46" w:rsidR="003C0054" w:rsidRPr="008A31CB" w:rsidRDefault="003C0054" w:rsidP="003C0054">
            <w:pPr>
              <w:spacing w:before="120" w:after="120"/>
              <w:jc w:val="right"/>
              <w:rPr>
                <w:rFonts w:cs="Arial"/>
                <w:sz w:val="16"/>
                <w:szCs w:val="16"/>
              </w:rPr>
            </w:pPr>
            <w:r w:rsidRPr="00E24B37">
              <w:rPr>
                <w:rFonts w:cs="Arial"/>
                <w:sz w:val="16"/>
                <w:szCs w:val="16"/>
              </w:rPr>
              <w:t>119.6</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CF76A58" w14:textId="4D27C9E9" w:rsidR="003C0054" w:rsidRPr="008A31CB" w:rsidRDefault="003C0054" w:rsidP="003C0054">
            <w:pPr>
              <w:spacing w:before="120" w:after="120"/>
              <w:jc w:val="right"/>
              <w:rPr>
                <w:rFonts w:cs="Arial"/>
                <w:sz w:val="16"/>
                <w:szCs w:val="16"/>
              </w:rPr>
            </w:pPr>
            <w:r w:rsidRPr="00E24B37">
              <w:rPr>
                <w:rFonts w:cs="Arial"/>
                <w:sz w:val="16"/>
                <w:szCs w:val="16"/>
              </w:rPr>
              <w:t>136.2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AB77387" w14:textId="0A79D34E" w:rsidR="003C0054" w:rsidRPr="008A31CB" w:rsidRDefault="003C0054" w:rsidP="003C0054">
            <w:pPr>
              <w:spacing w:before="120" w:after="120"/>
              <w:jc w:val="right"/>
              <w:rPr>
                <w:rFonts w:cs="Arial"/>
                <w:sz w:val="16"/>
                <w:szCs w:val="16"/>
              </w:rPr>
            </w:pPr>
            <w:r w:rsidRPr="00E24B37">
              <w:rPr>
                <w:rFonts w:cs="Arial"/>
                <w:sz w:val="16"/>
                <w:szCs w:val="16"/>
              </w:rPr>
              <w:t>123.9</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AD7FFC5" w14:textId="7EAC11C7" w:rsidR="003C0054" w:rsidRPr="008A31CB" w:rsidRDefault="003C0054" w:rsidP="003C0054">
            <w:pPr>
              <w:spacing w:before="120" w:after="120"/>
              <w:jc w:val="right"/>
              <w:rPr>
                <w:rFonts w:cs="Arial"/>
                <w:sz w:val="16"/>
                <w:szCs w:val="16"/>
              </w:rPr>
            </w:pPr>
            <w:r w:rsidRPr="00E24B37">
              <w:rPr>
                <w:rFonts w:cs="Arial"/>
                <w:sz w:val="16"/>
                <w:szCs w:val="16"/>
              </w:rPr>
              <w:t>136.1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B7C20F9" w14:textId="2A32F335" w:rsidR="003C0054" w:rsidRPr="008A31CB" w:rsidRDefault="003C0054" w:rsidP="003C0054">
            <w:pPr>
              <w:spacing w:before="120" w:after="120"/>
              <w:jc w:val="right"/>
              <w:rPr>
                <w:rFonts w:cs="Arial"/>
                <w:sz w:val="16"/>
                <w:szCs w:val="16"/>
              </w:rPr>
            </w:pPr>
            <w:r w:rsidRPr="00E24B37">
              <w:rPr>
                <w:rFonts w:cs="Arial"/>
                <w:sz w:val="16"/>
                <w:szCs w:val="16"/>
              </w:rPr>
              <w:t>121.4</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409ECC3" w14:textId="7FA91217" w:rsidR="003C0054" w:rsidRPr="008A31CB" w:rsidRDefault="003C0054" w:rsidP="003C0054">
            <w:pPr>
              <w:spacing w:before="120" w:after="120"/>
              <w:jc w:val="right"/>
              <w:rPr>
                <w:rFonts w:cs="Arial"/>
                <w:sz w:val="16"/>
                <w:szCs w:val="16"/>
              </w:rPr>
            </w:pPr>
            <w:r w:rsidRPr="00E24B37">
              <w:rPr>
                <w:rFonts w:cs="Arial"/>
                <w:sz w:val="16"/>
                <w:szCs w:val="16"/>
              </w:rPr>
              <w:t>118.8</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BCCDBDD" w14:textId="1427F465" w:rsidR="003C0054" w:rsidRPr="008A31CB" w:rsidRDefault="003C0054" w:rsidP="003C0054">
            <w:pPr>
              <w:spacing w:before="120" w:after="120"/>
              <w:jc w:val="right"/>
              <w:rPr>
                <w:rFonts w:cs="Arial"/>
                <w:sz w:val="16"/>
                <w:szCs w:val="16"/>
              </w:rPr>
            </w:pPr>
            <w:r w:rsidRPr="00E24B37">
              <w:rPr>
                <w:rFonts w:cs="Arial"/>
                <w:sz w:val="16"/>
                <w:szCs w:val="16"/>
              </w:rPr>
              <w:t>149.0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D1BA41F" w14:textId="5BD779DE" w:rsidR="003C0054" w:rsidRPr="008A31CB" w:rsidRDefault="003C0054" w:rsidP="003C0054">
            <w:pPr>
              <w:spacing w:before="120" w:after="120"/>
              <w:jc w:val="right"/>
              <w:rPr>
                <w:rFonts w:cs="Arial"/>
                <w:sz w:val="16"/>
                <w:szCs w:val="16"/>
              </w:rPr>
            </w:pPr>
            <w:r w:rsidRPr="00E24B37">
              <w:rPr>
                <w:rFonts w:cs="Arial"/>
                <w:sz w:val="16"/>
                <w:szCs w:val="16"/>
              </w:rPr>
              <w:t>145.1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8741666" w14:textId="746B15CF" w:rsidR="003C0054" w:rsidRPr="008A31CB" w:rsidRDefault="003C0054" w:rsidP="003C0054">
            <w:pPr>
              <w:spacing w:before="120" w:after="120"/>
              <w:jc w:val="right"/>
              <w:rPr>
                <w:rFonts w:cs="Arial"/>
                <w:sz w:val="16"/>
                <w:szCs w:val="16"/>
              </w:rPr>
            </w:pPr>
            <w:r w:rsidRPr="00E24B37">
              <w:rPr>
                <w:rFonts w:cs="Arial"/>
                <w:sz w:val="16"/>
                <w:szCs w:val="16"/>
              </w:rPr>
              <w:t>121.6</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388C186D" w14:textId="4B309013" w:rsidR="003C0054" w:rsidRPr="008A31CB" w:rsidRDefault="003C0054" w:rsidP="003C0054">
            <w:pPr>
              <w:spacing w:before="120" w:after="120"/>
              <w:jc w:val="right"/>
              <w:rPr>
                <w:rFonts w:cs="Arial"/>
                <w:sz w:val="16"/>
                <w:szCs w:val="16"/>
              </w:rPr>
            </w:pPr>
            <w:r w:rsidRPr="00E24B37">
              <w:rPr>
                <w:rFonts w:cs="Arial"/>
                <w:sz w:val="16"/>
                <w:szCs w:val="16"/>
              </w:rPr>
              <w:t>70.2</w:t>
            </w:r>
          </w:p>
        </w:tc>
      </w:tr>
    </w:tbl>
    <w:p w14:paraId="0E5B4A3D" w14:textId="4BC6050E" w:rsidR="00247555" w:rsidRDefault="00247555" w:rsidP="00A51E56"/>
    <w:p w14:paraId="5D6BDE24" w14:textId="7131F3CD" w:rsidR="00A51E56" w:rsidRDefault="00273B40" w:rsidP="00A51E56">
      <w:pPr>
        <w:pStyle w:val="TableFigureheading"/>
      </w:pPr>
      <w:r>
        <w:t>Table </w:t>
      </w:r>
      <w:fldSimple w:instr=" SEQ Table \* ARABIC ">
        <w:r w:rsidR="00B1072E">
          <w:rPr>
            <w:noProof/>
          </w:rPr>
          <w:t>19</w:t>
        </w:r>
      </w:fldSimple>
      <w:r w:rsidR="00A51E56">
        <w:t>: Hotel price index numbers – re-referenced</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1004"/>
        <w:gridCol w:w="1177"/>
        <w:gridCol w:w="1177"/>
        <w:gridCol w:w="1177"/>
        <w:gridCol w:w="1178"/>
        <w:gridCol w:w="1178"/>
        <w:gridCol w:w="1178"/>
        <w:gridCol w:w="1178"/>
        <w:gridCol w:w="1178"/>
        <w:gridCol w:w="1178"/>
        <w:gridCol w:w="1178"/>
        <w:gridCol w:w="1172"/>
      </w:tblGrid>
      <w:tr w:rsidR="003B5161" w:rsidRPr="00AD6AFA" w14:paraId="42B7A8EC" w14:textId="77777777" w:rsidTr="00C31B44">
        <w:trPr>
          <w:cnfStyle w:val="100000000000" w:firstRow="1" w:lastRow="0" w:firstColumn="0" w:lastColumn="0" w:oddVBand="0" w:evenVBand="0" w:oddHBand="0" w:evenHBand="0" w:firstRowFirstColumn="0" w:firstRowLastColumn="0" w:lastRowFirstColumn="0" w:lastRowLastColumn="0"/>
          <w:cantSplit/>
          <w:trHeight w:val="20"/>
          <w:tblHeader/>
        </w:trPr>
        <w:tc>
          <w:tcPr>
            <w:tcW w:w="36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0FB205F3" w14:textId="77777777" w:rsidR="003B5161" w:rsidRPr="00BD2506" w:rsidRDefault="003B5161" w:rsidP="003B5161">
            <w:pPr>
              <w:spacing w:before="120" w:after="120"/>
              <w:jc w:val="center"/>
              <w:rPr>
                <w:rFonts w:cs="Arial"/>
                <w:b/>
                <w:bCs/>
                <w:color w:val="FFFFFF" w:themeColor="background2"/>
                <w:szCs w:val="18"/>
              </w:rPr>
            </w:pPr>
            <w:r w:rsidRPr="00BD2506">
              <w:rPr>
                <w:rFonts w:cs="Arial"/>
                <w:b/>
                <w:bCs/>
                <w:color w:val="FFFFFF" w:themeColor="background2"/>
                <w:szCs w:val="18"/>
              </w:rPr>
              <w:t>Quarter</w:t>
            </w:r>
          </w:p>
        </w:tc>
        <w:tc>
          <w:tcPr>
            <w:tcW w:w="4640"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3B9AF50C" w14:textId="65D47742" w:rsidR="003B5161" w:rsidRPr="00273B40" w:rsidRDefault="003B5161" w:rsidP="003B5161">
            <w:pPr>
              <w:spacing w:before="120" w:after="120"/>
              <w:jc w:val="center"/>
              <w:rPr>
                <w:rFonts w:cs="Arial"/>
                <w:b/>
                <w:bCs/>
                <w:color w:val="FFFFFF" w:themeColor="background2"/>
                <w:szCs w:val="18"/>
              </w:rPr>
            </w:pPr>
            <w:r w:rsidRPr="003B5161">
              <w:rPr>
                <w:b/>
                <w:bCs/>
                <w:color w:val="FFFFFF" w:themeColor="background2"/>
              </w:rPr>
              <w:t>Re-referenced</w:t>
            </w:r>
            <w:r w:rsidRPr="00933FCC">
              <w:rPr>
                <w:rFonts w:cs="Arial"/>
                <w:b/>
                <w:color w:val="FFFFFF" w:themeColor="background2"/>
                <w:szCs w:val="18"/>
              </w:rPr>
              <w:t xml:space="preserve"> i</w:t>
            </w:r>
            <w:r w:rsidRPr="00273B40">
              <w:rPr>
                <w:rFonts w:cs="Arial"/>
                <w:b/>
                <w:color w:val="FFFFFF" w:themeColor="background2"/>
                <w:szCs w:val="18"/>
              </w:rPr>
              <w:t>ndex numbers</w:t>
            </w:r>
          </w:p>
        </w:tc>
      </w:tr>
      <w:tr w:rsidR="00247555" w:rsidRPr="00AD6AFA" w14:paraId="0CFE9724" w14:textId="77777777" w:rsidTr="00C31B44">
        <w:trPr>
          <w:cnfStyle w:val="100000000000" w:firstRow="1" w:lastRow="0" w:firstColumn="0" w:lastColumn="0" w:oddVBand="0" w:evenVBand="0" w:oddHBand="0" w:evenHBand="0" w:firstRowFirstColumn="0" w:firstRowLastColumn="0" w:lastRowFirstColumn="0" w:lastRowLastColumn="0"/>
          <w:cantSplit/>
          <w:trHeight w:val="20"/>
          <w:tblHeader/>
        </w:trPr>
        <w:tc>
          <w:tcPr>
            <w:tcW w:w="36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1AD83E3A" w14:textId="77777777" w:rsidR="00247555" w:rsidRPr="00AD6AFA" w:rsidRDefault="00247555" w:rsidP="00247555">
            <w:pPr>
              <w:spacing w:before="120" w:after="120"/>
              <w:jc w:val="center"/>
              <w:rPr>
                <w:rFonts w:cs="Arial"/>
                <w:b/>
                <w:sz w:val="16"/>
                <w:szCs w:val="16"/>
              </w:rPr>
            </w:pPr>
          </w:p>
        </w:tc>
        <w:tc>
          <w:tcPr>
            <w:tcW w:w="422"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tcPr>
          <w:p w14:paraId="74D7FE66" w14:textId="24CC691D" w:rsidR="00247555" w:rsidRPr="002A2CEE" w:rsidRDefault="00247555" w:rsidP="00247555">
            <w:pPr>
              <w:spacing w:before="120" w:after="120"/>
              <w:jc w:val="center"/>
              <w:rPr>
                <w:rFonts w:cs="Arial"/>
                <w:b/>
                <w:sz w:val="16"/>
                <w:szCs w:val="16"/>
              </w:rPr>
            </w:pPr>
            <w:r w:rsidRPr="00E24B37">
              <w:rPr>
                <w:rFonts w:cs="Arial"/>
                <w:b/>
                <w:bCs/>
                <w:sz w:val="16"/>
                <w:szCs w:val="16"/>
              </w:rPr>
              <w:t>A2325891R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1D478C43" w14:textId="1EDE9CAF" w:rsidR="00247555" w:rsidRPr="002A2CEE" w:rsidRDefault="00247555" w:rsidP="00247555">
            <w:pPr>
              <w:spacing w:before="120" w:after="120"/>
              <w:jc w:val="center"/>
              <w:rPr>
                <w:rFonts w:cs="Arial"/>
                <w:b/>
                <w:sz w:val="16"/>
                <w:szCs w:val="16"/>
              </w:rPr>
            </w:pPr>
            <w:r w:rsidRPr="00E24B37">
              <w:rPr>
                <w:rFonts w:cs="Arial"/>
                <w:b/>
                <w:bCs/>
                <w:sz w:val="16"/>
                <w:szCs w:val="16"/>
              </w:rPr>
              <w:t>A2326026R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5CDCADE5" w14:textId="3C1599B6" w:rsidR="00247555" w:rsidRPr="002A2CEE" w:rsidRDefault="00247555" w:rsidP="00247555">
            <w:pPr>
              <w:spacing w:before="120" w:after="120"/>
              <w:jc w:val="center"/>
              <w:rPr>
                <w:rFonts w:cs="Arial"/>
                <w:b/>
                <w:sz w:val="16"/>
                <w:szCs w:val="16"/>
              </w:rPr>
            </w:pPr>
            <w:r w:rsidRPr="00E24B37">
              <w:rPr>
                <w:rFonts w:cs="Arial"/>
                <w:b/>
                <w:bCs/>
                <w:sz w:val="16"/>
                <w:szCs w:val="16"/>
              </w:rPr>
              <w:t>A2326521X</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190815F1" w14:textId="31632288" w:rsidR="00247555" w:rsidRPr="002A2CEE" w:rsidRDefault="00247555" w:rsidP="00247555">
            <w:pPr>
              <w:spacing w:before="120" w:after="120"/>
              <w:jc w:val="center"/>
              <w:rPr>
                <w:rFonts w:cs="Arial"/>
                <w:b/>
                <w:sz w:val="16"/>
                <w:szCs w:val="16"/>
              </w:rPr>
            </w:pPr>
            <w:r w:rsidRPr="00E24B37">
              <w:rPr>
                <w:rFonts w:cs="Arial"/>
                <w:b/>
                <w:bCs/>
                <w:sz w:val="16"/>
                <w:szCs w:val="16"/>
              </w:rPr>
              <w:t>A2326656J</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663E79AB" w14:textId="3AAC3A1E" w:rsidR="00247555" w:rsidRPr="002A2CEE" w:rsidRDefault="00247555" w:rsidP="00247555">
            <w:pPr>
              <w:spacing w:before="120" w:after="120"/>
              <w:jc w:val="center"/>
              <w:rPr>
                <w:rFonts w:cs="Arial"/>
                <w:b/>
                <w:sz w:val="16"/>
                <w:szCs w:val="16"/>
              </w:rPr>
            </w:pPr>
            <w:r w:rsidRPr="00E24B37">
              <w:rPr>
                <w:rFonts w:cs="Arial"/>
                <w:b/>
                <w:bCs/>
                <w:sz w:val="16"/>
                <w:szCs w:val="16"/>
              </w:rPr>
              <w:t>A2328051C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05CE7B07" w14:textId="02693CA3" w:rsidR="00247555" w:rsidRPr="002A2CEE" w:rsidRDefault="00247555" w:rsidP="00247555">
            <w:pPr>
              <w:spacing w:before="120" w:after="120"/>
              <w:jc w:val="center"/>
              <w:rPr>
                <w:rFonts w:cs="Arial"/>
                <w:b/>
                <w:sz w:val="16"/>
                <w:szCs w:val="16"/>
              </w:rPr>
            </w:pPr>
            <w:r w:rsidRPr="00E24B37">
              <w:rPr>
                <w:rFonts w:cs="Arial"/>
                <w:b/>
                <w:bCs/>
                <w:sz w:val="16"/>
                <w:szCs w:val="16"/>
              </w:rPr>
              <w:t>A2331381C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5D527037" w14:textId="53EE585F" w:rsidR="00247555" w:rsidRPr="002A2CEE" w:rsidRDefault="00247555" w:rsidP="00247555">
            <w:pPr>
              <w:spacing w:before="120" w:after="120"/>
              <w:jc w:val="center"/>
              <w:rPr>
                <w:rFonts w:cs="Arial"/>
                <w:b/>
                <w:sz w:val="16"/>
                <w:szCs w:val="16"/>
              </w:rPr>
            </w:pPr>
            <w:r w:rsidRPr="00E24B37">
              <w:rPr>
                <w:rFonts w:cs="Arial"/>
                <w:b/>
                <w:bCs/>
                <w:sz w:val="16"/>
                <w:szCs w:val="16"/>
              </w:rPr>
              <w:t>A2332776R</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3EA7E26B" w14:textId="7FB1F475" w:rsidR="00247555" w:rsidRPr="002A2CEE" w:rsidRDefault="00247555" w:rsidP="00247555">
            <w:pPr>
              <w:spacing w:before="120" w:after="120"/>
              <w:jc w:val="center"/>
              <w:rPr>
                <w:rFonts w:cs="Arial"/>
                <w:b/>
                <w:sz w:val="16"/>
                <w:szCs w:val="16"/>
              </w:rPr>
            </w:pPr>
            <w:r w:rsidRPr="00E24B37">
              <w:rPr>
                <w:rFonts w:cs="Arial"/>
                <w:b/>
                <w:bCs/>
                <w:sz w:val="16"/>
                <w:szCs w:val="16"/>
              </w:rPr>
              <w:t>A2602929A</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49A6070D" w14:textId="2C043C3F" w:rsidR="00247555" w:rsidRPr="002A2CEE" w:rsidRDefault="00247555" w:rsidP="00247555">
            <w:pPr>
              <w:spacing w:before="120" w:after="120"/>
              <w:jc w:val="center"/>
              <w:rPr>
                <w:rFonts w:cs="Arial"/>
                <w:b/>
                <w:sz w:val="16"/>
                <w:szCs w:val="16"/>
              </w:rPr>
            </w:pPr>
            <w:r w:rsidRPr="00E24B37">
              <w:rPr>
                <w:rFonts w:cs="Arial"/>
                <w:b/>
                <w:bCs/>
                <w:sz w:val="16"/>
                <w:szCs w:val="16"/>
              </w:rPr>
              <w:t>A3602833C</w:t>
            </w:r>
          </w:p>
        </w:tc>
        <w:tc>
          <w:tcPr>
            <w:tcW w:w="422" w:type="pct"/>
            <w:tcBorders>
              <w:top w:val="single" w:sz="4" w:space="0" w:color="DFEBF1" w:themeColor="accent1" w:themeTint="1A"/>
              <w:bottom w:val="single" w:sz="4" w:space="0" w:color="DFEBF1" w:themeColor="accent1" w:themeTint="1A"/>
            </w:tcBorders>
            <w:shd w:val="clear" w:color="auto" w:fill="DFEBF1" w:themeFill="text2" w:themeFillTint="1A"/>
          </w:tcPr>
          <w:p w14:paraId="016951F2" w14:textId="318135E9" w:rsidR="00247555" w:rsidRPr="002A2CEE" w:rsidRDefault="00247555" w:rsidP="00247555">
            <w:pPr>
              <w:spacing w:before="120" w:after="120"/>
              <w:jc w:val="center"/>
              <w:rPr>
                <w:rFonts w:cs="Arial"/>
                <w:b/>
                <w:sz w:val="16"/>
                <w:szCs w:val="16"/>
              </w:rPr>
            </w:pPr>
            <w:r w:rsidRPr="00E24B37">
              <w:rPr>
                <w:rFonts w:cs="Arial"/>
                <w:b/>
                <w:bCs/>
                <w:sz w:val="16"/>
                <w:szCs w:val="16"/>
              </w:rPr>
              <w:t>A3604408A</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tcPr>
          <w:p w14:paraId="40796AAF" w14:textId="60C3509B" w:rsidR="00247555" w:rsidRPr="002A2CEE" w:rsidRDefault="00247555" w:rsidP="00247555">
            <w:pPr>
              <w:spacing w:before="120" w:after="120"/>
              <w:jc w:val="center"/>
              <w:rPr>
                <w:rFonts w:cs="Arial"/>
                <w:b/>
                <w:sz w:val="16"/>
                <w:szCs w:val="16"/>
              </w:rPr>
            </w:pPr>
            <w:r w:rsidRPr="00E24B37">
              <w:rPr>
                <w:rFonts w:cs="Arial"/>
                <w:b/>
                <w:bCs/>
                <w:sz w:val="16"/>
                <w:szCs w:val="16"/>
              </w:rPr>
              <w:t>A3604423X</w:t>
            </w:r>
          </w:p>
        </w:tc>
      </w:tr>
      <w:tr w:rsidR="00247555" w:rsidRPr="00AD6AFA" w14:paraId="6CE68A66" w14:textId="77777777" w:rsidTr="00C31B44">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1DF8FDAC" w14:textId="77777777" w:rsidR="00247555" w:rsidRPr="00AD6AFA" w:rsidRDefault="00247555" w:rsidP="00247555">
            <w:pPr>
              <w:spacing w:before="120" w:after="120"/>
              <w:rPr>
                <w:rFonts w:cs="Arial"/>
                <w:color w:val="1C1C1C"/>
                <w:sz w:val="16"/>
                <w:szCs w:val="16"/>
              </w:rPr>
            </w:pPr>
            <w:r w:rsidRPr="00AD6AFA">
              <w:rPr>
                <w:rFonts w:cs="Arial"/>
                <w:sz w:val="16"/>
                <w:szCs w:val="16"/>
              </w:rPr>
              <w:t>SEP2021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4286ECC" w14:textId="2E05722D" w:rsidR="00247555" w:rsidRPr="00E24B37" w:rsidRDefault="00247555" w:rsidP="00247555">
            <w:pPr>
              <w:spacing w:before="120" w:after="120"/>
              <w:jc w:val="right"/>
              <w:rPr>
                <w:rFonts w:cs="Arial"/>
                <w:sz w:val="16"/>
                <w:szCs w:val="16"/>
              </w:rPr>
            </w:pPr>
            <w:r w:rsidRPr="00E24B37">
              <w:rPr>
                <w:rFonts w:cs="Arial"/>
                <w:sz w:val="16"/>
                <w:szCs w:val="16"/>
              </w:rPr>
              <w:t>91.70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E2F749B" w14:textId="0CCE78A9" w:rsidR="00247555" w:rsidRPr="00247555" w:rsidRDefault="00247555" w:rsidP="00247555">
            <w:pPr>
              <w:spacing w:before="120" w:after="120"/>
              <w:jc w:val="right"/>
              <w:rPr>
                <w:rFonts w:cs="Arial"/>
                <w:sz w:val="16"/>
                <w:szCs w:val="16"/>
              </w:rPr>
            </w:pPr>
            <w:r w:rsidRPr="00E24B37">
              <w:rPr>
                <w:rFonts w:cs="Arial"/>
                <w:sz w:val="16"/>
                <w:szCs w:val="16"/>
              </w:rPr>
              <w:t>92.90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D9938C0" w14:textId="20D60B5A" w:rsidR="00247555" w:rsidRPr="00247555" w:rsidRDefault="00247555" w:rsidP="00247555">
            <w:pPr>
              <w:spacing w:before="120" w:after="120"/>
              <w:jc w:val="right"/>
              <w:rPr>
                <w:rFonts w:cs="Arial"/>
                <w:sz w:val="16"/>
                <w:szCs w:val="16"/>
              </w:rPr>
            </w:pPr>
            <w:r w:rsidRPr="00E24B37">
              <w:rPr>
                <w:rFonts w:cs="Arial"/>
                <w:sz w:val="16"/>
                <w:szCs w:val="16"/>
              </w:rPr>
              <w:t>94.30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A22DA71" w14:textId="5AF5905E" w:rsidR="00247555" w:rsidRPr="00247555" w:rsidRDefault="00247555" w:rsidP="00247555">
            <w:pPr>
              <w:spacing w:before="120" w:after="120"/>
              <w:jc w:val="right"/>
              <w:rPr>
                <w:rFonts w:cs="Arial"/>
                <w:sz w:val="16"/>
                <w:szCs w:val="16"/>
              </w:rPr>
            </w:pPr>
            <w:r w:rsidRPr="00E24B37">
              <w:rPr>
                <w:rFonts w:cs="Arial"/>
                <w:sz w:val="16"/>
                <w:szCs w:val="16"/>
              </w:rPr>
              <w:t>91.40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622FFD6" w14:textId="1E144ABA" w:rsidR="00247555" w:rsidRPr="00247555" w:rsidRDefault="00247555" w:rsidP="00247555">
            <w:pPr>
              <w:spacing w:before="120" w:after="120"/>
              <w:jc w:val="right"/>
              <w:rPr>
                <w:rFonts w:cs="Arial"/>
                <w:sz w:val="16"/>
                <w:szCs w:val="16"/>
              </w:rPr>
            </w:pPr>
            <w:r w:rsidRPr="00E24B37">
              <w:rPr>
                <w:rFonts w:cs="Arial"/>
                <w:sz w:val="16"/>
                <w:szCs w:val="16"/>
              </w:rPr>
              <w:t>93.60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7BD85F6" w14:textId="4CACC4DA" w:rsidR="00247555" w:rsidRPr="00247555" w:rsidRDefault="00247555" w:rsidP="00247555">
            <w:pPr>
              <w:spacing w:before="120" w:after="120"/>
              <w:jc w:val="right"/>
              <w:rPr>
                <w:rFonts w:cs="Arial"/>
                <w:sz w:val="16"/>
                <w:szCs w:val="16"/>
              </w:rPr>
            </w:pPr>
            <w:r w:rsidRPr="00E24B37">
              <w:rPr>
                <w:rFonts w:cs="Arial"/>
                <w:sz w:val="16"/>
                <w:szCs w:val="16"/>
              </w:rPr>
              <w:t>96.90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CC92AAC" w14:textId="37A9CBB6" w:rsidR="00247555" w:rsidRPr="00247555" w:rsidRDefault="00247555" w:rsidP="00247555">
            <w:pPr>
              <w:spacing w:before="120" w:after="120"/>
              <w:jc w:val="right"/>
              <w:rPr>
                <w:rFonts w:cs="Arial"/>
                <w:sz w:val="16"/>
                <w:szCs w:val="16"/>
              </w:rPr>
            </w:pPr>
            <w:r w:rsidRPr="00E24B37">
              <w:rPr>
                <w:rFonts w:cs="Arial"/>
                <w:sz w:val="16"/>
                <w:szCs w:val="16"/>
              </w:rPr>
              <w:t>95.50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C76EF84" w14:textId="70325E52" w:rsidR="00247555" w:rsidRPr="00247555" w:rsidRDefault="00247555" w:rsidP="00247555">
            <w:pPr>
              <w:spacing w:before="120" w:after="120"/>
              <w:jc w:val="right"/>
              <w:rPr>
                <w:rFonts w:cs="Arial"/>
                <w:sz w:val="16"/>
                <w:szCs w:val="16"/>
              </w:rPr>
            </w:pPr>
            <w:r w:rsidRPr="00E24B37">
              <w:rPr>
                <w:rFonts w:cs="Arial"/>
                <w:sz w:val="16"/>
                <w:szCs w:val="16"/>
              </w:rPr>
              <w:t>96.70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9CF4510" w14:textId="1D1615DA" w:rsidR="00247555" w:rsidRPr="00247555" w:rsidRDefault="00247555" w:rsidP="00247555">
            <w:pPr>
              <w:spacing w:before="120" w:after="120"/>
              <w:jc w:val="right"/>
              <w:rPr>
                <w:rFonts w:cs="Arial"/>
                <w:sz w:val="16"/>
                <w:szCs w:val="16"/>
              </w:rPr>
            </w:pPr>
            <w:r w:rsidRPr="00E24B37">
              <w:rPr>
                <w:rFonts w:cs="Arial"/>
                <w:sz w:val="16"/>
                <w:szCs w:val="16"/>
              </w:rPr>
              <w:t>96.00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F9953CD" w14:textId="09AEAA25" w:rsidR="00247555" w:rsidRPr="00247555" w:rsidRDefault="00247555" w:rsidP="00247555">
            <w:pPr>
              <w:spacing w:before="120" w:after="120"/>
              <w:jc w:val="right"/>
              <w:rPr>
                <w:rFonts w:cs="Arial"/>
                <w:sz w:val="16"/>
                <w:szCs w:val="16"/>
              </w:rPr>
            </w:pPr>
            <w:r w:rsidRPr="00E24B37">
              <w:rPr>
                <w:rFonts w:cs="Arial"/>
                <w:sz w:val="16"/>
                <w:szCs w:val="16"/>
              </w:rPr>
              <w:t>96.40</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830A2E9" w14:textId="0B4236AF" w:rsidR="00247555" w:rsidRPr="00247555" w:rsidRDefault="00247555" w:rsidP="00247555">
            <w:pPr>
              <w:spacing w:before="120" w:after="120"/>
              <w:jc w:val="right"/>
              <w:rPr>
                <w:rFonts w:cs="Arial"/>
                <w:sz w:val="16"/>
                <w:szCs w:val="16"/>
              </w:rPr>
            </w:pPr>
            <w:r w:rsidRPr="00E24B37">
              <w:rPr>
                <w:rFonts w:cs="Arial"/>
                <w:sz w:val="16"/>
                <w:szCs w:val="16"/>
              </w:rPr>
              <w:t>97.70</w:t>
            </w:r>
          </w:p>
        </w:tc>
      </w:tr>
      <w:tr w:rsidR="00247555" w:rsidRPr="00AD6AFA" w14:paraId="00ED8CDE" w14:textId="77777777" w:rsidTr="00C31B44">
        <w:trPr>
          <w:cnfStyle w:val="000000010000" w:firstRow="0" w:lastRow="0" w:firstColumn="0" w:lastColumn="0" w:oddVBand="0" w:evenVBand="0" w:oddHBand="0" w:evenHBand="1"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63586F60" w14:textId="77777777" w:rsidR="00247555" w:rsidRPr="00AD6AFA" w:rsidRDefault="00247555" w:rsidP="00247555">
            <w:pPr>
              <w:spacing w:before="120" w:after="120"/>
              <w:rPr>
                <w:rFonts w:cs="Arial"/>
                <w:color w:val="1C1C1C"/>
                <w:sz w:val="16"/>
                <w:szCs w:val="16"/>
              </w:rPr>
            </w:pPr>
            <w:r w:rsidRPr="00AD6AFA">
              <w:rPr>
                <w:rFonts w:cs="Arial"/>
                <w:sz w:val="16"/>
                <w:szCs w:val="16"/>
              </w:rPr>
              <w:t>DEC2021</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2B5ADAF" w14:textId="40B454FC" w:rsidR="00247555" w:rsidRPr="00E24B37" w:rsidRDefault="00247555" w:rsidP="00247555">
            <w:pPr>
              <w:spacing w:before="120" w:after="120"/>
              <w:jc w:val="right"/>
              <w:rPr>
                <w:rFonts w:cs="Arial"/>
                <w:sz w:val="16"/>
                <w:szCs w:val="16"/>
              </w:rPr>
            </w:pPr>
            <w:r w:rsidRPr="00E24B37">
              <w:rPr>
                <w:rFonts w:cs="Arial"/>
                <w:sz w:val="16"/>
                <w:szCs w:val="16"/>
              </w:rPr>
              <w:t>92.40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ED4FD6D" w14:textId="19167F48" w:rsidR="00247555" w:rsidRPr="00247555" w:rsidRDefault="00247555" w:rsidP="00247555">
            <w:pPr>
              <w:spacing w:before="120" w:after="120"/>
              <w:jc w:val="right"/>
              <w:rPr>
                <w:rFonts w:cs="Arial"/>
                <w:sz w:val="16"/>
                <w:szCs w:val="16"/>
              </w:rPr>
            </w:pPr>
            <w:r w:rsidRPr="00E24B37">
              <w:rPr>
                <w:rFonts w:cs="Arial"/>
                <w:sz w:val="16"/>
                <w:szCs w:val="16"/>
              </w:rPr>
              <w:t>93.90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C0AF2D2" w14:textId="7F54B0C3" w:rsidR="00247555" w:rsidRPr="00247555" w:rsidRDefault="00247555" w:rsidP="00247555">
            <w:pPr>
              <w:spacing w:before="120" w:after="120"/>
              <w:jc w:val="right"/>
              <w:rPr>
                <w:rFonts w:cs="Arial"/>
                <w:sz w:val="16"/>
                <w:szCs w:val="16"/>
              </w:rPr>
            </w:pPr>
            <w:r w:rsidRPr="00E24B37">
              <w:rPr>
                <w:rFonts w:cs="Arial"/>
                <w:sz w:val="16"/>
                <w:szCs w:val="16"/>
              </w:rPr>
              <w:t>94.60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B125347" w14:textId="0AA8BB02" w:rsidR="00247555" w:rsidRPr="00247555" w:rsidRDefault="00247555" w:rsidP="00247555">
            <w:pPr>
              <w:spacing w:before="120" w:after="120"/>
              <w:jc w:val="right"/>
              <w:rPr>
                <w:rFonts w:cs="Arial"/>
                <w:sz w:val="16"/>
                <w:szCs w:val="16"/>
              </w:rPr>
            </w:pPr>
            <w:r w:rsidRPr="00E24B37">
              <w:rPr>
                <w:rFonts w:cs="Arial"/>
                <w:sz w:val="16"/>
                <w:szCs w:val="16"/>
              </w:rPr>
              <w:t>94.10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911C7B4" w14:textId="541D9B21" w:rsidR="00247555" w:rsidRPr="00247555" w:rsidRDefault="00247555" w:rsidP="00247555">
            <w:pPr>
              <w:spacing w:before="120" w:after="120"/>
              <w:jc w:val="right"/>
              <w:rPr>
                <w:rFonts w:cs="Arial"/>
                <w:sz w:val="16"/>
                <w:szCs w:val="16"/>
              </w:rPr>
            </w:pPr>
            <w:r w:rsidRPr="00E24B37">
              <w:rPr>
                <w:rFonts w:cs="Arial"/>
                <w:sz w:val="16"/>
                <w:szCs w:val="16"/>
              </w:rPr>
              <w:t>94.00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A26F014" w14:textId="208A07A8" w:rsidR="00247555" w:rsidRPr="00247555" w:rsidRDefault="00247555" w:rsidP="00247555">
            <w:pPr>
              <w:spacing w:before="120" w:after="120"/>
              <w:jc w:val="right"/>
              <w:rPr>
                <w:rFonts w:cs="Arial"/>
                <w:sz w:val="16"/>
                <w:szCs w:val="16"/>
              </w:rPr>
            </w:pPr>
            <w:r w:rsidRPr="00E24B37">
              <w:rPr>
                <w:rFonts w:cs="Arial"/>
                <w:sz w:val="16"/>
                <w:szCs w:val="16"/>
              </w:rPr>
              <w:t>97.00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2D4DEC6" w14:textId="446AE35D" w:rsidR="00247555" w:rsidRPr="00247555" w:rsidRDefault="00247555" w:rsidP="00247555">
            <w:pPr>
              <w:spacing w:before="120" w:after="120"/>
              <w:jc w:val="right"/>
              <w:rPr>
                <w:rFonts w:cs="Arial"/>
                <w:sz w:val="16"/>
                <w:szCs w:val="16"/>
              </w:rPr>
            </w:pPr>
            <w:r w:rsidRPr="00E24B37">
              <w:rPr>
                <w:rFonts w:cs="Arial"/>
                <w:sz w:val="16"/>
                <w:szCs w:val="16"/>
              </w:rPr>
              <w:t>96.90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B730B8E" w14:textId="6BA39285" w:rsidR="00247555" w:rsidRPr="00247555" w:rsidRDefault="00247555" w:rsidP="00247555">
            <w:pPr>
              <w:spacing w:before="120" w:after="120"/>
              <w:jc w:val="right"/>
              <w:rPr>
                <w:rFonts w:cs="Arial"/>
                <w:sz w:val="16"/>
                <w:szCs w:val="16"/>
              </w:rPr>
            </w:pPr>
            <w:r w:rsidRPr="00E24B37">
              <w:rPr>
                <w:rFonts w:cs="Arial"/>
                <w:sz w:val="16"/>
                <w:szCs w:val="16"/>
              </w:rPr>
              <w:t>97.00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78EEDD9" w14:textId="0B303443" w:rsidR="00247555" w:rsidRPr="00247555" w:rsidRDefault="00247555" w:rsidP="00247555">
            <w:pPr>
              <w:spacing w:before="120" w:after="120"/>
              <w:jc w:val="right"/>
              <w:rPr>
                <w:rFonts w:cs="Arial"/>
                <w:sz w:val="16"/>
                <w:szCs w:val="16"/>
              </w:rPr>
            </w:pPr>
            <w:r w:rsidRPr="00E24B37">
              <w:rPr>
                <w:rFonts w:cs="Arial"/>
                <w:sz w:val="16"/>
                <w:szCs w:val="16"/>
              </w:rPr>
              <w:t>96.40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1477E91" w14:textId="7B5DFBC1" w:rsidR="00247555" w:rsidRPr="00247555" w:rsidRDefault="00247555" w:rsidP="00247555">
            <w:pPr>
              <w:spacing w:before="120" w:after="120"/>
              <w:jc w:val="right"/>
              <w:rPr>
                <w:rFonts w:cs="Arial"/>
                <w:sz w:val="16"/>
                <w:szCs w:val="16"/>
              </w:rPr>
            </w:pPr>
            <w:r w:rsidRPr="00E24B37">
              <w:rPr>
                <w:rFonts w:cs="Arial"/>
                <w:sz w:val="16"/>
                <w:szCs w:val="16"/>
              </w:rPr>
              <w:t>95.30</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4ECF4742" w14:textId="33D9E22D" w:rsidR="00247555" w:rsidRPr="00247555" w:rsidRDefault="00247555" w:rsidP="00247555">
            <w:pPr>
              <w:spacing w:before="120" w:after="120"/>
              <w:jc w:val="right"/>
              <w:rPr>
                <w:rFonts w:cs="Arial"/>
                <w:sz w:val="16"/>
                <w:szCs w:val="16"/>
              </w:rPr>
            </w:pPr>
            <w:r w:rsidRPr="00E24B37">
              <w:rPr>
                <w:rFonts w:cs="Arial"/>
                <w:sz w:val="16"/>
                <w:szCs w:val="16"/>
              </w:rPr>
              <w:t>98.70</w:t>
            </w:r>
          </w:p>
        </w:tc>
      </w:tr>
      <w:tr w:rsidR="00247555" w:rsidRPr="00AD6AFA" w14:paraId="67778533" w14:textId="77777777" w:rsidTr="00C31B44">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3441C49D" w14:textId="77777777" w:rsidR="00247555" w:rsidRPr="00AD6AFA" w:rsidRDefault="00247555" w:rsidP="00247555">
            <w:pPr>
              <w:spacing w:before="120" w:after="120"/>
              <w:rPr>
                <w:rFonts w:cs="Arial"/>
                <w:color w:val="1C1C1C"/>
                <w:sz w:val="16"/>
                <w:szCs w:val="16"/>
              </w:rPr>
            </w:pPr>
            <w:r w:rsidRPr="00AD6AFA">
              <w:rPr>
                <w:rFonts w:cs="Arial"/>
                <w:sz w:val="16"/>
                <w:szCs w:val="16"/>
              </w:rPr>
              <w:t>MAR2022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A209C11" w14:textId="0A35C709" w:rsidR="00247555" w:rsidRPr="00E24B37" w:rsidRDefault="00247555" w:rsidP="00247555">
            <w:pPr>
              <w:spacing w:before="120" w:after="120"/>
              <w:jc w:val="right"/>
              <w:rPr>
                <w:rFonts w:cs="Arial"/>
                <w:sz w:val="16"/>
                <w:szCs w:val="16"/>
              </w:rPr>
            </w:pPr>
            <w:r w:rsidRPr="00E24B37">
              <w:rPr>
                <w:rFonts w:cs="Arial"/>
                <w:sz w:val="16"/>
                <w:szCs w:val="16"/>
              </w:rPr>
              <w:t>94.90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0102622" w14:textId="35D6F012" w:rsidR="00247555" w:rsidRPr="00247555" w:rsidRDefault="00247555" w:rsidP="00247555">
            <w:pPr>
              <w:spacing w:before="120" w:after="120"/>
              <w:jc w:val="right"/>
              <w:rPr>
                <w:rFonts w:cs="Arial"/>
                <w:sz w:val="16"/>
                <w:szCs w:val="16"/>
              </w:rPr>
            </w:pPr>
            <w:r w:rsidRPr="00E24B37">
              <w:rPr>
                <w:rFonts w:cs="Arial"/>
                <w:sz w:val="16"/>
                <w:szCs w:val="16"/>
              </w:rPr>
              <w:t>94.90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693C25C" w14:textId="3F90740C" w:rsidR="00247555" w:rsidRPr="00247555" w:rsidRDefault="00247555" w:rsidP="00247555">
            <w:pPr>
              <w:spacing w:before="120" w:after="120"/>
              <w:jc w:val="right"/>
              <w:rPr>
                <w:rFonts w:cs="Arial"/>
                <w:sz w:val="16"/>
                <w:szCs w:val="16"/>
              </w:rPr>
            </w:pPr>
            <w:r w:rsidRPr="00E24B37">
              <w:rPr>
                <w:rFonts w:cs="Arial"/>
                <w:sz w:val="16"/>
                <w:szCs w:val="16"/>
              </w:rPr>
              <w:t>95.70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D9445B9" w14:textId="331A5ABB" w:rsidR="00247555" w:rsidRPr="00247555" w:rsidRDefault="00247555" w:rsidP="00247555">
            <w:pPr>
              <w:spacing w:before="120" w:after="120"/>
              <w:jc w:val="right"/>
              <w:rPr>
                <w:rFonts w:cs="Arial"/>
                <w:sz w:val="16"/>
                <w:szCs w:val="16"/>
              </w:rPr>
            </w:pPr>
            <w:r w:rsidRPr="00E24B37">
              <w:rPr>
                <w:rFonts w:cs="Arial"/>
                <w:sz w:val="16"/>
                <w:szCs w:val="16"/>
              </w:rPr>
              <w:t>98.10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C439F40" w14:textId="425A6075" w:rsidR="00247555" w:rsidRPr="00247555" w:rsidRDefault="00247555" w:rsidP="00247555">
            <w:pPr>
              <w:spacing w:before="120" w:after="120"/>
              <w:jc w:val="right"/>
              <w:rPr>
                <w:rFonts w:cs="Arial"/>
                <w:sz w:val="16"/>
                <w:szCs w:val="16"/>
              </w:rPr>
            </w:pPr>
            <w:r w:rsidRPr="00E24B37">
              <w:rPr>
                <w:rFonts w:cs="Arial"/>
                <w:sz w:val="16"/>
                <w:szCs w:val="16"/>
              </w:rPr>
              <w:t>95.70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9413A4F" w14:textId="6A56D233" w:rsidR="00247555" w:rsidRPr="00247555" w:rsidRDefault="00247555" w:rsidP="00247555">
            <w:pPr>
              <w:spacing w:before="120" w:after="120"/>
              <w:jc w:val="right"/>
              <w:rPr>
                <w:rFonts w:cs="Arial"/>
                <w:sz w:val="16"/>
                <w:szCs w:val="16"/>
              </w:rPr>
            </w:pPr>
            <w:r w:rsidRPr="00E24B37">
              <w:rPr>
                <w:rFonts w:cs="Arial"/>
                <w:sz w:val="16"/>
                <w:szCs w:val="16"/>
              </w:rPr>
              <w:t>98.80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666BD4B" w14:textId="424D261F" w:rsidR="00247555" w:rsidRPr="00247555" w:rsidRDefault="00247555" w:rsidP="00247555">
            <w:pPr>
              <w:spacing w:before="120" w:after="120"/>
              <w:jc w:val="right"/>
              <w:rPr>
                <w:rFonts w:cs="Arial"/>
                <w:sz w:val="16"/>
                <w:szCs w:val="16"/>
              </w:rPr>
            </w:pPr>
            <w:r w:rsidRPr="00E24B37">
              <w:rPr>
                <w:rFonts w:cs="Arial"/>
                <w:sz w:val="16"/>
                <w:szCs w:val="16"/>
              </w:rPr>
              <w:t>97.30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E78C2DB" w14:textId="668214A4" w:rsidR="00247555" w:rsidRPr="00247555" w:rsidRDefault="00247555" w:rsidP="00247555">
            <w:pPr>
              <w:spacing w:before="120" w:after="120"/>
              <w:jc w:val="right"/>
              <w:rPr>
                <w:rFonts w:cs="Arial"/>
                <w:sz w:val="16"/>
                <w:szCs w:val="16"/>
              </w:rPr>
            </w:pPr>
            <w:r w:rsidRPr="00E24B37">
              <w:rPr>
                <w:rFonts w:cs="Arial"/>
                <w:sz w:val="16"/>
                <w:szCs w:val="16"/>
              </w:rPr>
              <w:t>97.40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9D838E1" w14:textId="7B161602" w:rsidR="00247555" w:rsidRPr="00247555" w:rsidRDefault="00247555" w:rsidP="00247555">
            <w:pPr>
              <w:spacing w:before="120" w:after="120"/>
              <w:jc w:val="right"/>
              <w:rPr>
                <w:rFonts w:cs="Arial"/>
                <w:sz w:val="16"/>
                <w:szCs w:val="16"/>
              </w:rPr>
            </w:pPr>
            <w:r w:rsidRPr="00E24B37">
              <w:rPr>
                <w:rFonts w:cs="Arial"/>
                <w:sz w:val="16"/>
                <w:szCs w:val="16"/>
              </w:rPr>
              <w:t>97.50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70AEA2D" w14:textId="43FF4859" w:rsidR="00247555" w:rsidRPr="00247555" w:rsidRDefault="00247555" w:rsidP="00247555">
            <w:pPr>
              <w:spacing w:before="120" w:after="120"/>
              <w:jc w:val="right"/>
              <w:rPr>
                <w:rFonts w:cs="Arial"/>
                <w:sz w:val="16"/>
                <w:szCs w:val="16"/>
              </w:rPr>
            </w:pPr>
            <w:r w:rsidRPr="00E24B37">
              <w:rPr>
                <w:rFonts w:cs="Arial"/>
                <w:sz w:val="16"/>
                <w:szCs w:val="16"/>
              </w:rPr>
              <w:t>97.20</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8C6A368" w14:textId="6D08E23A" w:rsidR="00247555" w:rsidRPr="00247555" w:rsidRDefault="00247555" w:rsidP="00247555">
            <w:pPr>
              <w:spacing w:before="120" w:after="120"/>
              <w:jc w:val="right"/>
              <w:rPr>
                <w:rFonts w:cs="Arial"/>
                <w:sz w:val="16"/>
                <w:szCs w:val="16"/>
              </w:rPr>
            </w:pPr>
            <w:r w:rsidRPr="00E24B37">
              <w:rPr>
                <w:rFonts w:cs="Arial"/>
                <w:sz w:val="16"/>
                <w:szCs w:val="16"/>
              </w:rPr>
              <w:t>98.30</w:t>
            </w:r>
          </w:p>
        </w:tc>
      </w:tr>
      <w:tr w:rsidR="00247555" w:rsidRPr="00AD6AFA" w14:paraId="751BFCEF" w14:textId="77777777" w:rsidTr="00C31B44">
        <w:trPr>
          <w:cnfStyle w:val="000000010000" w:firstRow="0" w:lastRow="0" w:firstColumn="0" w:lastColumn="0" w:oddVBand="0" w:evenVBand="0" w:oddHBand="0" w:evenHBand="1"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6F3DED1C" w14:textId="77777777" w:rsidR="00247555" w:rsidRPr="00AD6AFA" w:rsidRDefault="00247555" w:rsidP="00247555">
            <w:pPr>
              <w:spacing w:before="120" w:after="120"/>
              <w:rPr>
                <w:rFonts w:cs="Arial"/>
                <w:color w:val="1C1C1C"/>
                <w:sz w:val="16"/>
                <w:szCs w:val="16"/>
              </w:rPr>
            </w:pPr>
            <w:r w:rsidRPr="00AD6AFA">
              <w:rPr>
                <w:rFonts w:cs="Arial"/>
                <w:sz w:val="16"/>
                <w:szCs w:val="16"/>
              </w:rPr>
              <w:t>JUN2022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5BE477B" w14:textId="726875BB" w:rsidR="00247555" w:rsidRPr="00E24B37" w:rsidRDefault="00247555" w:rsidP="00247555">
            <w:pPr>
              <w:spacing w:before="120" w:after="120"/>
              <w:jc w:val="right"/>
              <w:rPr>
                <w:rFonts w:cs="Arial"/>
                <w:sz w:val="16"/>
                <w:szCs w:val="16"/>
              </w:rPr>
            </w:pPr>
            <w:r w:rsidRPr="00E24B37">
              <w:rPr>
                <w:rFonts w:cs="Arial"/>
                <w:sz w:val="16"/>
                <w:szCs w:val="16"/>
              </w:rPr>
              <w:t>96.90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FC8FA58" w14:textId="49626827" w:rsidR="00247555" w:rsidRPr="00247555" w:rsidRDefault="00247555" w:rsidP="00247555">
            <w:pPr>
              <w:spacing w:before="120" w:after="120"/>
              <w:jc w:val="right"/>
              <w:rPr>
                <w:rFonts w:cs="Arial"/>
                <w:sz w:val="16"/>
                <w:szCs w:val="16"/>
              </w:rPr>
            </w:pPr>
            <w:r w:rsidRPr="00E24B37">
              <w:rPr>
                <w:rFonts w:cs="Arial"/>
                <w:sz w:val="16"/>
                <w:szCs w:val="16"/>
              </w:rPr>
              <w:t>97.20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C38F8CE" w14:textId="16ADF51D" w:rsidR="00247555" w:rsidRPr="00247555" w:rsidRDefault="00247555" w:rsidP="00247555">
            <w:pPr>
              <w:spacing w:before="120" w:after="120"/>
              <w:jc w:val="right"/>
              <w:rPr>
                <w:rFonts w:cs="Arial"/>
                <w:sz w:val="16"/>
                <w:szCs w:val="16"/>
              </w:rPr>
            </w:pPr>
            <w:r w:rsidRPr="00E24B37">
              <w:rPr>
                <w:rFonts w:cs="Arial"/>
                <w:sz w:val="16"/>
                <w:szCs w:val="16"/>
              </w:rPr>
              <w:t>95.40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0ADD3D2" w14:textId="0157486D" w:rsidR="00247555" w:rsidRPr="00247555" w:rsidRDefault="00247555" w:rsidP="00247555">
            <w:pPr>
              <w:spacing w:before="120" w:after="120"/>
              <w:jc w:val="right"/>
              <w:rPr>
                <w:rFonts w:cs="Arial"/>
                <w:sz w:val="16"/>
                <w:szCs w:val="16"/>
              </w:rPr>
            </w:pPr>
            <w:r w:rsidRPr="00E24B37">
              <w:rPr>
                <w:rFonts w:cs="Arial"/>
                <w:sz w:val="16"/>
                <w:szCs w:val="16"/>
              </w:rPr>
              <w:t>100.60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7A40916" w14:textId="7B25861D" w:rsidR="00247555" w:rsidRPr="00247555" w:rsidRDefault="00247555" w:rsidP="00247555">
            <w:pPr>
              <w:spacing w:before="120" w:after="120"/>
              <w:jc w:val="right"/>
              <w:rPr>
                <w:rFonts w:cs="Arial"/>
                <w:sz w:val="16"/>
                <w:szCs w:val="16"/>
              </w:rPr>
            </w:pPr>
            <w:r w:rsidRPr="00E24B37">
              <w:rPr>
                <w:rFonts w:cs="Arial"/>
                <w:sz w:val="16"/>
                <w:szCs w:val="16"/>
              </w:rPr>
              <w:t>98.40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AFD7D1D" w14:textId="60AF9087"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9B59F7E" w14:textId="5B29EC08" w:rsidR="00247555" w:rsidRPr="00247555" w:rsidRDefault="00247555" w:rsidP="00247555">
            <w:pPr>
              <w:spacing w:before="120" w:after="120"/>
              <w:jc w:val="right"/>
              <w:rPr>
                <w:rFonts w:cs="Arial"/>
                <w:sz w:val="16"/>
                <w:szCs w:val="16"/>
              </w:rPr>
            </w:pPr>
            <w:r w:rsidRPr="00E24B37">
              <w:rPr>
                <w:rFonts w:cs="Arial"/>
                <w:sz w:val="16"/>
                <w:szCs w:val="16"/>
              </w:rPr>
              <w:t>98.70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47B49C6F" w14:textId="2428CB69" w:rsidR="00247555" w:rsidRPr="00247555" w:rsidRDefault="00247555" w:rsidP="00247555">
            <w:pPr>
              <w:spacing w:before="120" w:after="120"/>
              <w:jc w:val="right"/>
              <w:rPr>
                <w:rFonts w:cs="Arial"/>
                <w:sz w:val="16"/>
                <w:szCs w:val="16"/>
              </w:rPr>
            </w:pPr>
            <w:r w:rsidRPr="00E24B37">
              <w:rPr>
                <w:rFonts w:cs="Arial"/>
                <w:sz w:val="16"/>
                <w:szCs w:val="16"/>
              </w:rPr>
              <w:t>97.70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6E22B4F" w14:textId="2440D6C8" w:rsidR="00247555" w:rsidRPr="00247555" w:rsidRDefault="00247555" w:rsidP="00247555">
            <w:pPr>
              <w:spacing w:before="120" w:after="120"/>
              <w:jc w:val="right"/>
              <w:rPr>
                <w:rFonts w:cs="Arial"/>
                <w:sz w:val="16"/>
                <w:szCs w:val="16"/>
              </w:rPr>
            </w:pPr>
            <w:r w:rsidRPr="00E24B37">
              <w:rPr>
                <w:rFonts w:cs="Arial"/>
                <w:sz w:val="16"/>
                <w:szCs w:val="16"/>
              </w:rPr>
              <w:t>97.80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DA45F7F" w14:textId="4EB2A401" w:rsidR="00247555" w:rsidRPr="00247555" w:rsidRDefault="00247555" w:rsidP="00247555">
            <w:pPr>
              <w:spacing w:before="120" w:after="120"/>
              <w:jc w:val="right"/>
              <w:rPr>
                <w:rFonts w:cs="Arial"/>
                <w:sz w:val="16"/>
                <w:szCs w:val="16"/>
              </w:rPr>
            </w:pPr>
            <w:r w:rsidRPr="00E24B37">
              <w:rPr>
                <w:rFonts w:cs="Arial"/>
                <w:sz w:val="16"/>
                <w:szCs w:val="16"/>
              </w:rPr>
              <w:t>97.60</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05F07743" w14:textId="68074AD5" w:rsidR="00247555" w:rsidRPr="00247555" w:rsidRDefault="00247555" w:rsidP="00247555">
            <w:pPr>
              <w:spacing w:before="120" w:after="120"/>
              <w:jc w:val="right"/>
              <w:rPr>
                <w:rFonts w:cs="Arial"/>
                <w:sz w:val="16"/>
                <w:szCs w:val="16"/>
              </w:rPr>
            </w:pPr>
            <w:r w:rsidRPr="00E24B37">
              <w:rPr>
                <w:rFonts w:cs="Arial"/>
                <w:sz w:val="16"/>
                <w:szCs w:val="16"/>
              </w:rPr>
              <w:t>99.40</w:t>
            </w:r>
          </w:p>
        </w:tc>
      </w:tr>
      <w:tr w:rsidR="00247555" w:rsidRPr="00AD6AFA" w14:paraId="3E01C855" w14:textId="77777777" w:rsidTr="00C31B44">
        <w:trPr>
          <w:cnfStyle w:val="000000100000" w:firstRow="0" w:lastRow="0" w:firstColumn="0" w:lastColumn="0" w:oddVBand="0" w:evenVBand="0" w:oddHBand="1" w:evenHBand="0" w:firstRowFirstColumn="0" w:firstRowLastColumn="0" w:lastRowFirstColumn="0" w:lastRowLastColumn="0"/>
          <w:cantSplit/>
          <w:trHeight w:val="20"/>
        </w:trPr>
        <w:tc>
          <w:tcPr>
            <w:tcW w:w="360" w:type="pct"/>
            <w:tcBorders>
              <w:top w:val="single" w:sz="4" w:space="0" w:color="DFEBF1" w:themeColor="accent1" w:themeTint="1A"/>
              <w:bottom w:val="single" w:sz="4" w:space="0" w:color="DFEBF1" w:themeColor="accent1" w:themeTint="1A"/>
            </w:tcBorders>
            <w:shd w:val="clear" w:color="auto" w:fill="auto"/>
          </w:tcPr>
          <w:p w14:paraId="4DC3547C" w14:textId="77777777" w:rsidR="00247555" w:rsidRPr="00AD6AFA" w:rsidRDefault="00247555" w:rsidP="00247555">
            <w:pPr>
              <w:spacing w:before="120" w:after="120"/>
              <w:rPr>
                <w:rFonts w:cs="Arial"/>
                <w:color w:val="1C1C1C"/>
                <w:sz w:val="16"/>
                <w:szCs w:val="16"/>
              </w:rPr>
            </w:pPr>
            <w:r w:rsidRPr="00AD6AFA">
              <w:rPr>
                <w:rFonts w:cs="Arial"/>
                <w:sz w:val="16"/>
                <w:szCs w:val="16"/>
              </w:rPr>
              <w:t>SEP2022</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98CF608" w14:textId="6A5B62AE" w:rsidR="00247555" w:rsidRPr="00E24B37"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0FC77AB5" w14:textId="57B1416D"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72BB3782" w14:textId="0213DCC2"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34D7A8E" w14:textId="1A01C1F1"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E6344AC" w14:textId="7100B076"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614E3EF8" w14:textId="0DEE6FC5"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11D28AAF" w14:textId="08EEDD8F"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551F2634" w14:textId="44ED227D"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27096F6F" w14:textId="33986031"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2" w:type="pct"/>
            <w:tcBorders>
              <w:top w:val="single" w:sz="4" w:space="0" w:color="DFEBF1" w:themeColor="accent1" w:themeTint="1A"/>
              <w:bottom w:val="single" w:sz="4" w:space="0" w:color="DFEBF1" w:themeColor="accent1" w:themeTint="1A"/>
            </w:tcBorders>
            <w:shd w:val="clear" w:color="auto" w:fill="F2F2F2" w:themeFill="accent6" w:themeFillShade="F2"/>
          </w:tcPr>
          <w:p w14:paraId="3004C74C" w14:textId="0F95912A" w:rsidR="00247555" w:rsidRPr="00247555" w:rsidRDefault="00247555" w:rsidP="00247555">
            <w:pPr>
              <w:spacing w:before="120" w:after="120"/>
              <w:jc w:val="right"/>
              <w:rPr>
                <w:rFonts w:cs="Arial"/>
                <w:sz w:val="16"/>
                <w:szCs w:val="16"/>
              </w:rPr>
            </w:pPr>
            <w:r w:rsidRPr="00E24B37">
              <w:rPr>
                <w:rFonts w:cs="Arial"/>
                <w:sz w:val="16"/>
                <w:szCs w:val="16"/>
              </w:rPr>
              <w:t>100.00</w:t>
            </w:r>
          </w:p>
        </w:tc>
        <w:tc>
          <w:tcPr>
            <w:tcW w:w="42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425E7D82" w14:textId="1850B337" w:rsidR="00247555" w:rsidRPr="00247555" w:rsidRDefault="00247555" w:rsidP="00247555">
            <w:pPr>
              <w:spacing w:before="120" w:after="120"/>
              <w:jc w:val="right"/>
              <w:rPr>
                <w:rFonts w:cs="Arial"/>
                <w:sz w:val="16"/>
                <w:szCs w:val="16"/>
              </w:rPr>
            </w:pPr>
            <w:r w:rsidRPr="00E24B37">
              <w:rPr>
                <w:rFonts w:cs="Arial"/>
                <w:sz w:val="16"/>
                <w:szCs w:val="16"/>
              </w:rPr>
              <w:t>100.00</w:t>
            </w:r>
          </w:p>
        </w:tc>
      </w:tr>
    </w:tbl>
    <w:p w14:paraId="026557D8" w14:textId="77777777" w:rsidR="00247555" w:rsidRDefault="00247555" w:rsidP="00A51E56"/>
    <w:p w14:paraId="04E7B09F" w14:textId="29BD3697" w:rsidR="00A51E56" w:rsidRDefault="00273B40" w:rsidP="00A51E56">
      <w:pPr>
        <w:pStyle w:val="TableFigureheading"/>
      </w:pPr>
      <w:r>
        <w:lastRenderedPageBreak/>
        <w:t>Table </w:t>
      </w:r>
      <w:fldSimple w:instr=" SEQ Table \* ARABIC ">
        <w:r w:rsidR="00B1072E">
          <w:rPr>
            <w:noProof/>
          </w:rPr>
          <w:t>20</w:t>
        </w:r>
      </w:fldSimple>
      <w:r w:rsidR="00A51E56">
        <w:t xml:space="preserve">: Hotel price index numbers – </w:t>
      </w:r>
      <w:r w:rsidR="009249DB">
        <w:t>contribution and final index</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928"/>
        <w:gridCol w:w="1070"/>
        <w:gridCol w:w="1070"/>
        <w:gridCol w:w="1062"/>
        <w:gridCol w:w="1044"/>
        <w:gridCol w:w="1070"/>
        <w:gridCol w:w="1070"/>
        <w:gridCol w:w="1070"/>
        <w:gridCol w:w="1070"/>
        <w:gridCol w:w="1070"/>
        <w:gridCol w:w="1070"/>
        <w:gridCol w:w="1072"/>
        <w:gridCol w:w="1287"/>
      </w:tblGrid>
      <w:tr w:rsidR="003B5161" w:rsidRPr="004E67F4" w14:paraId="1E92E9B5" w14:textId="77777777" w:rsidTr="003B5161">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2E67227D" w14:textId="77777777" w:rsidR="003B5161" w:rsidRPr="00FF1850" w:rsidRDefault="003B5161" w:rsidP="003B5161">
            <w:pPr>
              <w:spacing w:before="120" w:after="120"/>
              <w:jc w:val="center"/>
              <w:rPr>
                <w:b/>
                <w:bCs/>
                <w:color w:val="FFFFFF" w:themeColor="background2"/>
              </w:rPr>
            </w:pPr>
            <w:r w:rsidRPr="00FF1850">
              <w:rPr>
                <w:b/>
                <w:bCs/>
                <w:color w:val="FFFFFF" w:themeColor="background2"/>
              </w:rPr>
              <w:t>Quarter</w:t>
            </w:r>
          </w:p>
        </w:tc>
        <w:tc>
          <w:tcPr>
            <w:tcW w:w="4205"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45A2D420" w14:textId="50CD6EBA" w:rsidR="003B5161" w:rsidRPr="00FF1850" w:rsidRDefault="003B5161" w:rsidP="003B5161">
            <w:pPr>
              <w:spacing w:before="120" w:after="120"/>
              <w:jc w:val="center"/>
              <w:rPr>
                <w:b/>
                <w:bCs/>
                <w:color w:val="FFFFFF" w:themeColor="background2"/>
              </w:rPr>
            </w:pPr>
            <w:r>
              <w:rPr>
                <w:b/>
                <w:bCs/>
                <w:color w:val="FFFFFF" w:themeColor="background2"/>
              </w:rPr>
              <w:t>Contribution to final index</w:t>
            </w:r>
          </w:p>
        </w:tc>
        <w:tc>
          <w:tcPr>
            <w:tcW w:w="462"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tcPr>
          <w:p w14:paraId="12B0AABE" w14:textId="77777777" w:rsidR="003B5161" w:rsidRDefault="003B5161" w:rsidP="003B5161">
            <w:pPr>
              <w:spacing w:before="120" w:after="120"/>
              <w:jc w:val="center"/>
              <w:rPr>
                <w:b/>
                <w:bCs/>
                <w:color w:val="FFFFFF" w:themeColor="background2"/>
              </w:rPr>
            </w:pPr>
          </w:p>
        </w:tc>
      </w:tr>
      <w:tr w:rsidR="00247555" w:rsidRPr="008A31CB" w14:paraId="73110AB9" w14:textId="77777777" w:rsidTr="003B5161">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051C7E74" w14:textId="77777777" w:rsidR="00247555" w:rsidRPr="00AD6AFA" w:rsidRDefault="00247555" w:rsidP="00247555">
            <w:pPr>
              <w:spacing w:before="120" w:after="120"/>
              <w:jc w:val="center"/>
              <w:rPr>
                <w:rFonts w:cs="Arial"/>
                <w:b/>
                <w:sz w:val="16"/>
                <w:szCs w:val="16"/>
              </w:rPr>
            </w:pPr>
          </w:p>
        </w:tc>
        <w:tc>
          <w:tcPr>
            <w:tcW w:w="383"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tcPr>
          <w:p w14:paraId="312BD65F" w14:textId="517D2A76" w:rsidR="00247555" w:rsidRPr="00AD6AFA" w:rsidRDefault="00247555" w:rsidP="00247555">
            <w:pPr>
              <w:spacing w:before="120" w:after="120"/>
              <w:jc w:val="center"/>
              <w:rPr>
                <w:rFonts w:cs="Arial"/>
                <w:b/>
                <w:sz w:val="16"/>
                <w:szCs w:val="16"/>
              </w:rPr>
            </w:pPr>
            <w:r w:rsidRPr="0056704F">
              <w:rPr>
                <w:rFonts w:cs="Arial"/>
                <w:b/>
                <w:bCs/>
                <w:sz w:val="16"/>
                <w:szCs w:val="16"/>
              </w:rPr>
              <w:t>A2325891R</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79CBD71F" w14:textId="38861E9B" w:rsidR="00247555" w:rsidRPr="00AD6AFA" w:rsidRDefault="00247555" w:rsidP="00247555">
            <w:pPr>
              <w:spacing w:before="120" w:after="120"/>
              <w:jc w:val="center"/>
              <w:rPr>
                <w:rFonts w:cs="Arial"/>
                <w:b/>
                <w:sz w:val="16"/>
                <w:szCs w:val="16"/>
              </w:rPr>
            </w:pPr>
            <w:r w:rsidRPr="0056704F">
              <w:rPr>
                <w:rFonts w:cs="Arial"/>
                <w:b/>
                <w:bCs/>
                <w:sz w:val="16"/>
                <w:szCs w:val="16"/>
              </w:rPr>
              <w:t>A2326026R</w:t>
            </w:r>
          </w:p>
        </w:tc>
        <w:tc>
          <w:tcPr>
            <w:tcW w:w="381" w:type="pct"/>
            <w:tcBorders>
              <w:top w:val="single" w:sz="4" w:space="0" w:color="DFEBF1" w:themeColor="accent1" w:themeTint="1A"/>
              <w:bottom w:val="single" w:sz="4" w:space="0" w:color="DFEBF1" w:themeColor="accent1" w:themeTint="1A"/>
            </w:tcBorders>
            <w:shd w:val="clear" w:color="auto" w:fill="DFEBF1" w:themeFill="text2" w:themeFillTint="1A"/>
          </w:tcPr>
          <w:p w14:paraId="1C08AD96" w14:textId="17D609C9" w:rsidR="00247555" w:rsidRPr="00AD6AFA" w:rsidRDefault="00247555" w:rsidP="00247555">
            <w:pPr>
              <w:spacing w:before="120" w:after="120"/>
              <w:jc w:val="center"/>
              <w:rPr>
                <w:rFonts w:cs="Arial"/>
                <w:b/>
                <w:sz w:val="16"/>
                <w:szCs w:val="16"/>
              </w:rPr>
            </w:pPr>
            <w:r w:rsidRPr="0056704F">
              <w:rPr>
                <w:rFonts w:cs="Arial"/>
                <w:b/>
                <w:bCs/>
                <w:sz w:val="16"/>
                <w:szCs w:val="16"/>
              </w:rPr>
              <w:t>A2326521X</w:t>
            </w:r>
          </w:p>
        </w:tc>
        <w:tc>
          <w:tcPr>
            <w:tcW w:w="374" w:type="pct"/>
            <w:tcBorders>
              <w:top w:val="single" w:sz="4" w:space="0" w:color="DFEBF1" w:themeColor="accent1" w:themeTint="1A"/>
              <w:bottom w:val="single" w:sz="4" w:space="0" w:color="DFEBF1" w:themeColor="accent1" w:themeTint="1A"/>
            </w:tcBorders>
            <w:shd w:val="clear" w:color="auto" w:fill="DFEBF1" w:themeFill="text2" w:themeFillTint="1A"/>
          </w:tcPr>
          <w:p w14:paraId="13F80792" w14:textId="46B49E82" w:rsidR="00247555" w:rsidRPr="00AD6AFA" w:rsidRDefault="00247555" w:rsidP="00247555">
            <w:pPr>
              <w:spacing w:before="120" w:after="120"/>
              <w:jc w:val="center"/>
              <w:rPr>
                <w:rFonts w:cs="Arial"/>
                <w:b/>
                <w:sz w:val="16"/>
                <w:szCs w:val="16"/>
              </w:rPr>
            </w:pPr>
            <w:r w:rsidRPr="0056704F">
              <w:rPr>
                <w:rFonts w:cs="Arial"/>
                <w:b/>
                <w:bCs/>
                <w:sz w:val="16"/>
                <w:szCs w:val="16"/>
              </w:rPr>
              <w:t>A2326656J</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2D4728BC" w14:textId="012469E1" w:rsidR="00247555" w:rsidRPr="00AD6AFA" w:rsidRDefault="00247555" w:rsidP="00247555">
            <w:pPr>
              <w:spacing w:before="120" w:after="120"/>
              <w:jc w:val="center"/>
              <w:rPr>
                <w:rFonts w:cs="Arial"/>
                <w:b/>
                <w:sz w:val="16"/>
                <w:szCs w:val="16"/>
              </w:rPr>
            </w:pPr>
            <w:r w:rsidRPr="0056704F">
              <w:rPr>
                <w:rFonts w:cs="Arial"/>
                <w:b/>
                <w:bCs/>
                <w:sz w:val="16"/>
                <w:szCs w:val="16"/>
              </w:rPr>
              <w:t>A2328051C</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1DF26CB8" w14:textId="7A295F98" w:rsidR="00247555" w:rsidRPr="00AD6AFA" w:rsidRDefault="00247555" w:rsidP="00247555">
            <w:pPr>
              <w:spacing w:before="120" w:after="120"/>
              <w:jc w:val="center"/>
              <w:rPr>
                <w:rFonts w:cs="Arial"/>
                <w:b/>
                <w:sz w:val="16"/>
                <w:szCs w:val="16"/>
              </w:rPr>
            </w:pPr>
            <w:r w:rsidRPr="0056704F">
              <w:rPr>
                <w:rFonts w:cs="Arial"/>
                <w:b/>
                <w:bCs/>
                <w:sz w:val="16"/>
                <w:szCs w:val="16"/>
              </w:rPr>
              <w:t>A2331381C</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7841A010" w14:textId="1C422E9F" w:rsidR="00247555" w:rsidRPr="00AD6AFA" w:rsidRDefault="00247555" w:rsidP="00247555">
            <w:pPr>
              <w:spacing w:before="120" w:after="120"/>
              <w:jc w:val="center"/>
              <w:rPr>
                <w:rFonts w:cs="Arial"/>
                <w:b/>
                <w:sz w:val="16"/>
                <w:szCs w:val="16"/>
              </w:rPr>
            </w:pPr>
            <w:r w:rsidRPr="0056704F">
              <w:rPr>
                <w:rFonts w:cs="Arial"/>
                <w:b/>
                <w:bCs/>
                <w:sz w:val="16"/>
                <w:szCs w:val="16"/>
              </w:rPr>
              <w:t>A2332776R</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08A6821F" w14:textId="4622475A" w:rsidR="00247555" w:rsidRPr="00AD6AFA" w:rsidRDefault="00247555" w:rsidP="00247555">
            <w:pPr>
              <w:spacing w:before="120" w:after="120"/>
              <w:jc w:val="center"/>
              <w:rPr>
                <w:rFonts w:cs="Arial"/>
                <w:b/>
                <w:sz w:val="16"/>
                <w:szCs w:val="16"/>
              </w:rPr>
            </w:pPr>
            <w:r w:rsidRPr="0056704F">
              <w:rPr>
                <w:rFonts w:cs="Arial"/>
                <w:b/>
                <w:bCs/>
                <w:sz w:val="16"/>
                <w:szCs w:val="16"/>
              </w:rPr>
              <w:t>A2602929A</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76DA9FEC" w14:textId="343E7CC8" w:rsidR="00247555" w:rsidRPr="00AD6AFA" w:rsidRDefault="00247555" w:rsidP="00247555">
            <w:pPr>
              <w:spacing w:before="120" w:after="120"/>
              <w:jc w:val="center"/>
              <w:rPr>
                <w:rFonts w:cs="Arial"/>
                <w:b/>
                <w:sz w:val="16"/>
                <w:szCs w:val="16"/>
              </w:rPr>
            </w:pPr>
            <w:r w:rsidRPr="0056704F">
              <w:rPr>
                <w:rFonts w:cs="Arial"/>
                <w:b/>
                <w:bCs/>
                <w:sz w:val="16"/>
                <w:szCs w:val="16"/>
              </w:rPr>
              <w:t>A3602833C</w:t>
            </w:r>
          </w:p>
        </w:tc>
        <w:tc>
          <w:tcPr>
            <w:tcW w:w="383" w:type="pct"/>
            <w:tcBorders>
              <w:top w:val="single" w:sz="4" w:space="0" w:color="DFEBF1" w:themeColor="accent1" w:themeTint="1A"/>
              <w:bottom w:val="single" w:sz="4" w:space="0" w:color="DFEBF1" w:themeColor="accent1" w:themeTint="1A"/>
            </w:tcBorders>
            <w:shd w:val="clear" w:color="auto" w:fill="DFEBF1" w:themeFill="text2" w:themeFillTint="1A"/>
          </w:tcPr>
          <w:p w14:paraId="3C361792" w14:textId="7B289156" w:rsidR="00247555" w:rsidRPr="00AD6AFA" w:rsidRDefault="00247555" w:rsidP="00247555">
            <w:pPr>
              <w:spacing w:before="120" w:after="120"/>
              <w:jc w:val="center"/>
              <w:rPr>
                <w:rFonts w:cs="Arial"/>
                <w:b/>
                <w:sz w:val="16"/>
                <w:szCs w:val="16"/>
              </w:rPr>
            </w:pPr>
            <w:r w:rsidRPr="0056704F">
              <w:rPr>
                <w:rFonts w:cs="Arial"/>
                <w:b/>
                <w:bCs/>
                <w:sz w:val="16"/>
                <w:szCs w:val="16"/>
              </w:rPr>
              <w:t>A3604408A</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tcPr>
          <w:p w14:paraId="0233192E" w14:textId="20DECE93" w:rsidR="00247555" w:rsidRPr="00AD6AFA" w:rsidRDefault="00247555" w:rsidP="00247555">
            <w:pPr>
              <w:spacing w:before="120" w:after="120"/>
              <w:jc w:val="center"/>
              <w:rPr>
                <w:rFonts w:cs="Arial"/>
                <w:b/>
                <w:sz w:val="16"/>
                <w:szCs w:val="16"/>
              </w:rPr>
            </w:pPr>
            <w:r w:rsidRPr="0056704F">
              <w:rPr>
                <w:rFonts w:cs="Arial"/>
                <w:b/>
                <w:bCs/>
                <w:sz w:val="16"/>
                <w:szCs w:val="16"/>
              </w:rPr>
              <w:t>A3604423X</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tcPr>
          <w:p w14:paraId="7D59A4B7" w14:textId="77777777" w:rsidR="00247555" w:rsidRPr="00AD6AFA" w:rsidRDefault="00247555" w:rsidP="00247555">
            <w:pPr>
              <w:spacing w:before="120" w:after="120"/>
              <w:jc w:val="center"/>
              <w:rPr>
                <w:rFonts w:cs="Arial"/>
                <w:b/>
                <w:sz w:val="16"/>
                <w:szCs w:val="16"/>
              </w:rPr>
            </w:pPr>
            <w:r w:rsidRPr="00AD6AFA">
              <w:rPr>
                <w:rFonts w:cs="Arial"/>
                <w:b/>
                <w:sz w:val="16"/>
                <w:szCs w:val="16"/>
              </w:rPr>
              <w:t>Composite</w:t>
            </w:r>
          </w:p>
        </w:tc>
      </w:tr>
      <w:tr w:rsidR="007318C9" w:rsidRPr="008A31CB" w14:paraId="2E393F40"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tcPr>
          <w:p w14:paraId="6FD550EB" w14:textId="77777777" w:rsidR="002A2CEE" w:rsidRPr="00AD6AFA" w:rsidRDefault="002A2CEE" w:rsidP="002A2CEE">
            <w:pPr>
              <w:spacing w:before="120" w:after="120"/>
              <w:rPr>
                <w:rFonts w:cs="Arial"/>
                <w:color w:val="1C1C1C"/>
                <w:sz w:val="16"/>
                <w:szCs w:val="16"/>
              </w:rPr>
            </w:pPr>
            <w:r w:rsidRPr="00AD6AFA">
              <w:rPr>
                <w:rFonts w:cs="Arial"/>
                <w:sz w:val="16"/>
                <w:szCs w:val="16"/>
              </w:rPr>
              <w:t>SEP2021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58E2EFF" w14:textId="06EA02C3" w:rsidR="002A2CEE" w:rsidRPr="00E24B37" w:rsidRDefault="002A2CEE" w:rsidP="002A2CEE">
            <w:pPr>
              <w:spacing w:before="120" w:after="120"/>
              <w:jc w:val="right"/>
              <w:rPr>
                <w:sz w:val="16"/>
                <w:szCs w:val="16"/>
              </w:rPr>
            </w:pPr>
            <w:r w:rsidRPr="00E24B37">
              <w:rPr>
                <w:sz w:val="16"/>
                <w:szCs w:val="16"/>
              </w:rPr>
              <w:t>20.3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1AADCE92" w14:textId="5A78ACE8" w:rsidR="002A2CEE" w:rsidRPr="002A2CEE" w:rsidRDefault="002A2CEE" w:rsidP="002A2CEE">
            <w:pPr>
              <w:spacing w:before="120" w:after="120"/>
              <w:jc w:val="right"/>
              <w:rPr>
                <w:sz w:val="16"/>
                <w:szCs w:val="16"/>
              </w:rPr>
            </w:pPr>
            <w:r w:rsidRPr="00E24B37">
              <w:rPr>
                <w:sz w:val="16"/>
                <w:szCs w:val="16"/>
              </w:rPr>
              <w:t>4.6</w:t>
            </w:r>
          </w:p>
        </w:tc>
        <w:tc>
          <w:tcPr>
            <w:tcW w:w="381" w:type="pct"/>
            <w:tcBorders>
              <w:top w:val="single" w:sz="4" w:space="0" w:color="DFEBF1" w:themeColor="accent1" w:themeTint="1A"/>
              <w:bottom w:val="single" w:sz="4" w:space="0" w:color="DFEBF1" w:themeColor="accent1" w:themeTint="1A"/>
            </w:tcBorders>
            <w:shd w:val="clear" w:color="auto" w:fill="F2F2F2" w:themeFill="accent6" w:themeFillShade="F2"/>
          </w:tcPr>
          <w:p w14:paraId="18DA7A07" w14:textId="628E37B7" w:rsidR="002A2CEE" w:rsidRPr="002A2CEE" w:rsidRDefault="002A2CEE" w:rsidP="002A2CEE">
            <w:pPr>
              <w:spacing w:before="120" w:after="120"/>
              <w:jc w:val="right"/>
              <w:rPr>
                <w:sz w:val="16"/>
                <w:szCs w:val="16"/>
              </w:rPr>
            </w:pPr>
            <w:r w:rsidRPr="00E24B37">
              <w:rPr>
                <w:sz w:val="16"/>
                <w:szCs w:val="16"/>
              </w:rPr>
              <w:t>9.3</w:t>
            </w:r>
          </w:p>
        </w:tc>
        <w:tc>
          <w:tcPr>
            <w:tcW w:w="374" w:type="pct"/>
            <w:tcBorders>
              <w:top w:val="single" w:sz="4" w:space="0" w:color="DFEBF1" w:themeColor="accent1" w:themeTint="1A"/>
              <w:bottom w:val="single" w:sz="4" w:space="0" w:color="DFEBF1" w:themeColor="accent1" w:themeTint="1A"/>
            </w:tcBorders>
            <w:shd w:val="clear" w:color="auto" w:fill="F2F2F2" w:themeFill="accent6" w:themeFillShade="F2"/>
          </w:tcPr>
          <w:p w14:paraId="108820DC" w14:textId="04FC55DB" w:rsidR="002A2CEE" w:rsidRPr="002A2CEE" w:rsidRDefault="002A2CEE" w:rsidP="002A2CEE">
            <w:pPr>
              <w:spacing w:before="120" w:after="120"/>
              <w:jc w:val="right"/>
              <w:rPr>
                <w:sz w:val="16"/>
                <w:szCs w:val="16"/>
              </w:rPr>
            </w:pPr>
            <w:r w:rsidRPr="00E24B37">
              <w:rPr>
                <w:sz w:val="16"/>
                <w:szCs w:val="16"/>
              </w:rPr>
              <w:t>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16141E2" w14:textId="5F765506" w:rsidR="002A2CEE" w:rsidRPr="002A2CEE" w:rsidRDefault="002A2CEE" w:rsidP="002A2CEE">
            <w:pPr>
              <w:spacing w:before="120" w:after="120"/>
              <w:jc w:val="right"/>
              <w:rPr>
                <w:sz w:val="16"/>
                <w:szCs w:val="16"/>
              </w:rPr>
            </w:pPr>
            <w:r w:rsidRPr="00E24B37">
              <w:rPr>
                <w:sz w:val="16"/>
                <w:szCs w:val="16"/>
              </w:rPr>
              <w:t>2.3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1B294A27" w14:textId="59A8B64C"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1A0E85D9" w14:textId="386669C3" w:rsidR="002A2CEE" w:rsidRPr="002A2CEE" w:rsidRDefault="002A2CEE" w:rsidP="002A2CEE">
            <w:pPr>
              <w:spacing w:before="120" w:after="120"/>
              <w:jc w:val="right"/>
              <w:rPr>
                <w:sz w:val="16"/>
                <w:szCs w:val="16"/>
              </w:rPr>
            </w:pPr>
            <w:r w:rsidRPr="00E24B37">
              <w:rPr>
                <w:sz w:val="16"/>
                <w:szCs w:val="16"/>
              </w:rPr>
              <w:t>14.6</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3A319AD7" w14:textId="4BF423BF" w:rsidR="002A2CEE" w:rsidRPr="002A2CEE" w:rsidRDefault="002A2CEE" w:rsidP="002A2CEE">
            <w:pPr>
              <w:spacing w:before="120" w:after="120"/>
              <w:jc w:val="right"/>
              <w:rPr>
                <w:sz w:val="16"/>
                <w:szCs w:val="16"/>
              </w:rPr>
            </w:pPr>
            <w:r w:rsidRPr="00E24B37">
              <w:rPr>
                <w:sz w:val="16"/>
                <w:szCs w:val="16"/>
              </w:rPr>
              <w:t>42.3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1C0E0F1C" w14:textId="700C4248" w:rsidR="002A2CEE" w:rsidRPr="002A2CEE" w:rsidRDefault="002A2CEE" w:rsidP="002A2CEE">
            <w:pPr>
              <w:spacing w:before="120" w:after="120"/>
              <w:jc w:val="right"/>
              <w:rPr>
                <w:sz w:val="16"/>
                <w:szCs w:val="16"/>
              </w:rPr>
            </w:pPr>
            <w:r w:rsidRPr="00E24B37">
              <w:rPr>
                <w:sz w:val="16"/>
                <w:szCs w:val="16"/>
              </w:rPr>
              <w:t>0.9</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2667951" w14:textId="2157B394"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1048F198" w14:textId="3C90EC23" w:rsidR="002A2CEE" w:rsidRPr="002A2CEE" w:rsidRDefault="002A2CEE" w:rsidP="002A2CEE">
            <w:pPr>
              <w:spacing w:before="120" w:after="120"/>
              <w:jc w:val="right"/>
              <w:rPr>
                <w:sz w:val="16"/>
                <w:szCs w:val="16"/>
              </w:rPr>
            </w:pPr>
            <w:r w:rsidRPr="00E24B37">
              <w:rPr>
                <w:sz w:val="16"/>
                <w:szCs w:val="16"/>
              </w:rPr>
              <w:t>0.1</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tcPr>
          <w:p w14:paraId="59690D8A" w14:textId="1EBFDD79" w:rsidR="002A2CEE" w:rsidRPr="002A2CEE" w:rsidRDefault="002A2CEE" w:rsidP="002A2CEE">
            <w:pPr>
              <w:spacing w:before="120" w:after="120"/>
              <w:jc w:val="right"/>
              <w:rPr>
                <w:sz w:val="16"/>
                <w:szCs w:val="16"/>
              </w:rPr>
            </w:pPr>
            <w:r w:rsidRPr="00E24B37">
              <w:rPr>
                <w:sz w:val="16"/>
                <w:szCs w:val="16"/>
              </w:rPr>
              <w:t>94.9</w:t>
            </w:r>
          </w:p>
        </w:tc>
      </w:tr>
      <w:tr w:rsidR="007318C9" w:rsidRPr="008A31CB" w14:paraId="0C8ED154" w14:textId="77777777" w:rsidTr="003B5161">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tcPr>
          <w:p w14:paraId="653C451A" w14:textId="77777777" w:rsidR="002A2CEE" w:rsidRPr="00AD6AFA" w:rsidRDefault="002A2CEE" w:rsidP="002A2CEE">
            <w:pPr>
              <w:spacing w:before="120" w:after="120"/>
              <w:rPr>
                <w:rFonts w:cs="Arial"/>
                <w:color w:val="1C1C1C"/>
                <w:sz w:val="16"/>
                <w:szCs w:val="16"/>
              </w:rPr>
            </w:pPr>
            <w:r w:rsidRPr="00AD6AFA">
              <w:rPr>
                <w:rFonts w:cs="Arial"/>
                <w:sz w:val="16"/>
                <w:szCs w:val="16"/>
              </w:rPr>
              <w:t>DEC2021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433E1E4" w14:textId="41A02DDE" w:rsidR="002A2CEE" w:rsidRPr="00E24B37" w:rsidRDefault="002A2CEE" w:rsidP="002A2CEE">
            <w:pPr>
              <w:spacing w:before="120" w:after="120"/>
              <w:jc w:val="right"/>
              <w:rPr>
                <w:sz w:val="16"/>
                <w:szCs w:val="16"/>
              </w:rPr>
            </w:pPr>
            <w:r w:rsidRPr="00E24B37">
              <w:rPr>
                <w:sz w:val="16"/>
                <w:szCs w:val="16"/>
              </w:rPr>
              <w:t>20.4</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56DD3CC" w14:textId="390C7F5B" w:rsidR="002A2CEE" w:rsidRPr="002A2CEE" w:rsidRDefault="002A2CEE" w:rsidP="002A2CEE">
            <w:pPr>
              <w:spacing w:before="120" w:after="120"/>
              <w:jc w:val="right"/>
              <w:rPr>
                <w:sz w:val="16"/>
                <w:szCs w:val="16"/>
              </w:rPr>
            </w:pPr>
            <w:r w:rsidRPr="00E24B37">
              <w:rPr>
                <w:sz w:val="16"/>
                <w:szCs w:val="16"/>
              </w:rPr>
              <w:t>4.6</w:t>
            </w:r>
          </w:p>
        </w:tc>
        <w:tc>
          <w:tcPr>
            <w:tcW w:w="381" w:type="pct"/>
            <w:tcBorders>
              <w:top w:val="single" w:sz="4" w:space="0" w:color="DFEBF1" w:themeColor="accent1" w:themeTint="1A"/>
              <w:bottom w:val="single" w:sz="4" w:space="0" w:color="DFEBF1" w:themeColor="accent1" w:themeTint="1A"/>
            </w:tcBorders>
            <w:shd w:val="clear" w:color="auto" w:fill="F2F2F2" w:themeFill="accent6" w:themeFillShade="F2"/>
          </w:tcPr>
          <w:p w14:paraId="41632F7F" w14:textId="2F7E9A81" w:rsidR="002A2CEE" w:rsidRPr="002A2CEE" w:rsidRDefault="002A2CEE" w:rsidP="002A2CEE">
            <w:pPr>
              <w:spacing w:before="120" w:after="120"/>
              <w:jc w:val="right"/>
              <w:rPr>
                <w:sz w:val="16"/>
                <w:szCs w:val="16"/>
              </w:rPr>
            </w:pPr>
            <w:r w:rsidRPr="00E24B37">
              <w:rPr>
                <w:sz w:val="16"/>
                <w:szCs w:val="16"/>
              </w:rPr>
              <w:t>9.4</w:t>
            </w:r>
          </w:p>
        </w:tc>
        <w:tc>
          <w:tcPr>
            <w:tcW w:w="374" w:type="pct"/>
            <w:tcBorders>
              <w:top w:val="single" w:sz="4" w:space="0" w:color="DFEBF1" w:themeColor="accent1" w:themeTint="1A"/>
              <w:bottom w:val="single" w:sz="4" w:space="0" w:color="DFEBF1" w:themeColor="accent1" w:themeTint="1A"/>
            </w:tcBorders>
            <w:shd w:val="clear" w:color="auto" w:fill="F2F2F2" w:themeFill="accent6" w:themeFillShade="F2"/>
          </w:tcPr>
          <w:p w14:paraId="1521F4AE" w14:textId="26FA158A" w:rsidR="002A2CEE" w:rsidRPr="002A2CEE" w:rsidRDefault="002A2CEE" w:rsidP="002A2CEE">
            <w:pPr>
              <w:spacing w:before="120" w:after="120"/>
              <w:jc w:val="right"/>
              <w:rPr>
                <w:sz w:val="16"/>
                <w:szCs w:val="16"/>
              </w:rPr>
            </w:pPr>
            <w:r w:rsidRPr="00E24B37">
              <w:rPr>
                <w:sz w:val="16"/>
                <w:szCs w:val="16"/>
              </w:rPr>
              <w:t>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2B46D02" w14:textId="63191E55" w:rsidR="002A2CEE" w:rsidRPr="002A2CEE" w:rsidRDefault="002A2CEE" w:rsidP="002A2CEE">
            <w:pPr>
              <w:spacing w:before="120" w:after="120"/>
              <w:jc w:val="right"/>
              <w:rPr>
                <w:sz w:val="16"/>
                <w:szCs w:val="16"/>
              </w:rPr>
            </w:pPr>
            <w:r w:rsidRPr="00E24B37">
              <w:rPr>
                <w:sz w:val="16"/>
                <w:szCs w:val="16"/>
              </w:rPr>
              <w:t>2.3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EC6CF99" w14:textId="55AD7C7E"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C1713AC" w14:textId="7B8DD0E6" w:rsidR="002A2CEE" w:rsidRPr="002A2CEE" w:rsidRDefault="002A2CEE" w:rsidP="002A2CEE">
            <w:pPr>
              <w:spacing w:before="120" w:after="120"/>
              <w:jc w:val="right"/>
              <w:rPr>
                <w:sz w:val="16"/>
                <w:szCs w:val="16"/>
              </w:rPr>
            </w:pPr>
            <w:r w:rsidRPr="00E24B37">
              <w:rPr>
                <w:sz w:val="16"/>
                <w:szCs w:val="16"/>
              </w:rPr>
              <w:t>14.8</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C5A8752" w14:textId="0A9413AD" w:rsidR="002A2CEE" w:rsidRPr="002A2CEE" w:rsidRDefault="002A2CEE" w:rsidP="002A2CEE">
            <w:pPr>
              <w:spacing w:before="120" w:after="120"/>
              <w:jc w:val="right"/>
              <w:rPr>
                <w:sz w:val="16"/>
                <w:szCs w:val="16"/>
              </w:rPr>
            </w:pPr>
            <w:r w:rsidRPr="00E24B37">
              <w:rPr>
                <w:sz w:val="16"/>
                <w:szCs w:val="16"/>
              </w:rPr>
              <w:t>42.4</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38064CD3" w14:textId="6DC37ABC" w:rsidR="002A2CEE" w:rsidRPr="002A2CEE" w:rsidRDefault="002A2CEE" w:rsidP="002A2CEE">
            <w:pPr>
              <w:spacing w:before="120" w:after="120"/>
              <w:jc w:val="right"/>
              <w:rPr>
                <w:sz w:val="16"/>
                <w:szCs w:val="16"/>
              </w:rPr>
            </w:pPr>
            <w:r w:rsidRPr="00E24B37">
              <w:rPr>
                <w:sz w:val="16"/>
                <w:szCs w:val="16"/>
              </w:rPr>
              <w:t>0.9</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4BE1431" w14:textId="7F48628C"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6B1977F6" w14:textId="16F99690" w:rsidR="002A2CEE" w:rsidRPr="002A2CEE" w:rsidRDefault="002A2CEE" w:rsidP="002A2CEE">
            <w:pPr>
              <w:spacing w:before="120" w:after="120"/>
              <w:jc w:val="right"/>
              <w:rPr>
                <w:sz w:val="16"/>
                <w:szCs w:val="16"/>
              </w:rPr>
            </w:pPr>
            <w:r w:rsidRPr="00E24B37">
              <w:rPr>
                <w:sz w:val="16"/>
                <w:szCs w:val="16"/>
              </w:rPr>
              <w:t>0.2</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tcPr>
          <w:p w14:paraId="4B1C023E" w14:textId="0011D5FA" w:rsidR="002A2CEE" w:rsidRPr="002A2CEE" w:rsidRDefault="002A2CEE" w:rsidP="002A2CEE">
            <w:pPr>
              <w:spacing w:before="120" w:after="120"/>
              <w:jc w:val="right"/>
              <w:rPr>
                <w:sz w:val="16"/>
                <w:szCs w:val="16"/>
              </w:rPr>
            </w:pPr>
            <w:r w:rsidRPr="00E24B37">
              <w:rPr>
                <w:sz w:val="16"/>
                <w:szCs w:val="16"/>
              </w:rPr>
              <w:t>95.5</w:t>
            </w:r>
          </w:p>
        </w:tc>
      </w:tr>
      <w:tr w:rsidR="007318C9" w:rsidRPr="008A31CB" w14:paraId="07688DED"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tcPr>
          <w:p w14:paraId="5E013DF5" w14:textId="77777777" w:rsidR="002A2CEE" w:rsidRPr="00AD6AFA" w:rsidRDefault="002A2CEE" w:rsidP="002A2CEE">
            <w:pPr>
              <w:spacing w:before="120" w:after="120"/>
              <w:rPr>
                <w:rFonts w:cs="Arial"/>
                <w:color w:val="1C1C1C"/>
                <w:sz w:val="16"/>
                <w:szCs w:val="16"/>
              </w:rPr>
            </w:pPr>
            <w:r w:rsidRPr="00AD6AFA">
              <w:rPr>
                <w:rFonts w:cs="Arial"/>
                <w:sz w:val="16"/>
                <w:szCs w:val="16"/>
              </w:rPr>
              <w:t>MAR2022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0B2D3EA" w14:textId="474A8C1F" w:rsidR="002A2CEE" w:rsidRPr="00E24B37" w:rsidRDefault="002A2CEE" w:rsidP="002A2CEE">
            <w:pPr>
              <w:spacing w:before="120" w:after="120"/>
              <w:jc w:val="right"/>
              <w:rPr>
                <w:sz w:val="16"/>
                <w:szCs w:val="16"/>
              </w:rPr>
            </w:pPr>
            <w:r w:rsidRPr="00E24B37">
              <w:rPr>
                <w:sz w:val="16"/>
                <w:szCs w:val="16"/>
              </w:rPr>
              <w:t>21.0</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1778B823" w14:textId="11EE52DD" w:rsidR="002A2CEE" w:rsidRPr="002A2CEE" w:rsidRDefault="002A2CEE" w:rsidP="002A2CEE">
            <w:pPr>
              <w:spacing w:before="120" w:after="120"/>
              <w:jc w:val="right"/>
              <w:rPr>
                <w:sz w:val="16"/>
                <w:szCs w:val="16"/>
              </w:rPr>
            </w:pPr>
            <w:r w:rsidRPr="00E24B37">
              <w:rPr>
                <w:sz w:val="16"/>
                <w:szCs w:val="16"/>
              </w:rPr>
              <w:t>4.7</w:t>
            </w:r>
          </w:p>
        </w:tc>
        <w:tc>
          <w:tcPr>
            <w:tcW w:w="381" w:type="pct"/>
            <w:tcBorders>
              <w:top w:val="single" w:sz="4" w:space="0" w:color="DFEBF1" w:themeColor="accent1" w:themeTint="1A"/>
              <w:bottom w:val="single" w:sz="4" w:space="0" w:color="DFEBF1" w:themeColor="accent1" w:themeTint="1A"/>
            </w:tcBorders>
            <w:shd w:val="clear" w:color="auto" w:fill="F2F2F2" w:themeFill="accent6" w:themeFillShade="F2"/>
          </w:tcPr>
          <w:p w14:paraId="0D3CE192" w14:textId="7EEDA1FA" w:rsidR="002A2CEE" w:rsidRPr="002A2CEE" w:rsidRDefault="002A2CEE" w:rsidP="002A2CEE">
            <w:pPr>
              <w:spacing w:before="120" w:after="120"/>
              <w:jc w:val="right"/>
              <w:rPr>
                <w:sz w:val="16"/>
                <w:szCs w:val="16"/>
              </w:rPr>
            </w:pPr>
            <w:r w:rsidRPr="00E24B37">
              <w:rPr>
                <w:sz w:val="16"/>
                <w:szCs w:val="16"/>
              </w:rPr>
              <w:t>9.5</w:t>
            </w:r>
          </w:p>
        </w:tc>
        <w:tc>
          <w:tcPr>
            <w:tcW w:w="374" w:type="pct"/>
            <w:tcBorders>
              <w:top w:val="single" w:sz="4" w:space="0" w:color="DFEBF1" w:themeColor="accent1" w:themeTint="1A"/>
              <w:bottom w:val="single" w:sz="4" w:space="0" w:color="DFEBF1" w:themeColor="accent1" w:themeTint="1A"/>
            </w:tcBorders>
            <w:shd w:val="clear" w:color="auto" w:fill="F2F2F2" w:themeFill="accent6" w:themeFillShade="F2"/>
          </w:tcPr>
          <w:p w14:paraId="73A6631F" w14:textId="7D6BEEC6" w:rsidR="002A2CEE" w:rsidRPr="002A2CEE" w:rsidRDefault="002A2CEE" w:rsidP="002A2CEE">
            <w:pPr>
              <w:spacing w:before="120" w:after="120"/>
              <w:jc w:val="right"/>
              <w:rPr>
                <w:sz w:val="16"/>
                <w:szCs w:val="16"/>
              </w:rPr>
            </w:pPr>
            <w:r w:rsidRPr="00E24B37">
              <w:rPr>
                <w:sz w:val="16"/>
                <w:szCs w:val="16"/>
              </w:rPr>
              <w:t>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135883C" w14:textId="30B424FB" w:rsidR="002A2CEE" w:rsidRPr="002A2CEE" w:rsidRDefault="002A2CEE" w:rsidP="002A2CEE">
            <w:pPr>
              <w:spacing w:before="120" w:after="120"/>
              <w:jc w:val="right"/>
              <w:rPr>
                <w:sz w:val="16"/>
                <w:szCs w:val="16"/>
              </w:rPr>
            </w:pPr>
            <w:r w:rsidRPr="00E24B37">
              <w:rPr>
                <w:sz w:val="16"/>
                <w:szCs w:val="16"/>
              </w:rPr>
              <w:t>2.3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0DB835E6" w14:textId="09FB7F30" w:rsidR="002A2CEE" w:rsidRPr="002A2CEE" w:rsidRDefault="002A2CEE" w:rsidP="002A2CEE">
            <w:pPr>
              <w:spacing w:before="120" w:after="120"/>
              <w:jc w:val="right"/>
              <w:rPr>
                <w:sz w:val="16"/>
                <w:szCs w:val="16"/>
              </w:rPr>
            </w:pPr>
            <w:r w:rsidRPr="00E24B37">
              <w:rPr>
                <w:sz w:val="16"/>
                <w:szCs w:val="16"/>
              </w:rPr>
              <w:t>0.2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EF872B2" w14:textId="104B0B4A" w:rsidR="002A2CEE" w:rsidRPr="002A2CEE" w:rsidRDefault="002A2CEE" w:rsidP="002A2CEE">
            <w:pPr>
              <w:spacing w:before="120" w:after="120"/>
              <w:jc w:val="right"/>
              <w:rPr>
                <w:sz w:val="16"/>
                <w:szCs w:val="16"/>
              </w:rPr>
            </w:pPr>
            <w:r w:rsidRPr="00E24B37">
              <w:rPr>
                <w:sz w:val="16"/>
                <w:szCs w:val="16"/>
              </w:rPr>
              <w:t>14.8</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4C551511" w14:textId="29FCC7DD" w:rsidR="002A2CEE" w:rsidRPr="002A2CEE" w:rsidRDefault="002A2CEE" w:rsidP="002A2CEE">
            <w:pPr>
              <w:spacing w:before="120" w:after="120"/>
              <w:jc w:val="right"/>
              <w:rPr>
                <w:sz w:val="16"/>
                <w:szCs w:val="16"/>
              </w:rPr>
            </w:pPr>
            <w:r w:rsidRPr="00E24B37">
              <w:rPr>
                <w:sz w:val="16"/>
                <w:szCs w:val="16"/>
              </w:rPr>
              <w:t>42.6</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716177F" w14:textId="618C22AE" w:rsidR="002A2CEE" w:rsidRPr="002A2CEE" w:rsidRDefault="002A2CEE" w:rsidP="002A2CEE">
            <w:pPr>
              <w:spacing w:before="120" w:after="120"/>
              <w:jc w:val="right"/>
              <w:rPr>
                <w:sz w:val="16"/>
                <w:szCs w:val="16"/>
              </w:rPr>
            </w:pPr>
            <w:r w:rsidRPr="00E24B37">
              <w:rPr>
                <w:sz w:val="16"/>
                <w:szCs w:val="16"/>
              </w:rPr>
              <w:t>0.9</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259059AD" w14:textId="581B4C4B"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DCD031D" w14:textId="2A4AC658" w:rsidR="002A2CEE" w:rsidRPr="002A2CEE" w:rsidRDefault="002A2CEE" w:rsidP="002A2CEE">
            <w:pPr>
              <w:spacing w:before="120" w:after="120"/>
              <w:jc w:val="right"/>
              <w:rPr>
                <w:sz w:val="16"/>
                <w:szCs w:val="16"/>
              </w:rPr>
            </w:pPr>
            <w:r w:rsidRPr="00E24B37">
              <w:rPr>
                <w:sz w:val="16"/>
                <w:szCs w:val="16"/>
              </w:rPr>
              <w:t>0.2</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tcPr>
          <w:p w14:paraId="2CFD2B08" w14:textId="11A7E36E" w:rsidR="002A2CEE" w:rsidRPr="002A2CEE" w:rsidRDefault="002A2CEE" w:rsidP="002A2CEE">
            <w:pPr>
              <w:spacing w:before="120" w:after="120"/>
              <w:jc w:val="right"/>
              <w:rPr>
                <w:sz w:val="16"/>
                <w:szCs w:val="16"/>
              </w:rPr>
            </w:pPr>
            <w:r w:rsidRPr="00E24B37">
              <w:rPr>
                <w:sz w:val="16"/>
                <w:szCs w:val="16"/>
              </w:rPr>
              <w:t>96.5</w:t>
            </w:r>
          </w:p>
        </w:tc>
      </w:tr>
      <w:tr w:rsidR="007318C9" w:rsidRPr="008A31CB" w14:paraId="3B8FAAB0" w14:textId="77777777" w:rsidTr="003B5161">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tcPr>
          <w:p w14:paraId="51198388" w14:textId="77777777" w:rsidR="002A2CEE" w:rsidRPr="00AD6AFA" w:rsidRDefault="002A2CEE" w:rsidP="002A2CEE">
            <w:pPr>
              <w:spacing w:before="120" w:after="120"/>
              <w:rPr>
                <w:rFonts w:cs="Arial"/>
                <w:color w:val="1C1C1C"/>
                <w:sz w:val="16"/>
                <w:szCs w:val="16"/>
              </w:rPr>
            </w:pPr>
            <w:r w:rsidRPr="00AD6AFA">
              <w:rPr>
                <w:rFonts w:cs="Arial"/>
                <w:sz w:val="16"/>
                <w:szCs w:val="16"/>
              </w:rPr>
              <w:t>JUN2022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AD7C85A" w14:textId="70CCB50C" w:rsidR="002A2CEE" w:rsidRPr="00E24B37" w:rsidRDefault="002A2CEE" w:rsidP="002A2CEE">
            <w:pPr>
              <w:spacing w:before="120" w:after="120"/>
              <w:jc w:val="right"/>
              <w:rPr>
                <w:sz w:val="16"/>
                <w:szCs w:val="16"/>
              </w:rPr>
            </w:pPr>
            <w:r w:rsidRPr="00E24B37">
              <w:rPr>
                <w:sz w:val="16"/>
                <w:szCs w:val="16"/>
              </w:rPr>
              <w:t>21.4</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232E1DA2" w14:textId="784A6F23" w:rsidR="002A2CEE" w:rsidRPr="002A2CEE" w:rsidRDefault="002A2CEE" w:rsidP="002A2CEE">
            <w:pPr>
              <w:spacing w:before="120" w:after="120"/>
              <w:jc w:val="right"/>
              <w:rPr>
                <w:sz w:val="16"/>
                <w:szCs w:val="16"/>
              </w:rPr>
            </w:pPr>
            <w:r w:rsidRPr="00E24B37">
              <w:rPr>
                <w:sz w:val="16"/>
                <w:szCs w:val="16"/>
              </w:rPr>
              <w:t>4.8</w:t>
            </w:r>
          </w:p>
        </w:tc>
        <w:tc>
          <w:tcPr>
            <w:tcW w:w="381" w:type="pct"/>
            <w:tcBorders>
              <w:top w:val="single" w:sz="4" w:space="0" w:color="DFEBF1" w:themeColor="accent1" w:themeTint="1A"/>
              <w:bottom w:val="single" w:sz="4" w:space="0" w:color="DFEBF1" w:themeColor="accent1" w:themeTint="1A"/>
            </w:tcBorders>
            <w:shd w:val="clear" w:color="auto" w:fill="F2F2F2" w:themeFill="accent6" w:themeFillShade="F2"/>
          </w:tcPr>
          <w:p w14:paraId="3B3389C6" w14:textId="5A969390" w:rsidR="002A2CEE" w:rsidRPr="002A2CEE" w:rsidRDefault="002A2CEE" w:rsidP="002A2CEE">
            <w:pPr>
              <w:spacing w:before="120" w:after="120"/>
              <w:jc w:val="right"/>
              <w:rPr>
                <w:sz w:val="16"/>
                <w:szCs w:val="16"/>
              </w:rPr>
            </w:pPr>
            <w:r w:rsidRPr="00E24B37">
              <w:rPr>
                <w:sz w:val="16"/>
                <w:szCs w:val="16"/>
              </w:rPr>
              <w:t>9.4</w:t>
            </w:r>
          </w:p>
        </w:tc>
        <w:tc>
          <w:tcPr>
            <w:tcW w:w="374" w:type="pct"/>
            <w:tcBorders>
              <w:top w:val="single" w:sz="4" w:space="0" w:color="DFEBF1" w:themeColor="accent1" w:themeTint="1A"/>
              <w:bottom w:val="single" w:sz="4" w:space="0" w:color="DFEBF1" w:themeColor="accent1" w:themeTint="1A"/>
            </w:tcBorders>
            <w:shd w:val="clear" w:color="auto" w:fill="F2F2F2" w:themeFill="accent6" w:themeFillShade="F2"/>
          </w:tcPr>
          <w:p w14:paraId="43393411" w14:textId="5DA7F345" w:rsidR="002A2CEE" w:rsidRPr="002A2CEE" w:rsidRDefault="002A2CEE" w:rsidP="002A2CEE">
            <w:pPr>
              <w:spacing w:before="120" w:after="120"/>
              <w:jc w:val="right"/>
              <w:rPr>
                <w:sz w:val="16"/>
                <w:szCs w:val="16"/>
              </w:rPr>
            </w:pPr>
            <w:r w:rsidRPr="00E24B37">
              <w:rPr>
                <w:sz w:val="16"/>
                <w:szCs w:val="16"/>
              </w:rPr>
              <w:t>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048F406E" w14:textId="0F2C96DB" w:rsidR="002A2CEE" w:rsidRPr="002A2CEE" w:rsidRDefault="002A2CEE" w:rsidP="002A2CEE">
            <w:pPr>
              <w:spacing w:before="120" w:after="120"/>
              <w:jc w:val="right"/>
              <w:rPr>
                <w:sz w:val="16"/>
                <w:szCs w:val="16"/>
              </w:rPr>
            </w:pPr>
            <w:r w:rsidRPr="00E24B37">
              <w:rPr>
                <w:sz w:val="16"/>
                <w:szCs w:val="16"/>
              </w:rPr>
              <w:t>2.4</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06A75DAF" w14:textId="3CA3FB8B" w:rsidR="002A2CEE" w:rsidRPr="002A2CEE" w:rsidRDefault="002A2CEE" w:rsidP="002A2CEE">
            <w:pPr>
              <w:spacing w:before="120" w:after="120"/>
              <w:jc w:val="right"/>
              <w:rPr>
                <w:sz w:val="16"/>
                <w:szCs w:val="16"/>
              </w:rPr>
            </w:pPr>
            <w:r w:rsidRPr="00E24B37">
              <w:rPr>
                <w:sz w:val="16"/>
                <w:szCs w:val="16"/>
              </w:rPr>
              <w:t>0.2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DC1AC02" w14:textId="79F5CEDF" w:rsidR="002A2CEE" w:rsidRPr="002A2CEE" w:rsidRDefault="002A2CEE" w:rsidP="002A2CEE">
            <w:pPr>
              <w:spacing w:before="120" w:after="120"/>
              <w:jc w:val="right"/>
              <w:rPr>
                <w:sz w:val="16"/>
                <w:szCs w:val="16"/>
              </w:rPr>
            </w:pPr>
            <w:r w:rsidRPr="00E24B37">
              <w:rPr>
                <w:sz w:val="16"/>
                <w:szCs w:val="16"/>
              </w:rPr>
              <w:t>15.1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9F0B3B9" w14:textId="660E36DF" w:rsidR="002A2CEE" w:rsidRPr="002A2CEE" w:rsidRDefault="002A2CEE" w:rsidP="002A2CEE">
            <w:pPr>
              <w:spacing w:before="120" w:after="120"/>
              <w:jc w:val="right"/>
              <w:rPr>
                <w:sz w:val="16"/>
                <w:szCs w:val="16"/>
              </w:rPr>
            </w:pPr>
            <w:r w:rsidRPr="00E24B37">
              <w:rPr>
                <w:sz w:val="16"/>
                <w:szCs w:val="16"/>
              </w:rPr>
              <w:t>42.7</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22BA8BB" w14:textId="4A5BFE93" w:rsidR="002A2CEE" w:rsidRPr="002A2CEE" w:rsidRDefault="002A2CEE" w:rsidP="002A2CEE">
            <w:pPr>
              <w:spacing w:before="120" w:after="120"/>
              <w:jc w:val="right"/>
              <w:rPr>
                <w:sz w:val="16"/>
                <w:szCs w:val="16"/>
              </w:rPr>
            </w:pPr>
            <w:r w:rsidRPr="00E24B37">
              <w:rPr>
                <w:sz w:val="16"/>
                <w:szCs w:val="16"/>
              </w:rPr>
              <w:t>0.9</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FF4F6AE" w14:textId="46422704" w:rsidR="002A2CEE" w:rsidRPr="002A2CEE" w:rsidRDefault="002A2CEE" w:rsidP="002A2CEE">
            <w:pPr>
              <w:spacing w:before="120" w:after="120"/>
              <w:jc w:val="right"/>
              <w:rPr>
                <w:sz w:val="16"/>
                <w:szCs w:val="16"/>
              </w:rPr>
            </w:pPr>
            <w:r w:rsidRPr="00E24B37">
              <w:rPr>
                <w:sz w:val="16"/>
                <w:szCs w:val="16"/>
              </w:rPr>
              <w:t>0.1</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23A86EDE" w14:textId="72DFA795" w:rsidR="002A2CEE" w:rsidRPr="002A2CEE" w:rsidRDefault="002A2CEE" w:rsidP="002A2CEE">
            <w:pPr>
              <w:spacing w:before="120" w:after="120"/>
              <w:jc w:val="right"/>
              <w:rPr>
                <w:sz w:val="16"/>
                <w:szCs w:val="16"/>
              </w:rPr>
            </w:pPr>
            <w:r w:rsidRPr="00E24B37">
              <w:rPr>
                <w:sz w:val="16"/>
                <w:szCs w:val="16"/>
              </w:rPr>
              <w:t>0.2</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tcPr>
          <w:p w14:paraId="0FB205A8" w14:textId="092CE4E3" w:rsidR="002A2CEE" w:rsidRPr="002A2CEE" w:rsidRDefault="002A2CEE" w:rsidP="002A2CEE">
            <w:pPr>
              <w:spacing w:before="120" w:after="120"/>
              <w:jc w:val="right"/>
              <w:rPr>
                <w:sz w:val="16"/>
                <w:szCs w:val="16"/>
              </w:rPr>
            </w:pPr>
            <w:r w:rsidRPr="00E24B37">
              <w:rPr>
                <w:sz w:val="16"/>
                <w:szCs w:val="16"/>
              </w:rPr>
              <w:t>97.4</w:t>
            </w:r>
          </w:p>
        </w:tc>
      </w:tr>
      <w:tr w:rsidR="007318C9" w:rsidRPr="008A31CB" w14:paraId="1B843045" w14:textId="77777777" w:rsidTr="003B5161">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tcPr>
          <w:p w14:paraId="119405AC" w14:textId="77777777" w:rsidR="002A2CEE" w:rsidRPr="00AD6AFA" w:rsidRDefault="002A2CEE" w:rsidP="002A2CEE">
            <w:pPr>
              <w:spacing w:before="120" w:after="120"/>
              <w:rPr>
                <w:rFonts w:cs="Arial"/>
                <w:color w:val="1C1C1C"/>
                <w:sz w:val="16"/>
                <w:szCs w:val="16"/>
              </w:rPr>
            </w:pPr>
            <w:r w:rsidRPr="00AD6AFA">
              <w:rPr>
                <w:rFonts w:cs="Arial"/>
                <w:sz w:val="16"/>
                <w:szCs w:val="16"/>
              </w:rPr>
              <w:t>SEP2022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6AA41E4" w14:textId="1A557F5B" w:rsidR="002A2CEE" w:rsidRPr="00E24B37" w:rsidRDefault="002A2CEE" w:rsidP="002A2CEE">
            <w:pPr>
              <w:spacing w:before="120" w:after="120"/>
              <w:jc w:val="right"/>
              <w:rPr>
                <w:sz w:val="16"/>
                <w:szCs w:val="16"/>
              </w:rPr>
            </w:pPr>
            <w:r w:rsidRPr="00E24B37">
              <w:rPr>
                <w:sz w:val="16"/>
                <w:szCs w:val="16"/>
              </w:rPr>
              <w:t>22.1</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CAEC0AF" w14:textId="5D0383F3" w:rsidR="002A2CEE" w:rsidRPr="002A2CEE" w:rsidRDefault="002A2CEE" w:rsidP="002A2CEE">
            <w:pPr>
              <w:spacing w:before="120" w:after="120"/>
              <w:jc w:val="right"/>
              <w:rPr>
                <w:sz w:val="16"/>
                <w:szCs w:val="16"/>
              </w:rPr>
            </w:pPr>
            <w:r w:rsidRPr="00E24B37">
              <w:rPr>
                <w:sz w:val="16"/>
                <w:szCs w:val="16"/>
              </w:rPr>
              <w:t>4.9</w:t>
            </w:r>
          </w:p>
        </w:tc>
        <w:tc>
          <w:tcPr>
            <w:tcW w:w="381" w:type="pct"/>
            <w:tcBorders>
              <w:top w:val="single" w:sz="4" w:space="0" w:color="DFEBF1" w:themeColor="accent1" w:themeTint="1A"/>
              <w:bottom w:val="single" w:sz="4" w:space="0" w:color="DFEBF1" w:themeColor="accent1" w:themeTint="1A"/>
            </w:tcBorders>
            <w:shd w:val="clear" w:color="auto" w:fill="F2F2F2" w:themeFill="accent6" w:themeFillShade="F2"/>
          </w:tcPr>
          <w:p w14:paraId="5722F953" w14:textId="6AE9DC76" w:rsidR="002A2CEE" w:rsidRPr="002A2CEE" w:rsidRDefault="002A2CEE" w:rsidP="002A2CEE">
            <w:pPr>
              <w:spacing w:before="120" w:after="120"/>
              <w:jc w:val="right"/>
              <w:rPr>
                <w:sz w:val="16"/>
                <w:szCs w:val="16"/>
              </w:rPr>
            </w:pPr>
            <w:r w:rsidRPr="00E24B37">
              <w:rPr>
                <w:sz w:val="16"/>
                <w:szCs w:val="16"/>
              </w:rPr>
              <w:t>9.9</w:t>
            </w:r>
          </w:p>
        </w:tc>
        <w:tc>
          <w:tcPr>
            <w:tcW w:w="374" w:type="pct"/>
            <w:tcBorders>
              <w:top w:val="single" w:sz="4" w:space="0" w:color="DFEBF1" w:themeColor="accent1" w:themeTint="1A"/>
              <w:bottom w:val="single" w:sz="4" w:space="0" w:color="DFEBF1" w:themeColor="accent1" w:themeTint="1A"/>
            </w:tcBorders>
            <w:shd w:val="clear" w:color="auto" w:fill="F2F2F2" w:themeFill="accent6" w:themeFillShade="F2"/>
          </w:tcPr>
          <w:p w14:paraId="73C3D9D0" w14:textId="28BB9D3F" w:rsidR="002A2CEE" w:rsidRPr="002A2CEE" w:rsidRDefault="002A2CEE" w:rsidP="002A2CEE">
            <w:pPr>
              <w:spacing w:before="120" w:after="120"/>
              <w:jc w:val="right"/>
              <w:rPr>
                <w:sz w:val="16"/>
                <w:szCs w:val="16"/>
              </w:rPr>
            </w:pPr>
            <w:r w:rsidRPr="00E24B37">
              <w:rPr>
                <w:sz w:val="16"/>
                <w:szCs w:val="16"/>
              </w:rPr>
              <w:t>0.3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3B87F9A6" w14:textId="408C2F76" w:rsidR="002A2CEE" w:rsidRPr="002A2CEE" w:rsidRDefault="002A2CEE" w:rsidP="002A2CEE">
            <w:pPr>
              <w:spacing w:before="120" w:after="120"/>
              <w:jc w:val="right"/>
              <w:rPr>
                <w:sz w:val="16"/>
                <w:szCs w:val="16"/>
              </w:rPr>
            </w:pPr>
            <w:r w:rsidRPr="00E24B37">
              <w:rPr>
                <w:sz w:val="16"/>
                <w:szCs w:val="16"/>
              </w:rPr>
              <w:t>2.5</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6A811D29" w14:textId="5D0596D6" w:rsidR="002A2CEE" w:rsidRPr="002A2CEE" w:rsidRDefault="002A2CEE" w:rsidP="002A2CEE">
            <w:pPr>
              <w:spacing w:before="120" w:after="120"/>
              <w:jc w:val="right"/>
              <w:rPr>
                <w:sz w:val="16"/>
                <w:szCs w:val="16"/>
              </w:rPr>
            </w:pPr>
            <w:r w:rsidRPr="00E24B37">
              <w:rPr>
                <w:sz w:val="16"/>
                <w:szCs w:val="16"/>
              </w:rPr>
              <w:t>0.2</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76488F26" w14:textId="3A7868D5" w:rsidR="002A2CEE" w:rsidRPr="002A2CEE" w:rsidRDefault="002A2CEE" w:rsidP="002A2CEE">
            <w:pPr>
              <w:spacing w:before="120" w:after="120"/>
              <w:jc w:val="right"/>
              <w:rPr>
                <w:sz w:val="16"/>
                <w:szCs w:val="16"/>
              </w:rPr>
            </w:pPr>
            <w:r w:rsidRPr="00E24B37">
              <w:rPr>
                <w:sz w:val="16"/>
                <w:szCs w:val="16"/>
              </w:rPr>
              <w:t>15.3</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8A89C2A" w14:textId="385A8C18" w:rsidR="002A2CEE" w:rsidRPr="002A2CEE" w:rsidRDefault="002A2CEE" w:rsidP="002A2CEE">
            <w:pPr>
              <w:spacing w:before="120" w:after="120"/>
              <w:jc w:val="right"/>
              <w:rPr>
                <w:sz w:val="16"/>
                <w:szCs w:val="16"/>
              </w:rPr>
            </w:pPr>
            <w:r w:rsidRPr="00E24B37">
              <w:rPr>
                <w:sz w:val="16"/>
                <w:szCs w:val="16"/>
              </w:rPr>
              <w:t>43.7</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577BDEBC" w14:textId="04BD50F6" w:rsidR="002A2CEE" w:rsidRPr="002A2CEE" w:rsidRDefault="002A2CEE" w:rsidP="002A2CEE">
            <w:pPr>
              <w:spacing w:before="120" w:after="120"/>
              <w:jc w:val="right"/>
              <w:rPr>
                <w:sz w:val="16"/>
                <w:szCs w:val="16"/>
              </w:rPr>
            </w:pPr>
            <w:r w:rsidRPr="00E24B37">
              <w:rPr>
                <w:sz w:val="16"/>
                <w:szCs w:val="16"/>
              </w:rPr>
              <w:t>0.9</w:t>
            </w:r>
          </w:p>
        </w:tc>
        <w:tc>
          <w:tcPr>
            <w:tcW w:w="383" w:type="pct"/>
            <w:tcBorders>
              <w:top w:val="single" w:sz="4" w:space="0" w:color="DFEBF1" w:themeColor="accent1" w:themeTint="1A"/>
              <w:bottom w:val="single" w:sz="4" w:space="0" w:color="DFEBF1" w:themeColor="accent1" w:themeTint="1A"/>
            </w:tcBorders>
            <w:shd w:val="clear" w:color="auto" w:fill="F2F2F2" w:themeFill="accent6" w:themeFillShade="F2"/>
          </w:tcPr>
          <w:p w14:paraId="461CA637" w14:textId="6DD7917B" w:rsidR="002A2CEE" w:rsidRPr="002A2CEE" w:rsidRDefault="002A2CEE" w:rsidP="002A2CEE">
            <w:pPr>
              <w:spacing w:before="120" w:after="120"/>
              <w:jc w:val="right"/>
              <w:rPr>
                <w:sz w:val="16"/>
                <w:szCs w:val="16"/>
              </w:rPr>
            </w:pPr>
            <w:r w:rsidRPr="00E24B37">
              <w:rPr>
                <w:sz w:val="16"/>
                <w:szCs w:val="16"/>
              </w:rPr>
              <w:t>0.2</w:t>
            </w:r>
          </w:p>
        </w:tc>
        <w:tc>
          <w:tcPr>
            <w:tcW w:w="38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tcPr>
          <w:p w14:paraId="5421769A" w14:textId="01F50AA8" w:rsidR="002A2CEE" w:rsidRPr="002A2CEE" w:rsidRDefault="002A2CEE" w:rsidP="002A2CEE">
            <w:pPr>
              <w:spacing w:before="120" w:after="120"/>
              <w:jc w:val="right"/>
              <w:rPr>
                <w:sz w:val="16"/>
                <w:szCs w:val="16"/>
              </w:rPr>
            </w:pPr>
            <w:r w:rsidRPr="00E24B37">
              <w:rPr>
                <w:sz w:val="16"/>
                <w:szCs w:val="16"/>
              </w:rPr>
              <w:t>0.2</w:t>
            </w:r>
          </w:p>
        </w:tc>
        <w:tc>
          <w:tcPr>
            <w:tcW w:w="462"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tcPr>
          <w:p w14:paraId="22CFDDFE" w14:textId="30A682F5" w:rsidR="002A2CEE" w:rsidRPr="002A2CEE" w:rsidRDefault="002A2CEE" w:rsidP="002A2CEE">
            <w:pPr>
              <w:spacing w:before="120" w:after="120"/>
              <w:jc w:val="right"/>
              <w:rPr>
                <w:sz w:val="16"/>
                <w:szCs w:val="16"/>
              </w:rPr>
            </w:pPr>
            <w:r w:rsidRPr="00E24B37">
              <w:rPr>
                <w:sz w:val="16"/>
                <w:szCs w:val="16"/>
              </w:rPr>
              <w:t>100.0</w:t>
            </w:r>
          </w:p>
        </w:tc>
      </w:tr>
    </w:tbl>
    <w:p w14:paraId="2743FB77" w14:textId="37774F8E" w:rsidR="00247555" w:rsidRDefault="00247555" w:rsidP="00247555">
      <w:pPr>
        <w:rPr>
          <w:sz w:val="18"/>
          <w:szCs w:val="18"/>
        </w:rPr>
      </w:pPr>
      <w:r w:rsidRPr="47BE9EBF">
        <w:rPr>
          <w:sz w:val="18"/>
          <w:szCs w:val="18"/>
        </w:rPr>
        <w:t>*Components may not add to total due to rounding</w:t>
      </w:r>
    </w:p>
    <w:p w14:paraId="74491983" w14:textId="77777777" w:rsidR="00FA461F" w:rsidRDefault="00FA461F" w:rsidP="00DF6844"/>
    <w:p w14:paraId="35B19BA0" w14:textId="14113C75" w:rsidR="00FA461F" w:rsidRDefault="00FA461F" w:rsidP="00DF6844">
      <w:pPr>
        <w:sectPr w:rsidR="00FA461F" w:rsidSect="008C4770">
          <w:type w:val="continuous"/>
          <w:pgSz w:w="16838" w:h="11906" w:orient="landscape" w:code="9"/>
          <w:pgMar w:top="1080" w:right="1440" w:bottom="1080" w:left="1440" w:header="708" w:footer="708" w:gutter="0"/>
          <w:cols w:space="708"/>
          <w:docGrid w:linePitch="360"/>
        </w:sectPr>
      </w:pPr>
    </w:p>
    <w:p w14:paraId="70D1B456" w14:textId="77777777" w:rsidR="00502A09" w:rsidRDefault="00502A09" w:rsidP="00502A09">
      <w:pPr>
        <w:spacing w:after="360"/>
        <w:rPr>
          <w:color w:val="FFFFFF" w:themeColor="background2"/>
        </w:rPr>
      </w:pPr>
      <w:r>
        <w:rPr>
          <w:noProof/>
          <w:color w:val="FFFFFF" w:themeColor="background2"/>
          <w:lang w:val="en-US"/>
        </w:rPr>
        <w:lastRenderedPageBreak/>
        <w:drawing>
          <wp:inline distT="0" distB="0" distL="0" distR="0" wp14:anchorId="1B889885" wp14:editId="1168D2D0">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1764880" cy="396484"/>
                    </a:xfrm>
                    <a:prstGeom prst="rect">
                      <a:avLst/>
                    </a:prstGeom>
                  </pic:spPr>
                </pic:pic>
              </a:graphicData>
            </a:graphic>
          </wp:inline>
        </w:drawing>
      </w:r>
    </w:p>
    <w:p w14:paraId="38002CD9" w14:textId="77777777" w:rsidR="00502A09" w:rsidRPr="00502A09" w:rsidRDefault="00502A09" w:rsidP="00502A09">
      <w:pPr>
        <w:spacing w:after="360"/>
      </w:pPr>
      <w:r w:rsidRPr="00502A09">
        <w:t>Independent Health and Aged Care Pricing Authority</w:t>
      </w:r>
    </w:p>
    <w:p w14:paraId="79C53FFE" w14:textId="0C39D363" w:rsidR="00502A09" w:rsidRPr="00502A09" w:rsidRDefault="00335758" w:rsidP="00502A09">
      <w:pPr>
        <w:spacing w:after="360"/>
        <w:rPr>
          <w:color w:val="104F99" w:themeColor="accent2"/>
        </w:rPr>
      </w:pPr>
      <w:r>
        <w:rPr>
          <w:color w:val="104F99" w:themeColor="accent2"/>
        </w:rPr>
        <w:t xml:space="preserve">Eora Nation, </w:t>
      </w:r>
      <w:r w:rsidR="00502A09" w:rsidRPr="00502A09">
        <w:rPr>
          <w:color w:val="104F99" w:themeColor="accent2"/>
        </w:rPr>
        <w:t xml:space="preserve">Level </w:t>
      </w:r>
      <w:r w:rsidR="00B64398">
        <w:rPr>
          <w:color w:val="104F99" w:themeColor="accent2"/>
        </w:rPr>
        <w:t>12</w:t>
      </w:r>
      <w:r w:rsidR="00502A09" w:rsidRPr="00502A09">
        <w:rPr>
          <w:color w:val="104F99" w:themeColor="accent2"/>
        </w:rPr>
        <w:t>, 1 Oxford Street</w:t>
      </w:r>
      <w:r w:rsidR="00502A09" w:rsidRPr="00502A09">
        <w:rPr>
          <w:color w:val="104F99" w:themeColor="accent2"/>
        </w:rPr>
        <w:br/>
        <w:t>Sydney NSW 2000</w:t>
      </w:r>
    </w:p>
    <w:p w14:paraId="1F34F833" w14:textId="7BC51422" w:rsidR="00502A09" w:rsidRPr="00502A09" w:rsidRDefault="00502A09" w:rsidP="00502A09">
      <w:pPr>
        <w:spacing w:after="360"/>
      </w:pPr>
      <w:r w:rsidRPr="00502A09">
        <w:t xml:space="preserve">Phone </w:t>
      </w:r>
      <w:r w:rsidRPr="00502A09">
        <w:rPr>
          <w:color w:val="104F99" w:themeColor="accent2"/>
        </w:rPr>
        <w:t>02 8215 1100</w:t>
      </w:r>
      <w:r w:rsidRPr="00502A09">
        <w:br/>
        <w:t xml:space="preserve">Email </w:t>
      </w:r>
      <w:hyperlink r:id="rId34" w:history="1">
        <w:r w:rsidR="00DF2CB4" w:rsidRPr="00D10674">
          <w:rPr>
            <w:rStyle w:val="Hyperlink"/>
          </w:rPr>
          <w:t>enquiries.ihacpa@ihacpa.gov.au</w:t>
        </w:r>
      </w:hyperlink>
      <w:r w:rsidRPr="00502A09">
        <w:br/>
        <w:t xml:space="preserve">Twitter </w:t>
      </w:r>
      <w:hyperlink r:id="rId35" w:history="1">
        <w:r w:rsidRPr="00DF2CB4">
          <w:rPr>
            <w:rStyle w:val="Hyperlink"/>
          </w:rPr>
          <w:t>@IH</w:t>
        </w:r>
        <w:r w:rsidR="00B64398" w:rsidRPr="00DF2CB4">
          <w:rPr>
            <w:rStyle w:val="Hyperlink"/>
          </w:rPr>
          <w:t>AC</w:t>
        </w:r>
        <w:r w:rsidRPr="00DF2CB4">
          <w:rPr>
            <w:rStyle w:val="Hyperlink"/>
          </w:rPr>
          <w:t>PA</w:t>
        </w:r>
      </w:hyperlink>
    </w:p>
    <w:p w14:paraId="4E2278FE" w14:textId="52A262C6" w:rsidR="00502A09" w:rsidRPr="00502A09" w:rsidRDefault="00F03EC5" w:rsidP="00502A09">
      <w:pPr>
        <w:spacing w:after="360"/>
        <w:rPr>
          <w:color w:val="104F99" w:themeColor="accent2"/>
        </w:rPr>
      </w:pPr>
      <w:hyperlink r:id="rId36" w:history="1">
        <w:r w:rsidR="00502A09" w:rsidRPr="00DF2CB4">
          <w:rPr>
            <w:rStyle w:val="Hyperlink"/>
          </w:rPr>
          <w:t>www.ih</w:t>
        </w:r>
        <w:r w:rsidR="00B64398" w:rsidRPr="00DF2CB4">
          <w:rPr>
            <w:rStyle w:val="Hyperlink"/>
          </w:rPr>
          <w:t>ac</w:t>
        </w:r>
        <w:r w:rsidR="00502A09" w:rsidRPr="00DF2CB4">
          <w:rPr>
            <w:rStyle w:val="Hyperlink"/>
          </w:rPr>
          <w:t>pa.gov.au</w:t>
        </w:r>
      </w:hyperlink>
    </w:p>
    <w:p w14:paraId="55FBC7ED" w14:textId="77777777" w:rsidR="00502A09" w:rsidRPr="00502A09" w:rsidRDefault="00502A09" w:rsidP="00F95700">
      <w:pPr>
        <w:spacing w:after="360"/>
        <w:rPr>
          <w:color w:val="104F99" w:themeColor="accent2"/>
        </w:rPr>
      </w:pPr>
    </w:p>
    <w:sectPr w:rsidR="00502A09" w:rsidRPr="00502A09" w:rsidSect="00C5503B">
      <w:headerReference w:type="default" r:id="rId3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7222" w14:textId="77777777" w:rsidR="00F03EC5" w:rsidRDefault="00F03EC5" w:rsidP="00DC0458">
      <w:pPr>
        <w:spacing w:after="0" w:line="240" w:lineRule="auto"/>
      </w:pPr>
      <w:r>
        <w:separator/>
      </w:r>
    </w:p>
  </w:endnote>
  <w:endnote w:type="continuationSeparator" w:id="0">
    <w:p w14:paraId="075F0FBB" w14:textId="77777777" w:rsidR="00F03EC5" w:rsidRDefault="00F03EC5" w:rsidP="00DC0458">
      <w:pPr>
        <w:spacing w:after="0" w:line="240" w:lineRule="auto"/>
      </w:pPr>
      <w:r>
        <w:continuationSeparator/>
      </w:r>
    </w:p>
  </w:endnote>
  <w:endnote w:type="continuationNotice" w:id="1">
    <w:p w14:paraId="2BE5B766" w14:textId="77777777" w:rsidR="00F03EC5" w:rsidRDefault="00F03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mbria"/>
    <w:panose1 w:val="020B05030500000200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utura PT Book">
    <w:altName w:val="Century Gothic"/>
    <w:panose1 w:val="00000000000000000000"/>
    <w:charset w:val="4D"/>
    <w:family w:val="swiss"/>
    <w:notTrueType/>
    <w:pitch w:val="variable"/>
    <w:sig w:usb0="A00002FF" w:usb1="5000204B" w:usb2="00000000" w:usb3="00000000" w:csb0="00000097"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875" w14:textId="08B622DD" w:rsidR="00AA0717" w:rsidRDefault="00AA0717">
    <w:pPr>
      <w:pStyle w:val="Footer"/>
    </w:pPr>
    <w:r>
      <w:rPr>
        <w:noProof/>
        <w:lang w:val="en-US"/>
      </w:rPr>
      <w:drawing>
        <wp:anchor distT="0" distB="0" distL="114300" distR="114300" simplePos="0" relativeHeight="251658242"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Pr>
        <w:color w:val="FFFFFF" w:themeColor="background2"/>
      </w:rPr>
      <w:t xml:space="preserve"> 1.</w:t>
    </w:r>
    <w:r w:rsidR="006C600F">
      <w:rPr>
        <w:color w:val="FFFFFF" w:themeColor="background2"/>
      </w:rPr>
      <w:t>1</w:t>
    </w:r>
    <w:r>
      <w:rPr>
        <w:color w:val="FFFFFF" w:themeColor="background2"/>
      </w:rPr>
      <w:br/>
    </w:r>
    <w:r w:rsidR="00E0425A">
      <w:rPr>
        <w:color w:val="FFFFFF" w:themeColor="background2"/>
      </w:rPr>
      <w:t>May</w:t>
    </w:r>
    <w:r w:rsidR="00B1072E">
      <w:rPr>
        <w:color w:val="FFFFFF" w:themeColor="background2"/>
      </w:rPr>
      <w:t xml:space="preserve"> </w:t>
    </w:r>
    <w:r w:rsidR="006C600F">
      <w:rPr>
        <w:color w:val="FFFFFF" w:themeColor="background2"/>
      </w:rPr>
      <w:t>2023</w:t>
    </w:r>
    <w:r>
      <w:t xml:space="preserve"> and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F7" w14:textId="171C580F" w:rsidR="00AA0717" w:rsidRDefault="00AA0717" w:rsidP="00E24D0E">
    <w:pPr>
      <w:pStyle w:val="Footer"/>
      <w:tabs>
        <w:tab w:val="clear" w:pos="4680"/>
        <w:tab w:val="clear" w:pos="9360"/>
        <w:tab w:val="center" w:pos="9498"/>
        <w:tab w:val="right" w:pos="9746"/>
      </w:tabs>
    </w:pPr>
    <w:r w:rsidRPr="00D20B03">
      <w:rPr>
        <w:b/>
        <w:bCs/>
      </w:rPr>
      <w:t>IHACPA</w:t>
    </w:r>
    <w:r>
      <w:t xml:space="preserve"> Residential Aged Care Pricing Advice 2023-24 Technical Specifications</w:t>
    </w:r>
    <w:r>
      <w:tab/>
    </w:r>
    <w:r>
      <w:fldChar w:fldCharType="begin"/>
    </w:r>
    <w:r>
      <w:instrText xml:space="preserve"> PAGE   \* MERGEFORMAT </w:instrText>
    </w:r>
    <w:r>
      <w:fldChar w:fldCharType="separate"/>
    </w:r>
    <w:r w:rsidR="00B622B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2D38" w14:textId="77777777" w:rsidR="00F03EC5" w:rsidRDefault="00F03EC5" w:rsidP="00DC0458">
      <w:pPr>
        <w:spacing w:after="0" w:line="240" w:lineRule="auto"/>
      </w:pPr>
      <w:r>
        <w:separator/>
      </w:r>
    </w:p>
  </w:footnote>
  <w:footnote w:type="continuationSeparator" w:id="0">
    <w:p w14:paraId="6CBAC963" w14:textId="77777777" w:rsidR="00F03EC5" w:rsidRDefault="00F03EC5" w:rsidP="00DC0458">
      <w:pPr>
        <w:spacing w:after="0" w:line="240" w:lineRule="auto"/>
      </w:pPr>
      <w:r>
        <w:continuationSeparator/>
      </w:r>
    </w:p>
  </w:footnote>
  <w:footnote w:type="continuationNotice" w:id="1">
    <w:p w14:paraId="525FAE06" w14:textId="77777777" w:rsidR="00F03EC5" w:rsidRDefault="00F03EC5">
      <w:pPr>
        <w:spacing w:after="0" w:line="240" w:lineRule="auto"/>
      </w:pPr>
    </w:p>
  </w:footnote>
  <w:footnote w:id="2">
    <w:p w14:paraId="388B8D67" w14:textId="695C2B93" w:rsidR="00AA0717" w:rsidRPr="00667985" w:rsidRDefault="00AA0717">
      <w:pPr>
        <w:pStyle w:val="FootnoteText"/>
        <w:rPr>
          <w:lang w:val="en-AU"/>
        </w:rPr>
      </w:pPr>
      <w:r>
        <w:rPr>
          <w:rStyle w:val="FootnoteReference"/>
        </w:rPr>
        <w:footnoteRef/>
      </w:r>
      <w:r>
        <w:t xml:space="preserve"> </w:t>
      </w:r>
      <w:hyperlink r:id="rId1" w:history="1">
        <w:r w:rsidRPr="001C2553">
          <w:rPr>
            <w:rStyle w:val="Hyperlink"/>
          </w:rPr>
          <w:t>https://www.abs.gov.au/statistics/understanding-statistics/guide-labour-statistics/earnings-guide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F25" w14:textId="77777777" w:rsidR="00AA0717" w:rsidRDefault="00AA0717">
    <w:pPr>
      <w:pStyle w:val="Header"/>
    </w:pPr>
    <w:r>
      <w:rPr>
        <w:noProof/>
        <w:lang w:val="en-US"/>
      </w:rPr>
      <w:drawing>
        <wp:anchor distT="0" distB="0" distL="114300" distR="114300" simplePos="0" relativeHeight="251658241" behindDoc="1" locked="0" layoutInCell="1" allowOverlap="1" wp14:anchorId="1FC952EE" wp14:editId="097F28B1">
          <wp:simplePos x="0" y="0"/>
          <wp:positionH relativeFrom="margin">
            <wp:posOffset>-685800</wp:posOffset>
          </wp:positionH>
          <wp:positionV relativeFrom="paragraph">
            <wp:posOffset>-447422</wp:posOffset>
          </wp:positionV>
          <wp:extent cx="7573925" cy="10707858"/>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6CD" w14:textId="77777777" w:rsidR="00AA0717" w:rsidRDefault="00AA0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AA0717" w:rsidRDefault="00AA0717">
    <w:pPr>
      <w:pStyle w:val="Header"/>
    </w:pPr>
    <w:r>
      <w:rPr>
        <w:noProof/>
        <w:lang w:val="en-US"/>
      </w:rPr>
      <w:drawing>
        <wp:anchor distT="0" distB="0" distL="114300" distR="114300" simplePos="0" relativeHeight="25165824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94D65EB2"/>
    <w:lvl w:ilvl="0" w:tplc="C95A017E">
      <w:numFmt w:val="bullet"/>
      <w:lvlText w:val="–"/>
      <w:lvlJc w:val="left"/>
      <w:pPr>
        <w:ind w:left="340" w:hanging="34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7C5558"/>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1543241"/>
    <w:multiLevelType w:val="hybridMultilevel"/>
    <w:tmpl w:val="8C5E96DE"/>
    <w:lvl w:ilvl="0" w:tplc="4ED82E02">
      <w:start w:val="1"/>
      <w:numFmt w:val="upperLetter"/>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19330B"/>
    <w:multiLevelType w:val="hybridMultilevel"/>
    <w:tmpl w:val="F844D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22ED6"/>
    <w:multiLevelType w:val="hybridMultilevel"/>
    <w:tmpl w:val="2E04D0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44969"/>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94692"/>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7" w15:restartNumberingAfterBreak="0">
    <w:nsid w:val="09D73487"/>
    <w:multiLevelType w:val="hybridMultilevel"/>
    <w:tmpl w:val="B2E0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03486E"/>
    <w:multiLevelType w:val="multilevel"/>
    <w:tmpl w:val="A876521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0FDE693F"/>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0" w15:restartNumberingAfterBreak="0">
    <w:nsid w:val="11616B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04410C"/>
    <w:multiLevelType w:val="multilevel"/>
    <w:tmpl w:val="5204D7D6"/>
    <w:lvl w:ilvl="0">
      <w:start w:val="1"/>
      <w:numFmt w:val="decimal"/>
      <w:pStyle w:val="Heading1"/>
      <w:lvlText w:val="%1"/>
      <w:lvlJc w:val="left"/>
      <w:pPr>
        <w:ind w:left="720" w:hanging="720"/>
      </w:p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BE48D9"/>
    <w:multiLevelType w:val="hybridMultilevel"/>
    <w:tmpl w:val="D98A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654FBF"/>
    <w:multiLevelType w:val="hybridMultilevel"/>
    <w:tmpl w:val="4210AFC2"/>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963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337EAB"/>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14541"/>
    <w:multiLevelType w:val="hybridMultilevel"/>
    <w:tmpl w:val="572E08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760441"/>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8" w15:restartNumberingAfterBreak="0">
    <w:nsid w:val="2BA507B6"/>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762119"/>
    <w:multiLevelType w:val="hybridMultilevel"/>
    <w:tmpl w:val="E5C69162"/>
    <w:lvl w:ilvl="0" w:tplc="D83AC924">
      <w:start w:val="1"/>
      <w:numFmt w:val="lowerLetter"/>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7E4A8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CFE6F"/>
    <w:multiLevelType w:val="hybridMultilevel"/>
    <w:tmpl w:val="5FD4E2B8"/>
    <w:lvl w:ilvl="0" w:tplc="41306298">
      <w:start w:val="1"/>
      <w:numFmt w:val="decimal"/>
      <w:lvlText w:val="%1."/>
      <w:lvlJc w:val="left"/>
      <w:pPr>
        <w:ind w:left="720" w:hanging="360"/>
      </w:pPr>
    </w:lvl>
    <w:lvl w:ilvl="1" w:tplc="FC42F946">
      <w:start w:val="1"/>
      <w:numFmt w:val="lowerLetter"/>
      <w:lvlText w:val="%2."/>
      <w:lvlJc w:val="left"/>
      <w:pPr>
        <w:ind w:left="1440" w:hanging="360"/>
      </w:pPr>
    </w:lvl>
    <w:lvl w:ilvl="2" w:tplc="9C20DEB8">
      <w:start w:val="1"/>
      <w:numFmt w:val="lowerRoman"/>
      <w:lvlText w:val="%3."/>
      <w:lvlJc w:val="right"/>
      <w:pPr>
        <w:ind w:left="2160" w:hanging="180"/>
      </w:pPr>
    </w:lvl>
    <w:lvl w:ilvl="3" w:tplc="B69E50D0">
      <w:start w:val="1"/>
      <w:numFmt w:val="decimal"/>
      <w:lvlText w:val="%4."/>
      <w:lvlJc w:val="left"/>
      <w:pPr>
        <w:ind w:left="2880" w:hanging="360"/>
      </w:pPr>
    </w:lvl>
    <w:lvl w:ilvl="4" w:tplc="B8703418">
      <w:start w:val="1"/>
      <w:numFmt w:val="lowerLetter"/>
      <w:lvlText w:val="%5."/>
      <w:lvlJc w:val="left"/>
      <w:pPr>
        <w:ind w:left="3600" w:hanging="360"/>
      </w:pPr>
    </w:lvl>
    <w:lvl w:ilvl="5" w:tplc="F3D035B8">
      <w:start w:val="1"/>
      <w:numFmt w:val="lowerRoman"/>
      <w:lvlText w:val="%6."/>
      <w:lvlJc w:val="right"/>
      <w:pPr>
        <w:ind w:left="4320" w:hanging="180"/>
      </w:pPr>
    </w:lvl>
    <w:lvl w:ilvl="6" w:tplc="443ABE32">
      <w:start w:val="1"/>
      <w:numFmt w:val="decimal"/>
      <w:lvlText w:val="%7."/>
      <w:lvlJc w:val="left"/>
      <w:pPr>
        <w:ind w:left="5040" w:hanging="360"/>
      </w:pPr>
    </w:lvl>
    <w:lvl w:ilvl="7" w:tplc="25A808B0">
      <w:start w:val="1"/>
      <w:numFmt w:val="lowerLetter"/>
      <w:lvlText w:val="%8."/>
      <w:lvlJc w:val="left"/>
      <w:pPr>
        <w:ind w:left="5760" w:hanging="360"/>
      </w:pPr>
    </w:lvl>
    <w:lvl w:ilvl="8" w:tplc="89761A00">
      <w:start w:val="1"/>
      <w:numFmt w:val="lowerRoman"/>
      <w:lvlText w:val="%9."/>
      <w:lvlJc w:val="right"/>
      <w:pPr>
        <w:ind w:left="6480" w:hanging="180"/>
      </w:pPr>
    </w:lvl>
  </w:abstractNum>
  <w:abstractNum w:abstractNumId="22" w15:restartNumberingAfterBreak="0">
    <w:nsid w:val="33FA3DE4"/>
    <w:multiLevelType w:val="multilevel"/>
    <w:tmpl w:val="13F29804"/>
    <w:lvl w:ilvl="0">
      <w:start w:val="1"/>
      <w:numFmt w:val="decimal"/>
      <w:lvlText w:val="%1."/>
      <w:lvlJc w:val="left"/>
      <w:pPr>
        <w:ind w:left="1080" w:hanging="720"/>
      </w:pPr>
      <w:rPr>
        <w:rFonts w:hint="default"/>
      </w:rPr>
    </w:lvl>
    <w:lvl w:ilvl="1">
      <w:start w:val="1"/>
      <w:numFmt w:val="decimal"/>
      <w:lvlText w:val="%1.%2"/>
      <w:lvlJc w:val="left"/>
      <w:pPr>
        <w:ind w:left="960" w:hanging="60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B33FED"/>
    <w:multiLevelType w:val="hybridMultilevel"/>
    <w:tmpl w:val="572E08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4D6853"/>
    <w:multiLevelType w:val="hybridMultilevel"/>
    <w:tmpl w:val="E6D665CC"/>
    <w:lvl w:ilvl="0" w:tplc="D53AA28A">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12CE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EF7A63"/>
    <w:multiLevelType w:val="hybridMultilevel"/>
    <w:tmpl w:val="D31A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602474"/>
    <w:multiLevelType w:val="hybridMultilevel"/>
    <w:tmpl w:val="F9E695B2"/>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B1F3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B8C7C55"/>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C63598"/>
    <w:multiLevelType w:val="hybridMultilevel"/>
    <w:tmpl w:val="A6D26BA8"/>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3" w15:restartNumberingAfterBreak="0">
    <w:nsid w:val="562A4DF6"/>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B525AB"/>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911A8B"/>
    <w:multiLevelType w:val="hybridMultilevel"/>
    <w:tmpl w:val="FD62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712BE5"/>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1203C3"/>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865F7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B906B6"/>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0" w15:restartNumberingAfterBreak="0">
    <w:nsid w:val="64804E02"/>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1" w15:restartNumberingAfterBreak="0">
    <w:nsid w:val="68E1508D"/>
    <w:multiLevelType w:val="hybridMultilevel"/>
    <w:tmpl w:val="D4AEA480"/>
    <w:lvl w:ilvl="0" w:tplc="D53AA28A">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106FA3"/>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3" w15:restartNumberingAfterBreak="0">
    <w:nsid w:val="76C369FE"/>
    <w:multiLevelType w:val="multilevel"/>
    <w:tmpl w:val="13F29804"/>
    <w:lvl w:ilvl="0">
      <w:start w:val="1"/>
      <w:numFmt w:val="decimal"/>
      <w:lvlText w:val="%1."/>
      <w:lvlJc w:val="left"/>
      <w:pPr>
        <w:ind w:left="1080" w:hanging="720"/>
      </w:pPr>
      <w:rPr>
        <w:rFonts w:hint="default"/>
      </w:rPr>
    </w:lvl>
    <w:lvl w:ilvl="1">
      <w:start w:val="1"/>
      <w:numFmt w:val="decimal"/>
      <w:lvlText w:val="%1.%2"/>
      <w:lvlJc w:val="left"/>
      <w:pPr>
        <w:ind w:left="960" w:hanging="60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0C518A"/>
    <w:multiLevelType w:val="hybridMultilevel"/>
    <w:tmpl w:val="E452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2"/>
  </w:num>
  <w:num w:numId="4">
    <w:abstractNumId w:val="0"/>
  </w:num>
  <w:num w:numId="5">
    <w:abstractNumId w:val="32"/>
  </w:num>
  <w:num w:numId="6">
    <w:abstractNumId w:val="0"/>
  </w:num>
  <w:num w:numId="7">
    <w:abstractNumId w:val="32"/>
  </w:num>
  <w:num w:numId="8">
    <w:abstractNumId w:val="0"/>
  </w:num>
  <w:num w:numId="9">
    <w:abstractNumId w:val="20"/>
  </w:num>
  <w:num w:numId="10">
    <w:abstractNumId w:val="10"/>
  </w:num>
  <w:num w:numId="11">
    <w:abstractNumId w:val="8"/>
  </w:num>
  <w:num w:numId="12">
    <w:abstractNumId w:val="14"/>
  </w:num>
  <w:num w:numId="13">
    <w:abstractNumId w:val="43"/>
  </w:num>
  <w:num w:numId="14">
    <w:abstractNumId w:val="22"/>
  </w:num>
  <w:num w:numId="15">
    <w:abstractNumId w:val="11"/>
  </w:num>
  <w:num w:numId="16">
    <w:abstractNumId w:val="1"/>
  </w:num>
  <w:num w:numId="17">
    <w:abstractNumId w:val="17"/>
  </w:num>
  <w:num w:numId="18">
    <w:abstractNumId w:val="9"/>
  </w:num>
  <w:num w:numId="19">
    <w:abstractNumId w:val="6"/>
  </w:num>
  <w:num w:numId="20">
    <w:abstractNumId w:val="26"/>
  </w:num>
  <w:num w:numId="21">
    <w:abstractNumId w:val="35"/>
  </w:num>
  <w:num w:numId="22">
    <w:abstractNumId w:val="3"/>
  </w:num>
  <w:num w:numId="23">
    <w:abstractNumId w:val="27"/>
  </w:num>
  <w:num w:numId="24">
    <w:abstractNumId w:val="44"/>
  </w:num>
  <w:num w:numId="25">
    <w:abstractNumId w:val="12"/>
  </w:num>
  <w:num w:numId="26">
    <w:abstractNumId w:val="13"/>
  </w:num>
  <w:num w:numId="27">
    <w:abstractNumId w:val="31"/>
  </w:num>
  <w:num w:numId="28">
    <w:abstractNumId w:val="40"/>
  </w:num>
  <w:num w:numId="29">
    <w:abstractNumId w:val="4"/>
  </w:num>
  <w:num w:numId="30">
    <w:abstractNumId w:val="19"/>
  </w:num>
  <w:num w:numId="31">
    <w:abstractNumId w:val="39"/>
  </w:num>
  <w:num w:numId="32">
    <w:abstractNumId w:val="18"/>
  </w:num>
  <w:num w:numId="33">
    <w:abstractNumId w:val="42"/>
  </w:num>
  <w:num w:numId="34">
    <w:abstractNumId w:val="5"/>
  </w:num>
  <w:num w:numId="35">
    <w:abstractNumId w:val="23"/>
  </w:num>
  <w:num w:numId="36">
    <w:abstractNumId w:val="16"/>
  </w:num>
  <w:num w:numId="37">
    <w:abstractNumId w:val="38"/>
  </w:num>
  <w:num w:numId="38">
    <w:abstractNumId w:val="33"/>
  </w:num>
  <w:num w:numId="39">
    <w:abstractNumId w:val="30"/>
  </w:num>
  <w:num w:numId="40">
    <w:abstractNumId w:val="25"/>
  </w:num>
  <w:num w:numId="41">
    <w:abstractNumId w:val="34"/>
  </w:num>
  <w:num w:numId="42">
    <w:abstractNumId w:val="37"/>
  </w:num>
  <w:num w:numId="43">
    <w:abstractNumId w:val="28"/>
  </w:num>
  <w:num w:numId="44">
    <w:abstractNumId w:val="15"/>
  </w:num>
  <w:num w:numId="45">
    <w:abstractNumId w:val="7"/>
  </w:num>
  <w:num w:numId="46">
    <w:abstractNumId w:val="0"/>
  </w:num>
  <w:num w:numId="47">
    <w:abstractNumId w:val="36"/>
  </w:num>
  <w:num w:numId="48">
    <w:abstractNumId w:val="41"/>
  </w:num>
  <w:num w:numId="49">
    <w:abstractNumId w:val="2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50"/>
    <w:rsid w:val="00000795"/>
    <w:rsid w:val="00000C47"/>
    <w:rsid w:val="00002F99"/>
    <w:rsid w:val="000033E9"/>
    <w:rsid w:val="000038C8"/>
    <w:rsid w:val="00006557"/>
    <w:rsid w:val="0000725D"/>
    <w:rsid w:val="00007A9E"/>
    <w:rsid w:val="00007DB1"/>
    <w:rsid w:val="000101F2"/>
    <w:rsid w:val="00010DBE"/>
    <w:rsid w:val="00010FAE"/>
    <w:rsid w:val="00013EB1"/>
    <w:rsid w:val="0001712E"/>
    <w:rsid w:val="00017B0F"/>
    <w:rsid w:val="0002013E"/>
    <w:rsid w:val="00022DAB"/>
    <w:rsid w:val="00022FDA"/>
    <w:rsid w:val="000232A3"/>
    <w:rsid w:val="00023AAE"/>
    <w:rsid w:val="0002630A"/>
    <w:rsid w:val="0002636A"/>
    <w:rsid w:val="00032FB6"/>
    <w:rsid w:val="00033C1B"/>
    <w:rsid w:val="00034B13"/>
    <w:rsid w:val="00035F63"/>
    <w:rsid w:val="000370DE"/>
    <w:rsid w:val="00037F21"/>
    <w:rsid w:val="0004050F"/>
    <w:rsid w:val="00040667"/>
    <w:rsid w:val="0004102D"/>
    <w:rsid w:val="0004139C"/>
    <w:rsid w:val="000419C3"/>
    <w:rsid w:val="00042D6B"/>
    <w:rsid w:val="000451B4"/>
    <w:rsid w:val="00046D28"/>
    <w:rsid w:val="0005018D"/>
    <w:rsid w:val="000509C4"/>
    <w:rsid w:val="000516A9"/>
    <w:rsid w:val="00052C04"/>
    <w:rsid w:val="000531DD"/>
    <w:rsid w:val="00054BDE"/>
    <w:rsid w:val="00054D2D"/>
    <w:rsid w:val="000550AA"/>
    <w:rsid w:val="00055D01"/>
    <w:rsid w:val="00055D02"/>
    <w:rsid w:val="00056BC9"/>
    <w:rsid w:val="00060CD3"/>
    <w:rsid w:val="000618CD"/>
    <w:rsid w:val="00061994"/>
    <w:rsid w:val="00062266"/>
    <w:rsid w:val="000634A3"/>
    <w:rsid w:val="00066D3F"/>
    <w:rsid w:val="00066F34"/>
    <w:rsid w:val="00067E7F"/>
    <w:rsid w:val="00067F2E"/>
    <w:rsid w:val="000719EB"/>
    <w:rsid w:val="00071BF2"/>
    <w:rsid w:val="00072A4F"/>
    <w:rsid w:val="0007375C"/>
    <w:rsid w:val="000741D6"/>
    <w:rsid w:val="00077CF5"/>
    <w:rsid w:val="000806DA"/>
    <w:rsid w:val="00081C9B"/>
    <w:rsid w:val="000826A8"/>
    <w:rsid w:val="00084A52"/>
    <w:rsid w:val="0008516C"/>
    <w:rsid w:val="00085BEF"/>
    <w:rsid w:val="00085FB7"/>
    <w:rsid w:val="00086BB8"/>
    <w:rsid w:val="00087591"/>
    <w:rsid w:val="00091953"/>
    <w:rsid w:val="000921CD"/>
    <w:rsid w:val="00092F7A"/>
    <w:rsid w:val="00093C14"/>
    <w:rsid w:val="00094081"/>
    <w:rsid w:val="0009501F"/>
    <w:rsid w:val="00096EA2"/>
    <w:rsid w:val="000A0811"/>
    <w:rsid w:val="000A17BA"/>
    <w:rsid w:val="000A1964"/>
    <w:rsid w:val="000A1AD5"/>
    <w:rsid w:val="000A1E80"/>
    <w:rsid w:val="000A28ED"/>
    <w:rsid w:val="000A32B1"/>
    <w:rsid w:val="000A3677"/>
    <w:rsid w:val="000A3ED3"/>
    <w:rsid w:val="000A4DBB"/>
    <w:rsid w:val="000A55A7"/>
    <w:rsid w:val="000A6492"/>
    <w:rsid w:val="000A7B63"/>
    <w:rsid w:val="000B049D"/>
    <w:rsid w:val="000B298C"/>
    <w:rsid w:val="000B3A95"/>
    <w:rsid w:val="000B3B8B"/>
    <w:rsid w:val="000B4AB7"/>
    <w:rsid w:val="000B53F5"/>
    <w:rsid w:val="000B5951"/>
    <w:rsid w:val="000B641F"/>
    <w:rsid w:val="000B68E6"/>
    <w:rsid w:val="000C0460"/>
    <w:rsid w:val="000C1A0A"/>
    <w:rsid w:val="000C34E5"/>
    <w:rsid w:val="000C39D8"/>
    <w:rsid w:val="000C42D7"/>
    <w:rsid w:val="000C64DA"/>
    <w:rsid w:val="000C6730"/>
    <w:rsid w:val="000C7429"/>
    <w:rsid w:val="000D013E"/>
    <w:rsid w:val="000D1171"/>
    <w:rsid w:val="000D15F6"/>
    <w:rsid w:val="000D2ECC"/>
    <w:rsid w:val="000D3469"/>
    <w:rsid w:val="000D39C2"/>
    <w:rsid w:val="000D7291"/>
    <w:rsid w:val="000D7879"/>
    <w:rsid w:val="000D7AD5"/>
    <w:rsid w:val="000E10E7"/>
    <w:rsid w:val="000E135F"/>
    <w:rsid w:val="000E146E"/>
    <w:rsid w:val="000E1D85"/>
    <w:rsid w:val="000E21BB"/>
    <w:rsid w:val="000E2ECE"/>
    <w:rsid w:val="000F2164"/>
    <w:rsid w:val="000F3926"/>
    <w:rsid w:val="000F61EF"/>
    <w:rsid w:val="000F755D"/>
    <w:rsid w:val="001006A4"/>
    <w:rsid w:val="001025F6"/>
    <w:rsid w:val="001035A0"/>
    <w:rsid w:val="00103A60"/>
    <w:rsid w:val="00103C44"/>
    <w:rsid w:val="001040C7"/>
    <w:rsid w:val="00104D70"/>
    <w:rsid w:val="00104D9F"/>
    <w:rsid w:val="00106525"/>
    <w:rsid w:val="00106675"/>
    <w:rsid w:val="00107C88"/>
    <w:rsid w:val="0011004E"/>
    <w:rsid w:val="00112CBD"/>
    <w:rsid w:val="00115614"/>
    <w:rsid w:val="001160A6"/>
    <w:rsid w:val="00117C05"/>
    <w:rsid w:val="00117EBE"/>
    <w:rsid w:val="001212DE"/>
    <w:rsid w:val="001252A3"/>
    <w:rsid w:val="00126355"/>
    <w:rsid w:val="001268EC"/>
    <w:rsid w:val="00127703"/>
    <w:rsid w:val="0013390D"/>
    <w:rsid w:val="0013551B"/>
    <w:rsid w:val="001356F8"/>
    <w:rsid w:val="00137DD0"/>
    <w:rsid w:val="00140898"/>
    <w:rsid w:val="001418D8"/>
    <w:rsid w:val="00141C41"/>
    <w:rsid w:val="001433F8"/>
    <w:rsid w:val="00143531"/>
    <w:rsid w:val="00145193"/>
    <w:rsid w:val="00145AD0"/>
    <w:rsid w:val="00150A40"/>
    <w:rsid w:val="00150B05"/>
    <w:rsid w:val="00151C3D"/>
    <w:rsid w:val="0015575F"/>
    <w:rsid w:val="001567CC"/>
    <w:rsid w:val="0016006F"/>
    <w:rsid w:val="0016085C"/>
    <w:rsid w:val="00161141"/>
    <w:rsid w:val="00161C75"/>
    <w:rsid w:val="00162F77"/>
    <w:rsid w:val="00163BCF"/>
    <w:rsid w:val="00164018"/>
    <w:rsid w:val="001641BF"/>
    <w:rsid w:val="001642E3"/>
    <w:rsid w:val="00164DC7"/>
    <w:rsid w:val="001650A8"/>
    <w:rsid w:val="00165D3D"/>
    <w:rsid w:val="00167130"/>
    <w:rsid w:val="00167C9F"/>
    <w:rsid w:val="001709DA"/>
    <w:rsid w:val="00171BC7"/>
    <w:rsid w:val="00171C8E"/>
    <w:rsid w:val="0017233C"/>
    <w:rsid w:val="001749E1"/>
    <w:rsid w:val="00174E45"/>
    <w:rsid w:val="001761EF"/>
    <w:rsid w:val="00176422"/>
    <w:rsid w:val="00176F4A"/>
    <w:rsid w:val="001772D8"/>
    <w:rsid w:val="0017774C"/>
    <w:rsid w:val="00177C1E"/>
    <w:rsid w:val="00180575"/>
    <w:rsid w:val="00181198"/>
    <w:rsid w:val="0018292D"/>
    <w:rsid w:val="001829AA"/>
    <w:rsid w:val="00182A11"/>
    <w:rsid w:val="001836E8"/>
    <w:rsid w:val="00183728"/>
    <w:rsid w:val="0018442D"/>
    <w:rsid w:val="0018678D"/>
    <w:rsid w:val="00190CDF"/>
    <w:rsid w:val="001915E7"/>
    <w:rsid w:val="00191720"/>
    <w:rsid w:val="00191766"/>
    <w:rsid w:val="00191A3D"/>
    <w:rsid w:val="00191CE6"/>
    <w:rsid w:val="001967A7"/>
    <w:rsid w:val="00196C92"/>
    <w:rsid w:val="00197656"/>
    <w:rsid w:val="001A0944"/>
    <w:rsid w:val="001A24A4"/>
    <w:rsid w:val="001A4175"/>
    <w:rsid w:val="001A4B72"/>
    <w:rsid w:val="001A5626"/>
    <w:rsid w:val="001B0FC5"/>
    <w:rsid w:val="001B11F8"/>
    <w:rsid w:val="001B1CAF"/>
    <w:rsid w:val="001B1E85"/>
    <w:rsid w:val="001B250E"/>
    <w:rsid w:val="001B29EE"/>
    <w:rsid w:val="001B36E4"/>
    <w:rsid w:val="001B4C2D"/>
    <w:rsid w:val="001B4FA5"/>
    <w:rsid w:val="001B52C2"/>
    <w:rsid w:val="001B5B34"/>
    <w:rsid w:val="001C0C2F"/>
    <w:rsid w:val="001C161D"/>
    <w:rsid w:val="001C203C"/>
    <w:rsid w:val="001C21DD"/>
    <w:rsid w:val="001C2F38"/>
    <w:rsid w:val="001C407D"/>
    <w:rsid w:val="001C4359"/>
    <w:rsid w:val="001C46B3"/>
    <w:rsid w:val="001C46E1"/>
    <w:rsid w:val="001C4D7F"/>
    <w:rsid w:val="001C4DD2"/>
    <w:rsid w:val="001C4E7D"/>
    <w:rsid w:val="001C5462"/>
    <w:rsid w:val="001C625D"/>
    <w:rsid w:val="001C7A9F"/>
    <w:rsid w:val="001D02A8"/>
    <w:rsid w:val="001D03CA"/>
    <w:rsid w:val="001D09F0"/>
    <w:rsid w:val="001D14A8"/>
    <w:rsid w:val="001D416E"/>
    <w:rsid w:val="001D4810"/>
    <w:rsid w:val="001D4B10"/>
    <w:rsid w:val="001D4CD5"/>
    <w:rsid w:val="001D5BBA"/>
    <w:rsid w:val="001D60CB"/>
    <w:rsid w:val="001D61B3"/>
    <w:rsid w:val="001D7EE8"/>
    <w:rsid w:val="001E0C10"/>
    <w:rsid w:val="001E2968"/>
    <w:rsid w:val="001E2B66"/>
    <w:rsid w:val="001E3200"/>
    <w:rsid w:val="001E3467"/>
    <w:rsid w:val="001E37CF"/>
    <w:rsid w:val="001F0771"/>
    <w:rsid w:val="001F07E5"/>
    <w:rsid w:val="001F218B"/>
    <w:rsid w:val="001F2735"/>
    <w:rsid w:val="001F34B0"/>
    <w:rsid w:val="001F4298"/>
    <w:rsid w:val="001F442F"/>
    <w:rsid w:val="001F451E"/>
    <w:rsid w:val="001F495F"/>
    <w:rsid w:val="001F5869"/>
    <w:rsid w:val="001F5C7D"/>
    <w:rsid w:val="001F7049"/>
    <w:rsid w:val="001F79B8"/>
    <w:rsid w:val="001FF223"/>
    <w:rsid w:val="00200518"/>
    <w:rsid w:val="00203A17"/>
    <w:rsid w:val="00204E20"/>
    <w:rsid w:val="002052D1"/>
    <w:rsid w:val="00205DC2"/>
    <w:rsid w:val="00206D63"/>
    <w:rsid w:val="00207EBB"/>
    <w:rsid w:val="002105D6"/>
    <w:rsid w:val="00210FE9"/>
    <w:rsid w:val="002118B7"/>
    <w:rsid w:val="002122B1"/>
    <w:rsid w:val="0021274E"/>
    <w:rsid w:val="00212B6B"/>
    <w:rsid w:val="002132C9"/>
    <w:rsid w:val="002140A2"/>
    <w:rsid w:val="00217708"/>
    <w:rsid w:val="00220EBE"/>
    <w:rsid w:val="00222E0D"/>
    <w:rsid w:val="0022450C"/>
    <w:rsid w:val="00224B81"/>
    <w:rsid w:val="00225AA4"/>
    <w:rsid w:val="00225C98"/>
    <w:rsid w:val="002261A6"/>
    <w:rsid w:val="002269C8"/>
    <w:rsid w:val="00226AA1"/>
    <w:rsid w:val="00226D76"/>
    <w:rsid w:val="00226DE6"/>
    <w:rsid w:val="002270C6"/>
    <w:rsid w:val="00230904"/>
    <w:rsid w:val="002319FF"/>
    <w:rsid w:val="0023236C"/>
    <w:rsid w:val="00233377"/>
    <w:rsid w:val="00233D00"/>
    <w:rsid w:val="00234E6D"/>
    <w:rsid w:val="0023556D"/>
    <w:rsid w:val="00235637"/>
    <w:rsid w:val="002410CD"/>
    <w:rsid w:val="00241AB4"/>
    <w:rsid w:val="00242BED"/>
    <w:rsid w:val="00243C85"/>
    <w:rsid w:val="002452AB"/>
    <w:rsid w:val="00247555"/>
    <w:rsid w:val="00251544"/>
    <w:rsid w:val="00253DC8"/>
    <w:rsid w:val="00254811"/>
    <w:rsid w:val="00254D8C"/>
    <w:rsid w:val="002555EC"/>
    <w:rsid w:val="002559CD"/>
    <w:rsid w:val="002563B3"/>
    <w:rsid w:val="00257DF2"/>
    <w:rsid w:val="0026038F"/>
    <w:rsid w:val="00260DDD"/>
    <w:rsid w:val="00261F85"/>
    <w:rsid w:val="0026307C"/>
    <w:rsid w:val="0026379B"/>
    <w:rsid w:val="00263B20"/>
    <w:rsid w:val="00263E72"/>
    <w:rsid w:val="00264D19"/>
    <w:rsid w:val="00265783"/>
    <w:rsid w:val="0026651D"/>
    <w:rsid w:val="0026798C"/>
    <w:rsid w:val="0027108C"/>
    <w:rsid w:val="00272103"/>
    <w:rsid w:val="002738E9"/>
    <w:rsid w:val="00273B40"/>
    <w:rsid w:val="002762F2"/>
    <w:rsid w:val="00276780"/>
    <w:rsid w:val="002811F7"/>
    <w:rsid w:val="00282C41"/>
    <w:rsid w:val="002830E4"/>
    <w:rsid w:val="00284F17"/>
    <w:rsid w:val="002870AE"/>
    <w:rsid w:val="002909C0"/>
    <w:rsid w:val="00290AB6"/>
    <w:rsid w:val="00291581"/>
    <w:rsid w:val="00291587"/>
    <w:rsid w:val="00294A1A"/>
    <w:rsid w:val="0029563D"/>
    <w:rsid w:val="0029678F"/>
    <w:rsid w:val="00297B7F"/>
    <w:rsid w:val="002A0D55"/>
    <w:rsid w:val="002A1D26"/>
    <w:rsid w:val="002A26EE"/>
    <w:rsid w:val="002A2CEE"/>
    <w:rsid w:val="002A531D"/>
    <w:rsid w:val="002A5837"/>
    <w:rsid w:val="002A58FB"/>
    <w:rsid w:val="002A6C50"/>
    <w:rsid w:val="002B214A"/>
    <w:rsid w:val="002B471A"/>
    <w:rsid w:val="002B4E8F"/>
    <w:rsid w:val="002C0A08"/>
    <w:rsid w:val="002C0DBE"/>
    <w:rsid w:val="002C169A"/>
    <w:rsid w:val="002C226E"/>
    <w:rsid w:val="002C23C3"/>
    <w:rsid w:val="002C35C5"/>
    <w:rsid w:val="002C3BA6"/>
    <w:rsid w:val="002C4767"/>
    <w:rsid w:val="002C4BAC"/>
    <w:rsid w:val="002C5C04"/>
    <w:rsid w:val="002C5EDF"/>
    <w:rsid w:val="002C6C23"/>
    <w:rsid w:val="002C7692"/>
    <w:rsid w:val="002D00C0"/>
    <w:rsid w:val="002D074F"/>
    <w:rsid w:val="002D11BD"/>
    <w:rsid w:val="002D2F04"/>
    <w:rsid w:val="002D3116"/>
    <w:rsid w:val="002D43B6"/>
    <w:rsid w:val="002D45B3"/>
    <w:rsid w:val="002D4720"/>
    <w:rsid w:val="002D6AE8"/>
    <w:rsid w:val="002D6B32"/>
    <w:rsid w:val="002D7916"/>
    <w:rsid w:val="002D7ADF"/>
    <w:rsid w:val="002E0975"/>
    <w:rsid w:val="002E158C"/>
    <w:rsid w:val="002E2027"/>
    <w:rsid w:val="002E24C9"/>
    <w:rsid w:val="002E3C59"/>
    <w:rsid w:val="002E52B0"/>
    <w:rsid w:val="002E5C86"/>
    <w:rsid w:val="002E5DA4"/>
    <w:rsid w:val="002E7355"/>
    <w:rsid w:val="002F0B8E"/>
    <w:rsid w:val="002F11AF"/>
    <w:rsid w:val="002F174B"/>
    <w:rsid w:val="002F2119"/>
    <w:rsid w:val="002F262F"/>
    <w:rsid w:val="002F46E7"/>
    <w:rsid w:val="002F5222"/>
    <w:rsid w:val="002F5729"/>
    <w:rsid w:val="002F7514"/>
    <w:rsid w:val="00301704"/>
    <w:rsid w:val="003017DC"/>
    <w:rsid w:val="003022EA"/>
    <w:rsid w:val="00303991"/>
    <w:rsid w:val="00304FBC"/>
    <w:rsid w:val="00305D5E"/>
    <w:rsid w:val="00305EA9"/>
    <w:rsid w:val="003067E6"/>
    <w:rsid w:val="00306CE2"/>
    <w:rsid w:val="00310CBD"/>
    <w:rsid w:val="003115F1"/>
    <w:rsid w:val="0031428A"/>
    <w:rsid w:val="00314431"/>
    <w:rsid w:val="00314E8D"/>
    <w:rsid w:val="003162CA"/>
    <w:rsid w:val="0031676D"/>
    <w:rsid w:val="00316D11"/>
    <w:rsid w:val="0032099B"/>
    <w:rsid w:val="00320CFB"/>
    <w:rsid w:val="00321864"/>
    <w:rsid w:val="00321879"/>
    <w:rsid w:val="00321C8E"/>
    <w:rsid w:val="00322339"/>
    <w:rsid w:val="0032358C"/>
    <w:rsid w:val="003242F5"/>
    <w:rsid w:val="00330BA6"/>
    <w:rsid w:val="00330F07"/>
    <w:rsid w:val="003349E2"/>
    <w:rsid w:val="003354A4"/>
    <w:rsid w:val="00335758"/>
    <w:rsid w:val="00344C11"/>
    <w:rsid w:val="00344C2F"/>
    <w:rsid w:val="003452AA"/>
    <w:rsid w:val="00351477"/>
    <w:rsid w:val="00352000"/>
    <w:rsid w:val="003529EC"/>
    <w:rsid w:val="00353449"/>
    <w:rsid w:val="00353759"/>
    <w:rsid w:val="00353BB8"/>
    <w:rsid w:val="0035515C"/>
    <w:rsid w:val="0035530C"/>
    <w:rsid w:val="00355A64"/>
    <w:rsid w:val="00355EF5"/>
    <w:rsid w:val="00356093"/>
    <w:rsid w:val="00356EA3"/>
    <w:rsid w:val="00360BB4"/>
    <w:rsid w:val="003615A5"/>
    <w:rsid w:val="00361CC1"/>
    <w:rsid w:val="00362CE4"/>
    <w:rsid w:val="003634AC"/>
    <w:rsid w:val="00363587"/>
    <w:rsid w:val="00364DAD"/>
    <w:rsid w:val="00364FB3"/>
    <w:rsid w:val="00366B9B"/>
    <w:rsid w:val="0036726C"/>
    <w:rsid w:val="0036769D"/>
    <w:rsid w:val="00367782"/>
    <w:rsid w:val="00371059"/>
    <w:rsid w:val="00371EAC"/>
    <w:rsid w:val="0037300D"/>
    <w:rsid w:val="00373075"/>
    <w:rsid w:val="00373371"/>
    <w:rsid w:val="003746B4"/>
    <w:rsid w:val="0037496C"/>
    <w:rsid w:val="00375BE7"/>
    <w:rsid w:val="003771B0"/>
    <w:rsid w:val="003773A8"/>
    <w:rsid w:val="0038001A"/>
    <w:rsid w:val="00380835"/>
    <w:rsid w:val="00381164"/>
    <w:rsid w:val="00381471"/>
    <w:rsid w:val="00381A9D"/>
    <w:rsid w:val="00382EA3"/>
    <w:rsid w:val="0038351C"/>
    <w:rsid w:val="00383E09"/>
    <w:rsid w:val="00384227"/>
    <w:rsid w:val="003846AC"/>
    <w:rsid w:val="003849D0"/>
    <w:rsid w:val="00386390"/>
    <w:rsid w:val="00387017"/>
    <w:rsid w:val="0038748B"/>
    <w:rsid w:val="00390239"/>
    <w:rsid w:val="0039053E"/>
    <w:rsid w:val="00391854"/>
    <w:rsid w:val="003921E8"/>
    <w:rsid w:val="00392384"/>
    <w:rsid w:val="003931B8"/>
    <w:rsid w:val="00393DDB"/>
    <w:rsid w:val="00393F37"/>
    <w:rsid w:val="003948FA"/>
    <w:rsid w:val="00397581"/>
    <w:rsid w:val="003979D1"/>
    <w:rsid w:val="003A11FF"/>
    <w:rsid w:val="003A2189"/>
    <w:rsid w:val="003A3644"/>
    <w:rsid w:val="003A428C"/>
    <w:rsid w:val="003A49D1"/>
    <w:rsid w:val="003A4CF5"/>
    <w:rsid w:val="003A6CEE"/>
    <w:rsid w:val="003A71AB"/>
    <w:rsid w:val="003A7E69"/>
    <w:rsid w:val="003B04BE"/>
    <w:rsid w:val="003B0DA3"/>
    <w:rsid w:val="003B1A86"/>
    <w:rsid w:val="003B24B2"/>
    <w:rsid w:val="003B321C"/>
    <w:rsid w:val="003B4240"/>
    <w:rsid w:val="003B4748"/>
    <w:rsid w:val="003B5161"/>
    <w:rsid w:val="003C0054"/>
    <w:rsid w:val="003C08B7"/>
    <w:rsid w:val="003C1241"/>
    <w:rsid w:val="003C360C"/>
    <w:rsid w:val="003C3623"/>
    <w:rsid w:val="003C3A1A"/>
    <w:rsid w:val="003C3B6E"/>
    <w:rsid w:val="003C41E2"/>
    <w:rsid w:val="003C495C"/>
    <w:rsid w:val="003C497D"/>
    <w:rsid w:val="003C6A1C"/>
    <w:rsid w:val="003C6C6A"/>
    <w:rsid w:val="003C7291"/>
    <w:rsid w:val="003C76F2"/>
    <w:rsid w:val="003D18D2"/>
    <w:rsid w:val="003D2205"/>
    <w:rsid w:val="003D29B0"/>
    <w:rsid w:val="003D3EC5"/>
    <w:rsid w:val="003D3F79"/>
    <w:rsid w:val="003D4924"/>
    <w:rsid w:val="003D5F74"/>
    <w:rsid w:val="003E1F61"/>
    <w:rsid w:val="003E21C3"/>
    <w:rsid w:val="003E2D56"/>
    <w:rsid w:val="003E3111"/>
    <w:rsid w:val="003E3C25"/>
    <w:rsid w:val="003E3EAB"/>
    <w:rsid w:val="003E6A6D"/>
    <w:rsid w:val="003E75A4"/>
    <w:rsid w:val="003E7CD3"/>
    <w:rsid w:val="003F370D"/>
    <w:rsid w:val="003F5235"/>
    <w:rsid w:val="003F6948"/>
    <w:rsid w:val="003F6ADA"/>
    <w:rsid w:val="003F6C9A"/>
    <w:rsid w:val="003F704D"/>
    <w:rsid w:val="00401779"/>
    <w:rsid w:val="004023ED"/>
    <w:rsid w:val="00403963"/>
    <w:rsid w:val="0040418A"/>
    <w:rsid w:val="00404A06"/>
    <w:rsid w:val="00404D8B"/>
    <w:rsid w:val="00405C4C"/>
    <w:rsid w:val="00407CD9"/>
    <w:rsid w:val="004104DE"/>
    <w:rsid w:val="004112DE"/>
    <w:rsid w:val="00411310"/>
    <w:rsid w:val="00413590"/>
    <w:rsid w:val="00414202"/>
    <w:rsid w:val="004158D5"/>
    <w:rsid w:val="00415CDC"/>
    <w:rsid w:val="004165DE"/>
    <w:rsid w:val="004170E3"/>
    <w:rsid w:val="00417133"/>
    <w:rsid w:val="00420A16"/>
    <w:rsid w:val="00420B92"/>
    <w:rsid w:val="0042162B"/>
    <w:rsid w:val="00423A6C"/>
    <w:rsid w:val="00423B95"/>
    <w:rsid w:val="0042442E"/>
    <w:rsid w:val="00431282"/>
    <w:rsid w:val="004315B1"/>
    <w:rsid w:val="004328DB"/>
    <w:rsid w:val="00436198"/>
    <w:rsid w:val="0044128E"/>
    <w:rsid w:val="00441494"/>
    <w:rsid w:val="00441A38"/>
    <w:rsid w:val="004432EA"/>
    <w:rsid w:val="00443E51"/>
    <w:rsid w:val="004474A1"/>
    <w:rsid w:val="0045086C"/>
    <w:rsid w:val="00450BE0"/>
    <w:rsid w:val="00451341"/>
    <w:rsid w:val="004529FD"/>
    <w:rsid w:val="00455370"/>
    <w:rsid w:val="00455DBC"/>
    <w:rsid w:val="00455F84"/>
    <w:rsid w:val="00457B5B"/>
    <w:rsid w:val="004627E1"/>
    <w:rsid w:val="00463AC0"/>
    <w:rsid w:val="0046462B"/>
    <w:rsid w:val="00464630"/>
    <w:rsid w:val="00466E38"/>
    <w:rsid w:val="00474312"/>
    <w:rsid w:val="004744DC"/>
    <w:rsid w:val="00475A7A"/>
    <w:rsid w:val="00476543"/>
    <w:rsid w:val="004765D7"/>
    <w:rsid w:val="00477115"/>
    <w:rsid w:val="00477781"/>
    <w:rsid w:val="0048088C"/>
    <w:rsid w:val="00480EA5"/>
    <w:rsid w:val="00481317"/>
    <w:rsid w:val="0048266C"/>
    <w:rsid w:val="00482E9F"/>
    <w:rsid w:val="00483389"/>
    <w:rsid w:val="004848F6"/>
    <w:rsid w:val="00484B36"/>
    <w:rsid w:val="0048509C"/>
    <w:rsid w:val="004874D1"/>
    <w:rsid w:val="0048777C"/>
    <w:rsid w:val="00492D9A"/>
    <w:rsid w:val="004930EE"/>
    <w:rsid w:val="0049332E"/>
    <w:rsid w:val="00494222"/>
    <w:rsid w:val="004949C7"/>
    <w:rsid w:val="00494DAF"/>
    <w:rsid w:val="004A3164"/>
    <w:rsid w:val="004A3FAD"/>
    <w:rsid w:val="004A4819"/>
    <w:rsid w:val="004A49F9"/>
    <w:rsid w:val="004A6064"/>
    <w:rsid w:val="004A67FA"/>
    <w:rsid w:val="004A7083"/>
    <w:rsid w:val="004B2170"/>
    <w:rsid w:val="004B37AE"/>
    <w:rsid w:val="004B6E46"/>
    <w:rsid w:val="004B6EB3"/>
    <w:rsid w:val="004B6EF8"/>
    <w:rsid w:val="004C0577"/>
    <w:rsid w:val="004C19D1"/>
    <w:rsid w:val="004C3334"/>
    <w:rsid w:val="004C334F"/>
    <w:rsid w:val="004C39B1"/>
    <w:rsid w:val="004C452A"/>
    <w:rsid w:val="004C5CF4"/>
    <w:rsid w:val="004C6126"/>
    <w:rsid w:val="004C6AC9"/>
    <w:rsid w:val="004C7911"/>
    <w:rsid w:val="004C7C86"/>
    <w:rsid w:val="004C7CBD"/>
    <w:rsid w:val="004D0086"/>
    <w:rsid w:val="004D2F1B"/>
    <w:rsid w:val="004D3357"/>
    <w:rsid w:val="004D59EC"/>
    <w:rsid w:val="004D7DD4"/>
    <w:rsid w:val="004E0AB7"/>
    <w:rsid w:val="004E18DA"/>
    <w:rsid w:val="004E1B99"/>
    <w:rsid w:val="004E1EF1"/>
    <w:rsid w:val="004E26E8"/>
    <w:rsid w:val="004E40D1"/>
    <w:rsid w:val="004E47D3"/>
    <w:rsid w:val="004E72C9"/>
    <w:rsid w:val="004E78FB"/>
    <w:rsid w:val="004F1EB4"/>
    <w:rsid w:val="004F2819"/>
    <w:rsid w:val="004F2DC0"/>
    <w:rsid w:val="004F3823"/>
    <w:rsid w:val="004F3ADE"/>
    <w:rsid w:val="004F728B"/>
    <w:rsid w:val="004F7959"/>
    <w:rsid w:val="00501132"/>
    <w:rsid w:val="00501E6B"/>
    <w:rsid w:val="00502061"/>
    <w:rsid w:val="00502A09"/>
    <w:rsid w:val="005043BB"/>
    <w:rsid w:val="005048BD"/>
    <w:rsid w:val="005157C9"/>
    <w:rsid w:val="0051582F"/>
    <w:rsid w:val="005160AB"/>
    <w:rsid w:val="005166BB"/>
    <w:rsid w:val="005175C7"/>
    <w:rsid w:val="0051797D"/>
    <w:rsid w:val="00517BBE"/>
    <w:rsid w:val="00520BDF"/>
    <w:rsid w:val="00521749"/>
    <w:rsid w:val="005221FC"/>
    <w:rsid w:val="00522359"/>
    <w:rsid w:val="00524218"/>
    <w:rsid w:val="00525AB2"/>
    <w:rsid w:val="00526A13"/>
    <w:rsid w:val="00526B11"/>
    <w:rsid w:val="00530C06"/>
    <w:rsid w:val="005321E6"/>
    <w:rsid w:val="0053490F"/>
    <w:rsid w:val="00534A23"/>
    <w:rsid w:val="00535FCC"/>
    <w:rsid w:val="00540978"/>
    <w:rsid w:val="00540ECE"/>
    <w:rsid w:val="00541FE9"/>
    <w:rsid w:val="00542983"/>
    <w:rsid w:val="005433FF"/>
    <w:rsid w:val="00543703"/>
    <w:rsid w:val="005446D6"/>
    <w:rsid w:val="00544B58"/>
    <w:rsid w:val="005457EB"/>
    <w:rsid w:val="005462B8"/>
    <w:rsid w:val="00550094"/>
    <w:rsid w:val="0055338F"/>
    <w:rsid w:val="00553845"/>
    <w:rsid w:val="0055388D"/>
    <w:rsid w:val="00554050"/>
    <w:rsid w:val="00554429"/>
    <w:rsid w:val="00555526"/>
    <w:rsid w:val="005561AC"/>
    <w:rsid w:val="005568AF"/>
    <w:rsid w:val="00560BE5"/>
    <w:rsid w:val="00560C18"/>
    <w:rsid w:val="00560F08"/>
    <w:rsid w:val="005616FD"/>
    <w:rsid w:val="00562CBC"/>
    <w:rsid w:val="00563850"/>
    <w:rsid w:val="005709F4"/>
    <w:rsid w:val="00571648"/>
    <w:rsid w:val="00572102"/>
    <w:rsid w:val="00572E7B"/>
    <w:rsid w:val="00574C8A"/>
    <w:rsid w:val="00575B7A"/>
    <w:rsid w:val="005800CE"/>
    <w:rsid w:val="00582964"/>
    <w:rsid w:val="00583463"/>
    <w:rsid w:val="00583BAC"/>
    <w:rsid w:val="0058421C"/>
    <w:rsid w:val="005865D4"/>
    <w:rsid w:val="00587972"/>
    <w:rsid w:val="00590CDB"/>
    <w:rsid w:val="00592788"/>
    <w:rsid w:val="0059358F"/>
    <w:rsid w:val="005944F6"/>
    <w:rsid w:val="00594BCE"/>
    <w:rsid w:val="00595187"/>
    <w:rsid w:val="0059738C"/>
    <w:rsid w:val="00597922"/>
    <w:rsid w:val="00597C91"/>
    <w:rsid w:val="005A1DCE"/>
    <w:rsid w:val="005A3292"/>
    <w:rsid w:val="005A3514"/>
    <w:rsid w:val="005A4B9A"/>
    <w:rsid w:val="005A5A6B"/>
    <w:rsid w:val="005A5AB9"/>
    <w:rsid w:val="005A64E1"/>
    <w:rsid w:val="005A72E3"/>
    <w:rsid w:val="005B107C"/>
    <w:rsid w:val="005B1EC5"/>
    <w:rsid w:val="005B3066"/>
    <w:rsid w:val="005B4443"/>
    <w:rsid w:val="005B4FED"/>
    <w:rsid w:val="005B5139"/>
    <w:rsid w:val="005B573F"/>
    <w:rsid w:val="005C1045"/>
    <w:rsid w:val="005C1AF2"/>
    <w:rsid w:val="005C1E11"/>
    <w:rsid w:val="005C2CF8"/>
    <w:rsid w:val="005C3632"/>
    <w:rsid w:val="005C3C3F"/>
    <w:rsid w:val="005C3F9C"/>
    <w:rsid w:val="005C6CC8"/>
    <w:rsid w:val="005C766F"/>
    <w:rsid w:val="005D2467"/>
    <w:rsid w:val="005D271D"/>
    <w:rsid w:val="005D30DF"/>
    <w:rsid w:val="005D364B"/>
    <w:rsid w:val="005D3845"/>
    <w:rsid w:val="005D3D5F"/>
    <w:rsid w:val="005D563A"/>
    <w:rsid w:val="005D5E5D"/>
    <w:rsid w:val="005D5EAA"/>
    <w:rsid w:val="005D66B5"/>
    <w:rsid w:val="005E10F6"/>
    <w:rsid w:val="005E30E9"/>
    <w:rsid w:val="005E37B1"/>
    <w:rsid w:val="005E3994"/>
    <w:rsid w:val="005E70E2"/>
    <w:rsid w:val="005F0AB6"/>
    <w:rsid w:val="005F2896"/>
    <w:rsid w:val="005F31F5"/>
    <w:rsid w:val="005F4092"/>
    <w:rsid w:val="005F668E"/>
    <w:rsid w:val="005F7854"/>
    <w:rsid w:val="00601E61"/>
    <w:rsid w:val="006043F8"/>
    <w:rsid w:val="006044DC"/>
    <w:rsid w:val="006058CF"/>
    <w:rsid w:val="00606286"/>
    <w:rsid w:val="00611F23"/>
    <w:rsid w:val="00612121"/>
    <w:rsid w:val="00612825"/>
    <w:rsid w:val="00614D74"/>
    <w:rsid w:val="00615D3D"/>
    <w:rsid w:val="0061621E"/>
    <w:rsid w:val="006167D3"/>
    <w:rsid w:val="0061797C"/>
    <w:rsid w:val="00620A28"/>
    <w:rsid w:val="0062243B"/>
    <w:rsid w:val="00624649"/>
    <w:rsid w:val="00625076"/>
    <w:rsid w:val="00625609"/>
    <w:rsid w:val="00626642"/>
    <w:rsid w:val="00626826"/>
    <w:rsid w:val="00632CF6"/>
    <w:rsid w:val="0063430C"/>
    <w:rsid w:val="00634F19"/>
    <w:rsid w:val="006363D9"/>
    <w:rsid w:val="00636846"/>
    <w:rsid w:val="0064026D"/>
    <w:rsid w:val="00640A4E"/>
    <w:rsid w:val="00642279"/>
    <w:rsid w:val="00642846"/>
    <w:rsid w:val="0064295E"/>
    <w:rsid w:val="00643D92"/>
    <w:rsid w:val="00644C69"/>
    <w:rsid w:val="00645741"/>
    <w:rsid w:val="00647793"/>
    <w:rsid w:val="00650512"/>
    <w:rsid w:val="0065118D"/>
    <w:rsid w:val="006526D3"/>
    <w:rsid w:val="00653F70"/>
    <w:rsid w:val="006549FC"/>
    <w:rsid w:val="00655BDC"/>
    <w:rsid w:val="0065775F"/>
    <w:rsid w:val="006577F1"/>
    <w:rsid w:val="00660247"/>
    <w:rsid w:val="0066106B"/>
    <w:rsid w:val="0066116C"/>
    <w:rsid w:val="00661615"/>
    <w:rsid w:val="00662487"/>
    <w:rsid w:val="00662FBE"/>
    <w:rsid w:val="00663CD1"/>
    <w:rsid w:val="006641A1"/>
    <w:rsid w:val="006666C9"/>
    <w:rsid w:val="00666E77"/>
    <w:rsid w:val="00667985"/>
    <w:rsid w:val="00671646"/>
    <w:rsid w:val="006719F4"/>
    <w:rsid w:val="006726B8"/>
    <w:rsid w:val="00673AD2"/>
    <w:rsid w:val="006746E3"/>
    <w:rsid w:val="006771B1"/>
    <w:rsid w:val="006776CB"/>
    <w:rsid w:val="006801B8"/>
    <w:rsid w:val="00682857"/>
    <w:rsid w:val="00683921"/>
    <w:rsid w:val="00684274"/>
    <w:rsid w:val="0068440D"/>
    <w:rsid w:val="006845FA"/>
    <w:rsid w:val="0068540D"/>
    <w:rsid w:val="00685E62"/>
    <w:rsid w:val="00690B06"/>
    <w:rsid w:val="00691BCF"/>
    <w:rsid w:val="006967F0"/>
    <w:rsid w:val="00697A64"/>
    <w:rsid w:val="006A0CDC"/>
    <w:rsid w:val="006A1B5B"/>
    <w:rsid w:val="006A1C13"/>
    <w:rsid w:val="006A394E"/>
    <w:rsid w:val="006A3D24"/>
    <w:rsid w:val="006A456D"/>
    <w:rsid w:val="006A5234"/>
    <w:rsid w:val="006A6021"/>
    <w:rsid w:val="006A607E"/>
    <w:rsid w:val="006A643A"/>
    <w:rsid w:val="006B0AEE"/>
    <w:rsid w:val="006B0C75"/>
    <w:rsid w:val="006B11EF"/>
    <w:rsid w:val="006B26A9"/>
    <w:rsid w:val="006B5E2C"/>
    <w:rsid w:val="006B628D"/>
    <w:rsid w:val="006B6F10"/>
    <w:rsid w:val="006C01A3"/>
    <w:rsid w:val="006C04FF"/>
    <w:rsid w:val="006C1E41"/>
    <w:rsid w:val="006C2A56"/>
    <w:rsid w:val="006C3F99"/>
    <w:rsid w:val="006C464F"/>
    <w:rsid w:val="006C4F61"/>
    <w:rsid w:val="006C58AB"/>
    <w:rsid w:val="006C600F"/>
    <w:rsid w:val="006C6845"/>
    <w:rsid w:val="006C6F62"/>
    <w:rsid w:val="006D05AC"/>
    <w:rsid w:val="006D05D0"/>
    <w:rsid w:val="006D0E9F"/>
    <w:rsid w:val="006D1E79"/>
    <w:rsid w:val="006D260E"/>
    <w:rsid w:val="006D2A34"/>
    <w:rsid w:val="006D36C6"/>
    <w:rsid w:val="006D37C5"/>
    <w:rsid w:val="006D3A55"/>
    <w:rsid w:val="006D5084"/>
    <w:rsid w:val="006D517F"/>
    <w:rsid w:val="006D5498"/>
    <w:rsid w:val="006D573C"/>
    <w:rsid w:val="006D5B04"/>
    <w:rsid w:val="006D6580"/>
    <w:rsid w:val="006D6581"/>
    <w:rsid w:val="006D6756"/>
    <w:rsid w:val="006D73B3"/>
    <w:rsid w:val="006D7F10"/>
    <w:rsid w:val="006E068A"/>
    <w:rsid w:val="006E1501"/>
    <w:rsid w:val="006E2013"/>
    <w:rsid w:val="006E27A6"/>
    <w:rsid w:val="006E351D"/>
    <w:rsid w:val="006E36A3"/>
    <w:rsid w:val="006E477D"/>
    <w:rsid w:val="006E4B0E"/>
    <w:rsid w:val="006E6F67"/>
    <w:rsid w:val="006E75C3"/>
    <w:rsid w:val="006F0FC1"/>
    <w:rsid w:val="006F2D5B"/>
    <w:rsid w:val="006F2EFC"/>
    <w:rsid w:val="006F359B"/>
    <w:rsid w:val="006F443F"/>
    <w:rsid w:val="006F47DE"/>
    <w:rsid w:val="006F4907"/>
    <w:rsid w:val="006F501B"/>
    <w:rsid w:val="006F5720"/>
    <w:rsid w:val="006F5A87"/>
    <w:rsid w:val="006F6DA0"/>
    <w:rsid w:val="006F7BDA"/>
    <w:rsid w:val="0070252D"/>
    <w:rsid w:val="00704243"/>
    <w:rsid w:val="007054A6"/>
    <w:rsid w:val="00707A3E"/>
    <w:rsid w:val="00707A91"/>
    <w:rsid w:val="0071119E"/>
    <w:rsid w:val="007125A8"/>
    <w:rsid w:val="00712C4D"/>
    <w:rsid w:val="007136FF"/>
    <w:rsid w:val="00713CFF"/>
    <w:rsid w:val="00714C96"/>
    <w:rsid w:val="00715224"/>
    <w:rsid w:val="00717E38"/>
    <w:rsid w:val="00720080"/>
    <w:rsid w:val="00720E70"/>
    <w:rsid w:val="00721ECE"/>
    <w:rsid w:val="00723AA2"/>
    <w:rsid w:val="00724314"/>
    <w:rsid w:val="00726507"/>
    <w:rsid w:val="00726F7F"/>
    <w:rsid w:val="00727600"/>
    <w:rsid w:val="00727AC5"/>
    <w:rsid w:val="00730FEE"/>
    <w:rsid w:val="00731060"/>
    <w:rsid w:val="0073142F"/>
    <w:rsid w:val="007318C9"/>
    <w:rsid w:val="007319C3"/>
    <w:rsid w:val="00731F6B"/>
    <w:rsid w:val="00732E0A"/>
    <w:rsid w:val="00733486"/>
    <w:rsid w:val="00734C14"/>
    <w:rsid w:val="0073521B"/>
    <w:rsid w:val="0073590B"/>
    <w:rsid w:val="007407A9"/>
    <w:rsid w:val="00741425"/>
    <w:rsid w:val="007423C4"/>
    <w:rsid w:val="0074341A"/>
    <w:rsid w:val="0074585A"/>
    <w:rsid w:val="0074704C"/>
    <w:rsid w:val="00747E46"/>
    <w:rsid w:val="007505FC"/>
    <w:rsid w:val="007515BB"/>
    <w:rsid w:val="00751D1E"/>
    <w:rsid w:val="00751F63"/>
    <w:rsid w:val="007522AA"/>
    <w:rsid w:val="00753083"/>
    <w:rsid w:val="00756385"/>
    <w:rsid w:val="0075737B"/>
    <w:rsid w:val="007606A6"/>
    <w:rsid w:val="00761D48"/>
    <w:rsid w:val="007626C6"/>
    <w:rsid w:val="00762F17"/>
    <w:rsid w:val="00763B77"/>
    <w:rsid w:val="00764504"/>
    <w:rsid w:val="007652BE"/>
    <w:rsid w:val="007655E7"/>
    <w:rsid w:val="00765F3F"/>
    <w:rsid w:val="00766E0C"/>
    <w:rsid w:val="00767F1F"/>
    <w:rsid w:val="007720F6"/>
    <w:rsid w:val="0077245A"/>
    <w:rsid w:val="00774C0D"/>
    <w:rsid w:val="00775E50"/>
    <w:rsid w:val="007764C1"/>
    <w:rsid w:val="00777451"/>
    <w:rsid w:val="007825AB"/>
    <w:rsid w:val="00784637"/>
    <w:rsid w:val="00785238"/>
    <w:rsid w:val="00785AEB"/>
    <w:rsid w:val="00785E43"/>
    <w:rsid w:val="0078642D"/>
    <w:rsid w:val="00786CBB"/>
    <w:rsid w:val="00787D33"/>
    <w:rsid w:val="00787D3B"/>
    <w:rsid w:val="00787F5C"/>
    <w:rsid w:val="007907CC"/>
    <w:rsid w:val="00790C87"/>
    <w:rsid w:val="00790EA6"/>
    <w:rsid w:val="007918C5"/>
    <w:rsid w:val="007919FA"/>
    <w:rsid w:val="00792FE1"/>
    <w:rsid w:val="00793CAA"/>
    <w:rsid w:val="00796AEC"/>
    <w:rsid w:val="00797784"/>
    <w:rsid w:val="007979BC"/>
    <w:rsid w:val="007A0E35"/>
    <w:rsid w:val="007A30B5"/>
    <w:rsid w:val="007A31BB"/>
    <w:rsid w:val="007A46CF"/>
    <w:rsid w:val="007A4A07"/>
    <w:rsid w:val="007A4AF0"/>
    <w:rsid w:val="007A531F"/>
    <w:rsid w:val="007A582B"/>
    <w:rsid w:val="007A624A"/>
    <w:rsid w:val="007B0710"/>
    <w:rsid w:val="007B31D8"/>
    <w:rsid w:val="007B3A7D"/>
    <w:rsid w:val="007B414D"/>
    <w:rsid w:val="007B42BF"/>
    <w:rsid w:val="007B51AA"/>
    <w:rsid w:val="007B67AD"/>
    <w:rsid w:val="007B67E9"/>
    <w:rsid w:val="007B74CF"/>
    <w:rsid w:val="007C0937"/>
    <w:rsid w:val="007C0C9F"/>
    <w:rsid w:val="007C0D64"/>
    <w:rsid w:val="007C0FC7"/>
    <w:rsid w:val="007C3DA8"/>
    <w:rsid w:val="007C4DAE"/>
    <w:rsid w:val="007C5476"/>
    <w:rsid w:val="007C5C25"/>
    <w:rsid w:val="007C73ED"/>
    <w:rsid w:val="007D08D2"/>
    <w:rsid w:val="007D17EA"/>
    <w:rsid w:val="007D203D"/>
    <w:rsid w:val="007D2866"/>
    <w:rsid w:val="007D34CE"/>
    <w:rsid w:val="007D43BB"/>
    <w:rsid w:val="007D480F"/>
    <w:rsid w:val="007D4C03"/>
    <w:rsid w:val="007D4E7A"/>
    <w:rsid w:val="007D5730"/>
    <w:rsid w:val="007D6CCE"/>
    <w:rsid w:val="007E0BED"/>
    <w:rsid w:val="007E1120"/>
    <w:rsid w:val="007E14F4"/>
    <w:rsid w:val="007E1549"/>
    <w:rsid w:val="007E1EF9"/>
    <w:rsid w:val="007E26E3"/>
    <w:rsid w:val="007E3B1B"/>
    <w:rsid w:val="007E3D7B"/>
    <w:rsid w:val="007E4C18"/>
    <w:rsid w:val="007E6E02"/>
    <w:rsid w:val="007F11E3"/>
    <w:rsid w:val="007F2DA6"/>
    <w:rsid w:val="007F3DFA"/>
    <w:rsid w:val="007F4B74"/>
    <w:rsid w:val="00800D3C"/>
    <w:rsid w:val="00801B78"/>
    <w:rsid w:val="00803107"/>
    <w:rsid w:val="008046BD"/>
    <w:rsid w:val="00805211"/>
    <w:rsid w:val="00807881"/>
    <w:rsid w:val="0081203C"/>
    <w:rsid w:val="00812D4F"/>
    <w:rsid w:val="00813229"/>
    <w:rsid w:val="00815AC4"/>
    <w:rsid w:val="00816AAE"/>
    <w:rsid w:val="00817FD0"/>
    <w:rsid w:val="008262C3"/>
    <w:rsid w:val="00826353"/>
    <w:rsid w:val="00827D37"/>
    <w:rsid w:val="00831C84"/>
    <w:rsid w:val="00832248"/>
    <w:rsid w:val="00834A07"/>
    <w:rsid w:val="00834A54"/>
    <w:rsid w:val="0083524A"/>
    <w:rsid w:val="00836CB8"/>
    <w:rsid w:val="00836CF7"/>
    <w:rsid w:val="00836EFB"/>
    <w:rsid w:val="00837948"/>
    <w:rsid w:val="008403B7"/>
    <w:rsid w:val="00841AEC"/>
    <w:rsid w:val="00843D9A"/>
    <w:rsid w:val="00843FE5"/>
    <w:rsid w:val="00844EF1"/>
    <w:rsid w:val="0084734F"/>
    <w:rsid w:val="008478C8"/>
    <w:rsid w:val="008502F8"/>
    <w:rsid w:val="00851194"/>
    <w:rsid w:val="008520FA"/>
    <w:rsid w:val="008525FF"/>
    <w:rsid w:val="00852626"/>
    <w:rsid w:val="00854AD8"/>
    <w:rsid w:val="00854D9D"/>
    <w:rsid w:val="00855C05"/>
    <w:rsid w:val="00856810"/>
    <w:rsid w:val="00857768"/>
    <w:rsid w:val="00857F06"/>
    <w:rsid w:val="0086095D"/>
    <w:rsid w:val="00860D0E"/>
    <w:rsid w:val="008620C3"/>
    <w:rsid w:val="00863A78"/>
    <w:rsid w:val="0086495D"/>
    <w:rsid w:val="0086731E"/>
    <w:rsid w:val="00867692"/>
    <w:rsid w:val="008704A3"/>
    <w:rsid w:val="008714A9"/>
    <w:rsid w:val="008716EA"/>
    <w:rsid w:val="00871FC1"/>
    <w:rsid w:val="00872DD8"/>
    <w:rsid w:val="008736E6"/>
    <w:rsid w:val="0087652C"/>
    <w:rsid w:val="0087775A"/>
    <w:rsid w:val="00880ED4"/>
    <w:rsid w:val="008842B6"/>
    <w:rsid w:val="00884527"/>
    <w:rsid w:val="00884F76"/>
    <w:rsid w:val="0088608B"/>
    <w:rsid w:val="008863FC"/>
    <w:rsid w:val="008868B1"/>
    <w:rsid w:val="008907DF"/>
    <w:rsid w:val="00891230"/>
    <w:rsid w:val="0089189F"/>
    <w:rsid w:val="00891CC7"/>
    <w:rsid w:val="00892685"/>
    <w:rsid w:val="00892A35"/>
    <w:rsid w:val="008953F3"/>
    <w:rsid w:val="00895415"/>
    <w:rsid w:val="00895AC7"/>
    <w:rsid w:val="008961B3"/>
    <w:rsid w:val="008A0ECA"/>
    <w:rsid w:val="008A1138"/>
    <w:rsid w:val="008A4054"/>
    <w:rsid w:val="008A4B5A"/>
    <w:rsid w:val="008A5379"/>
    <w:rsid w:val="008A5ED9"/>
    <w:rsid w:val="008A7085"/>
    <w:rsid w:val="008B0303"/>
    <w:rsid w:val="008B059F"/>
    <w:rsid w:val="008B078A"/>
    <w:rsid w:val="008B1FB6"/>
    <w:rsid w:val="008B27DF"/>
    <w:rsid w:val="008B3CB8"/>
    <w:rsid w:val="008B3F73"/>
    <w:rsid w:val="008B44C6"/>
    <w:rsid w:val="008B48C0"/>
    <w:rsid w:val="008B61A2"/>
    <w:rsid w:val="008B7341"/>
    <w:rsid w:val="008B773A"/>
    <w:rsid w:val="008C238E"/>
    <w:rsid w:val="008C468B"/>
    <w:rsid w:val="008C4770"/>
    <w:rsid w:val="008C5820"/>
    <w:rsid w:val="008C5E6E"/>
    <w:rsid w:val="008C6256"/>
    <w:rsid w:val="008C67E1"/>
    <w:rsid w:val="008C6EC4"/>
    <w:rsid w:val="008C78A4"/>
    <w:rsid w:val="008D07B9"/>
    <w:rsid w:val="008D0B78"/>
    <w:rsid w:val="008D2630"/>
    <w:rsid w:val="008D2FA8"/>
    <w:rsid w:val="008D3054"/>
    <w:rsid w:val="008D327E"/>
    <w:rsid w:val="008D35A9"/>
    <w:rsid w:val="008D4F86"/>
    <w:rsid w:val="008D5545"/>
    <w:rsid w:val="008E2F88"/>
    <w:rsid w:val="008E51B8"/>
    <w:rsid w:val="008E5646"/>
    <w:rsid w:val="008F0BD9"/>
    <w:rsid w:val="008F1DA9"/>
    <w:rsid w:val="008F392C"/>
    <w:rsid w:val="008F51BA"/>
    <w:rsid w:val="008F55D3"/>
    <w:rsid w:val="008F5829"/>
    <w:rsid w:val="008F5CC9"/>
    <w:rsid w:val="008F7B99"/>
    <w:rsid w:val="00901228"/>
    <w:rsid w:val="00901E39"/>
    <w:rsid w:val="00902426"/>
    <w:rsid w:val="0090268E"/>
    <w:rsid w:val="009030DF"/>
    <w:rsid w:val="009044F2"/>
    <w:rsid w:val="009055CC"/>
    <w:rsid w:val="00905C30"/>
    <w:rsid w:val="00906182"/>
    <w:rsid w:val="00906A4F"/>
    <w:rsid w:val="009105E2"/>
    <w:rsid w:val="00911D85"/>
    <w:rsid w:val="00911E1F"/>
    <w:rsid w:val="0091207B"/>
    <w:rsid w:val="0091267B"/>
    <w:rsid w:val="009141C9"/>
    <w:rsid w:val="00915CE0"/>
    <w:rsid w:val="00917A43"/>
    <w:rsid w:val="00921FB9"/>
    <w:rsid w:val="009241A9"/>
    <w:rsid w:val="009249DB"/>
    <w:rsid w:val="00924DF1"/>
    <w:rsid w:val="009308F4"/>
    <w:rsid w:val="00931BD5"/>
    <w:rsid w:val="00933FCC"/>
    <w:rsid w:val="0093534E"/>
    <w:rsid w:val="009355A4"/>
    <w:rsid w:val="00936AC3"/>
    <w:rsid w:val="00937480"/>
    <w:rsid w:val="0093779D"/>
    <w:rsid w:val="009407D2"/>
    <w:rsid w:val="00941AF5"/>
    <w:rsid w:val="00943AEF"/>
    <w:rsid w:val="00944EE2"/>
    <w:rsid w:val="00945918"/>
    <w:rsid w:val="00945EF1"/>
    <w:rsid w:val="00946099"/>
    <w:rsid w:val="0094779A"/>
    <w:rsid w:val="00950ED9"/>
    <w:rsid w:val="00950F4A"/>
    <w:rsid w:val="00951F0B"/>
    <w:rsid w:val="0095471C"/>
    <w:rsid w:val="00955815"/>
    <w:rsid w:val="009571C3"/>
    <w:rsid w:val="009578A0"/>
    <w:rsid w:val="00957A59"/>
    <w:rsid w:val="00957CC8"/>
    <w:rsid w:val="009601EB"/>
    <w:rsid w:val="00960F78"/>
    <w:rsid w:val="009623CE"/>
    <w:rsid w:val="00962858"/>
    <w:rsid w:val="009632B5"/>
    <w:rsid w:val="00963EC4"/>
    <w:rsid w:val="00964F48"/>
    <w:rsid w:val="009676DA"/>
    <w:rsid w:val="00971CEE"/>
    <w:rsid w:val="009721F9"/>
    <w:rsid w:val="0097244F"/>
    <w:rsid w:val="00972B6B"/>
    <w:rsid w:val="00975C4C"/>
    <w:rsid w:val="00975C70"/>
    <w:rsid w:val="00976ACF"/>
    <w:rsid w:val="00976CB3"/>
    <w:rsid w:val="00976E12"/>
    <w:rsid w:val="00977306"/>
    <w:rsid w:val="0097731B"/>
    <w:rsid w:val="00980AED"/>
    <w:rsid w:val="00980EAB"/>
    <w:rsid w:val="00981C81"/>
    <w:rsid w:val="00981C85"/>
    <w:rsid w:val="009822E0"/>
    <w:rsid w:val="0098235D"/>
    <w:rsid w:val="00982417"/>
    <w:rsid w:val="00982B5F"/>
    <w:rsid w:val="00983C46"/>
    <w:rsid w:val="0098407B"/>
    <w:rsid w:val="009844CF"/>
    <w:rsid w:val="00984A1D"/>
    <w:rsid w:val="00984F69"/>
    <w:rsid w:val="0098714B"/>
    <w:rsid w:val="009879C5"/>
    <w:rsid w:val="00987CFE"/>
    <w:rsid w:val="009901AF"/>
    <w:rsid w:val="0099037A"/>
    <w:rsid w:val="00992037"/>
    <w:rsid w:val="00992D45"/>
    <w:rsid w:val="00993E68"/>
    <w:rsid w:val="00994C5A"/>
    <w:rsid w:val="009A0D28"/>
    <w:rsid w:val="009A3743"/>
    <w:rsid w:val="009A444B"/>
    <w:rsid w:val="009A631E"/>
    <w:rsid w:val="009A6344"/>
    <w:rsid w:val="009A7039"/>
    <w:rsid w:val="009B03DB"/>
    <w:rsid w:val="009B05A2"/>
    <w:rsid w:val="009B0B2B"/>
    <w:rsid w:val="009B112B"/>
    <w:rsid w:val="009B356E"/>
    <w:rsid w:val="009B78F0"/>
    <w:rsid w:val="009B7E31"/>
    <w:rsid w:val="009C082C"/>
    <w:rsid w:val="009C0C8A"/>
    <w:rsid w:val="009C1176"/>
    <w:rsid w:val="009C11D6"/>
    <w:rsid w:val="009C315B"/>
    <w:rsid w:val="009C403E"/>
    <w:rsid w:val="009C6ECC"/>
    <w:rsid w:val="009C6FCF"/>
    <w:rsid w:val="009D031C"/>
    <w:rsid w:val="009D05B9"/>
    <w:rsid w:val="009D242E"/>
    <w:rsid w:val="009D3F37"/>
    <w:rsid w:val="009D48E2"/>
    <w:rsid w:val="009D6E07"/>
    <w:rsid w:val="009D6EE8"/>
    <w:rsid w:val="009E0249"/>
    <w:rsid w:val="009E26FC"/>
    <w:rsid w:val="009E2821"/>
    <w:rsid w:val="009E2B1C"/>
    <w:rsid w:val="009E3040"/>
    <w:rsid w:val="009E3492"/>
    <w:rsid w:val="009E386D"/>
    <w:rsid w:val="009E57EB"/>
    <w:rsid w:val="009E5FB4"/>
    <w:rsid w:val="009E68E8"/>
    <w:rsid w:val="009E7C8E"/>
    <w:rsid w:val="009F2352"/>
    <w:rsid w:val="009F2B06"/>
    <w:rsid w:val="009F37FD"/>
    <w:rsid w:val="009F3F4E"/>
    <w:rsid w:val="009F43F7"/>
    <w:rsid w:val="009F60C5"/>
    <w:rsid w:val="00A00A3B"/>
    <w:rsid w:val="00A00AEB"/>
    <w:rsid w:val="00A01FD2"/>
    <w:rsid w:val="00A02465"/>
    <w:rsid w:val="00A02C8A"/>
    <w:rsid w:val="00A051FD"/>
    <w:rsid w:val="00A0551B"/>
    <w:rsid w:val="00A05869"/>
    <w:rsid w:val="00A066E8"/>
    <w:rsid w:val="00A0793A"/>
    <w:rsid w:val="00A07A61"/>
    <w:rsid w:val="00A07A82"/>
    <w:rsid w:val="00A07F1C"/>
    <w:rsid w:val="00A101E4"/>
    <w:rsid w:val="00A101E5"/>
    <w:rsid w:val="00A111A2"/>
    <w:rsid w:val="00A11652"/>
    <w:rsid w:val="00A1223B"/>
    <w:rsid w:val="00A122E2"/>
    <w:rsid w:val="00A14E39"/>
    <w:rsid w:val="00A16EED"/>
    <w:rsid w:val="00A211B0"/>
    <w:rsid w:val="00A22B65"/>
    <w:rsid w:val="00A24CA5"/>
    <w:rsid w:val="00A2501E"/>
    <w:rsid w:val="00A25236"/>
    <w:rsid w:val="00A259D1"/>
    <w:rsid w:val="00A26B5F"/>
    <w:rsid w:val="00A303E4"/>
    <w:rsid w:val="00A326B5"/>
    <w:rsid w:val="00A33E68"/>
    <w:rsid w:val="00A34749"/>
    <w:rsid w:val="00A36A90"/>
    <w:rsid w:val="00A37339"/>
    <w:rsid w:val="00A379D0"/>
    <w:rsid w:val="00A37E79"/>
    <w:rsid w:val="00A37F6B"/>
    <w:rsid w:val="00A37F7D"/>
    <w:rsid w:val="00A4067F"/>
    <w:rsid w:val="00A40E19"/>
    <w:rsid w:val="00A44BC0"/>
    <w:rsid w:val="00A44CCF"/>
    <w:rsid w:val="00A46C30"/>
    <w:rsid w:val="00A479B6"/>
    <w:rsid w:val="00A47BB7"/>
    <w:rsid w:val="00A47BBB"/>
    <w:rsid w:val="00A504D6"/>
    <w:rsid w:val="00A5157F"/>
    <w:rsid w:val="00A51E56"/>
    <w:rsid w:val="00A52F84"/>
    <w:rsid w:val="00A544A5"/>
    <w:rsid w:val="00A54A1E"/>
    <w:rsid w:val="00A5550A"/>
    <w:rsid w:val="00A5626C"/>
    <w:rsid w:val="00A566AF"/>
    <w:rsid w:val="00A56EE3"/>
    <w:rsid w:val="00A6069A"/>
    <w:rsid w:val="00A624E3"/>
    <w:rsid w:val="00A63550"/>
    <w:rsid w:val="00A64C41"/>
    <w:rsid w:val="00A64F27"/>
    <w:rsid w:val="00A652EC"/>
    <w:rsid w:val="00A66941"/>
    <w:rsid w:val="00A66ED2"/>
    <w:rsid w:val="00A75747"/>
    <w:rsid w:val="00A7646E"/>
    <w:rsid w:val="00A76794"/>
    <w:rsid w:val="00A773D7"/>
    <w:rsid w:val="00A77B94"/>
    <w:rsid w:val="00A8036A"/>
    <w:rsid w:val="00A80688"/>
    <w:rsid w:val="00A80861"/>
    <w:rsid w:val="00A82938"/>
    <w:rsid w:val="00A83016"/>
    <w:rsid w:val="00A83228"/>
    <w:rsid w:val="00A84E8F"/>
    <w:rsid w:val="00A8513E"/>
    <w:rsid w:val="00A85395"/>
    <w:rsid w:val="00A85B4B"/>
    <w:rsid w:val="00A85F92"/>
    <w:rsid w:val="00A85FBE"/>
    <w:rsid w:val="00A8645F"/>
    <w:rsid w:val="00A87B95"/>
    <w:rsid w:val="00A900C5"/>
    <w:rsid w:val="00A910BE"/>
    <w:rsid w:val="00A91554"/>
    <w:rsid w:val="00A934B2"/>
    <w:rsid w:val="00A94295"/>
    <w:rsid w:val="00A97A01"/>
    <w:rsid w:val="00AA0717"/>
    <w:rsid w:val="00AA16B2"/>
    <w:rsid w:val="00AA1EF2"/>
    <w:rsid w:val="00AA2E04"/>
    <w:rsid w:val="00AA3653"/>
    <w:rsid w:val="00AA728C"/>
    <w:rsid w:val="00AA7391"/>
    <w:rsid w:val="00AA7EE2"/>
    <w:rsid w:val="00AB1226"/>
    <w:rsid w:val="00AB334D"/>
    <w:rsid w:val="00AB403C"/>
    <w:rsid w:val="00AB4567"/>
    <w:rsid w:val="00AB467C"/>
    <w:rsid w:val="00AB51C8"/>
    <w:rsid w:val="00AB5D0A"/>
    <w:rsid w:val="00AB5F2A"/>
    <w:rsid w:val="00AC09CB"/>
    <w:rsid w:val="00AC2F88"/>
    <w:rsid w:val="00AC3DF7"/>
    <w:rsid w:val="00AC7C5E"/>
    <w:rsid w:val="00AD110B"/>
    <w:rsid w:val="00AD115C"/>
    <w:rsid w:val="00AD22E1"/>
    <w:rsid w:val="00AD2542"/>
    <w:rsid w:val="00AD3487"/>
    <w:rsid w:val="00AD4E5D"/>
    <w:rsid w:val="00AD4F54"/>
    <w:rsid w:val="00AD4F81"/>
    <w:rsid w:val="00AD6AFA"/>
    <w:rsid w:val="00AE0C43"/>
    <w:rsid w:val="00AE0CD1"/>
    <w:rsid w:val="00AE1126"/>
    <w:rsid w:val="00AE303A"/>
    <w:rsid w:val="00AE6295"/>
    <w:rsid w:val="00AE629E"/>
    <w:rsid w:val="00AE6389"/>
    <w:rsid w:val="00AE678C"/>
    <w:rsid w:val="00AF0DC1"/>
    <w:rsid w:val="00B01E20"/>
    <w:rsid w:val="00B05D8E"/>
    <w:rsid w:val="00B05FC1"/>
    <w:rsid w:val="00B07A47"/>
    <w:rsid w:val="00B10686"/>
    <w:rsid w:val="00B1072E"/>
    <w:rsid w:val="00B10E7D"/>
    <w:rsid w:val="00B11E69"/>
    <w:rsid w:val="00B1294F"/>
    <w:rsid w:val="00B158D3"/>
    <w:rsid w:val="00B15AFE"/>
    <w:rsid w:val="00B170D1"/>
    <w:rsid w:val="00B17B3D"/>
    <w:rsid w:val="00B17F69"/>
    <w:rsid w:val="00B20107"/>
    <w:rsid w:val="00B206DE"/>
    <w:rsid w:val="00B20D93"/>
    <w:rsid w:val="00B225F8"/>
    <w:rsid w:val="00B2336D"/>
    <w:rsid w:val="00B23A61"/>
    <w:rsid w:val="00B2594A"/>
    <w:rsid w:val="00B261F1"/>
    <w:rsid w:val="00B26ECB"/>
    <w:rsid w:val="00B26FF4"/>
    <w:rsid w:val="00B274E7"/>
    <w:rsid w:val="00B27CFE"/>
    <w:rsid w:val="00B30A4E"/>
    <w:rsid w:val="00B33800"/>
    <w:rsid w:val="00B33D2C"/>
    <w:rsid w:val="00B35BDA"/>
    <w:rsid w:val="00B3637C"/>
    <w:rsid w:val="00B3760C"/>
    <w:rsid w:val="00B424B1"/>
    <w:rsid w:val="00B425E0"/>
    <w:rsid w:val="00B4393A"/>
    <w:rsid w:val="00B4492A"/>
    <w:rsid w:val="00B44F26"/>
    <w:rsid w:val="00B45472"/>
    <w:rsid w:val="00B47738"/>
    <w:rsid w:val="00B50939"/>
    <w:rsid w:val="00B52CCA"/>
    <w:rsid w:val="00B54A84"/>
    <w:rsid w:val="00B55CA0"/>
    <w:rsid w:val="00B60075"/>
    <w:rsid w:val="00B60083"/>
    <w:rsid w:val="00B61ED7"/>
    <w:rsid w:val="00B622B2"/>
    <w:rsid w:val="00B62540"/>
    <w:rsid w:val="00B6358E"/>
    <w:rsid w:val="00B64398"/>
    <w:rsid w:val="00B6465A"/>
    <w:rsid w:val="00B66FCC"/>
    <w:rsid w:val="00B74071"/>
    <w:rsid w:val="00B75044"/>
    <w:rsid w:val="00B760A2"/>
    <w:rsid w:val="00B76129"/>
    <w:rsid w:val="00B76BAB"/>
    <w:rsid w:val="00B80280"/>
    <w:rsid w:val="00B80E9B"/>
    <w:rsid w:val="00B822C0"/>
    <w:rsid w:val="00B82825"/>
    <w:rsid w:val="00B82E46"/>
    <w:rsid w:val="00B8388F"/>
    <w:rsid w:val="00B843C5"/>
    <w:rsid w:val="00B84A72"/>
    <w:rsid w:val="00B8502F"/>
    <w:rsid w:val="00B85833"/>
    <w:rsid w:val="00B860AF"/>
    <w:rsid w:val="00B86865"/>
    <w:rsid w:val="00B908B4"/>
    <w:rsid w:val="00B918A4"/>
    <w:rsid w:val="00B92136"/>
    <w:rsid w:val="00B9402F"/>
    <w:rsid w:val="00B943AC"/>
    <w:rsid w:val="00BA0856"/>
    <w:rsid w:val="00BA08B8"/>
    <w:rsid w:val="00BA2415"/>
    <w:rsid w:val="00BA2559"/>
    <w:rsid w:val="00BA4047"/>
    <w:rsid w:val="00BA6191"/>
    <w:rsid w:val="00BB1742"/>
    <w:rsid w:val="00BB1A5E"/>
    <w:rsid w:val="00BB202C"/>
    <w:rsid w:val="00BB20B2"/>
    <w:rsid w:val="00BB3F92"/>
    <w:rsid w:val="00BB4D9E"/>
    <w:rsid w:val="00BB5A75"/>
    <w:rsid w:val="00BB6F72"/>
    <w:rsid w:val="00BB76A8"/>
    <w:rsid w:val="00BB77C8"/>
    <w:rsid w:val="00BC01D2"/>
    <w:rsid w:val="00BC181F"/>
    <w:rsid w:val="00BC20EF"/>
    <w:rsid w:val="00BD110D"/>
    <w:rsid w:val="00BD1146"/>
    <w:rsid w:val="00BD180E"/>
    <w:rsid w:val="00BD1C4E"/>
    <w:rsid w:val="00BD2506"/>
    <w:rsid w:val="00BD3A5A"/>
    <w:rsid w:val="00BD45EB"/>
    <w:rsid w:val="00BD467C"/>
    <w:rsid w:val="00BE2212"/>
    <w:rsid w:val="00BE2E20"/>
    <w:rsid w:val="00BE33E8"/>
    <w:rsid w:val="00BE4C37"/>
    <w:rsid w:val="00BE584C"/>
    <w:rsid w:val="00BE5C45"/>
    <w:rsid w:val="00BE5E19"/>
    <w:rsid w:val="00BF17CC"/>
    <w:rsid w:val="00BF20F8"/>
    <w:rsid w:val="00BF22B1"/>
    <w:rsid w:val="00BF2FFA"/>
    <w:rsid w:val="00BF46BE"/>
    <w:rsid w:val="00BF4B5D"/>
    <w:rsid w:val="00BF59F3"/>
    <w:rsid w:val="00C00D1E"/>
    <w:rsid w:val="00C014D6"/>
    <w:rsid w:val="00C01951"/>
    <w:rsid w:val="00C029E6"/>
    <w:rsid w:val="00C02C5E"/>
    <w:rsid w:val="00C0534C"/>
    <w:rsid w:val="00C0560D"/>
    <w:rsid w:val="00C073F7"/>
    <w:rsid w:val="00C1060F"/>
    <w:rsid w:val="00C13A2B"/>
    <w:rsid w:val="00C13D1E"/>
    <w:rsid w:val="00C145C1"/>
    <w:rsid w:val="00C17E44"/>
    <w:rsid w:val="00C22201"/>
    <w:rsid w:val="00C231CE"/>
    <w:rsid w:val="00C237DE"/>
    <w:rsid w:val="00C239A3"/>
    <w:rsid w:val="00C25392"/>
    <w:rsid w:val="00C25DFD"/>
    <w:rsid w:val="00C27567"/>
    <w:rsid w:val="00C31B44"/>
    <w:rsid w:val="00C31D2D"/>
    <w:rsid w:val="00C36D7F"/>
    <w:rsid w:val="00C37A16"/>
    <w:rsid w:val="00C40F66"/>
    <w:rsid w:val="00C419C6"/>
    <w:rsid w:val="00C41C8A"/>
    <w:rsid w:val="00C436EE"/>
    <w:rsid w:val="00C443BB"/>
    <w:rsid w:val="00C4675D"/>
    <w:rsid w:val="00C46D78"/>
    <w:rsid w:val="00C471F6"/>
    <w:rsid w:val="00C47222"/>
    <w:rsid w:val="00C47BF0"/>
    <w:rsid w:val="00C52BB3"/>
    <w:rsid w:val="00C53FD3"/>
    <w:rsid w:val="00C5503B"/>
    <w:rsid w:val="00C56789"/>
    <w:rsid w:val="00C5702C"/>
    <w:rsid w:val="00C57ABA"/>
    <w:rsid w:val="00C57D6B"/>
    <w:rsid w:val="00C60C00"/>
    <w:rsid w:val="00C614E2"/>
    <w:rsid w:val="00C61A87"/>
    <w:rsid w:val="00C63527"/>
    <w:rsid w:val="00C637F1"/>
    <w:rsid w:val="00C63C15"/>
    <w:rsid w:val="00C64C78"/>
    <w:rsid w:val="00C6504A"/>
    <w:rsid w:val="00C67F95"/>
    <w:rsid w:val="00C7003F"/>
    <w:rsid w:val="00C70368"/>
    <w:rsid w:val="00C707AB"/>
    <w:rsid w:val="00C7264D"/>
    <w:rsid w:val="00C72A5D"/>
    <w:rsid w:val="00C73390"/>
    <w:rsid w:val="00C7354E"/>
    <w:rsid w:val="00C7368C"/>
    <w:rsid w:val="00C73755"/>
    <w:rsid w:val="00C73DAC"/>
    <w:rsid w:val="00C7405B"/>
    <w:rsid w:val="00C75BAD"/>
    <w:rsid w:val="00C77833"/>
    <w:rsid w:val="00C835E1"/>
    <w:rsid w:val="00C83BA4"/>
    <w:rsid w:val="00C86BFF"/>
    <w:rsid w:val="00C86D7D"/>
    <w:rsid w:val="00C90AEF"/>
    <w:rsid w:val="00C9184A"/>
    <w:rsid w:val="00C93058"/>
    <w:rsid w:val="00C93CCD"/>
    <w:rsid w:val="00C93CE9"/>
    <w:rsid w:val="00C93CF1"/>
    <w:rsid w:val="00C94E56"/>
    <w:rsid w:val="00C9519B"/>
    <w:rsid w:val="00C9702B"/>
    <w:rsid w:val="00C972CA"/>
    <w:rsid w:val="00C97AB7"/>
    <w:rsid w:val="00CA1C50"/>
    <w:rsid w:val="00CA278B"/>
    <w:rsid w:val="00CA3082"/>
    <w:rsid w:val="00CA372C"/>
    <w:rsid w:val="00CA3891"/>
    <w:rsid w:val="00CA43A5"/>
    <w:rsid w:val="00CA4AD5"/>
    <w:rsid w:val="00CA50AF"/>
    <w:rsid w:val="00CA6E5A"/>
    <w:rsid w:val="00CB1446"/>
    <w:rsid w:val="00CB200F"/>
    <w:rsid w:val="00CB2FDE"/>
    <w:rsid w:val="00CB3213"/>
    <w:rsid w:val="00CB4D04"/>
    <w:rsid w:val="00CB6C97"/>
    <w:rsid w:val="00CB6D87"/>
    <w:rsid w:val="00CB6E00"/>
    <w:rsid w:val="00CB7DC0"/>
    <w:rsid w:val="00CC1ED4"/>
    <w:rsid w:val="00CC26E5"/>
    <w:rsid w:val="00CC27B7"/>
    <w:rsid w:val="00CC37FB"/>
    <w:rsid w:val="00CC45B5"/>
    <w:rsid w:val="00CC5E3A"/>
    <w:rsid w:val="00CC70F5"/>
    <w:rsid w:val="00CCC5E9"/>
    <w:rsid w:val="00CD0646"/>
    <w:rsid w:val="00CD1AD5"/>
    <w:rsid w:val="00CD23F2"/>
    <w:rsid w:val="00CD2536"/>
    <w:rsid w:val="00CD2679"/>
    <w:rsid w:val="00CD68E0"/>
    <w:rsid w:val="00CE058F"/>
    <w:rsid w:val="00CE070D"/>
    <w:rsid w:val="00CE232C"/>
    <w:rsid w:val="00CE2356"/>
    <w:rsid w:val="00CE2E31"/>
    <w:rsid w:val="00CE3F0E"/>
    <w:rsid w:val="00CE47D2"/>
    <w:rsid w:val="00CE7823"/>
    <w:rsid w:val="00CF2054"/>
    <w:rsid w:val="00CF26C0"/>
    <w:rsid w:val="00CF280F"/>
    <w:rsid w:val="00CF2FC4"/>
    <w:rsid w:val="00CF42B8"/>
    <w:rsid w:val="00CF55C4"/>
    <w:rsid w:val="00CF6015"/>
    <w:rsid w:val="00D00091"/>
    <w:rsid w:val="00D00167"/>
    <w:rsid w:val="00D00C25"/>
    <w:rsid w:val="00D00CDA"/>
    <w:rsid w:val="00D01776"/>
    <w:rsid w:val="00D0391B"/>
    <w:rsid w:val="00D0699F"/>
    <w:rsid w:val="00D10224"/>
    <w:rsid w:val="00D139D2"/>
    <w:rsid w:val="00D1429E"/>
    <w:rsid w:val="00D15D11"/>
    <w:rsid w:val="00D20B03"/>
    <w:rsid w:val="00D20F92"/>
    <w:rsid w:val="00D210DE"/>
    <w:rsid w:val="00D240D7"/>
    <w:rsid w:val="00D24C69"/>
    <w:rsid w:val="00D25136"/>
    <w:rsid w:val="00D253B9"/>
    <w:rsid w:val="00D2601E"/>
    <w:rsid w:val="00D264DE"/>
    <w:rsid w:val="00D30133"/>
    <w:rsid w:val="00D31A6A"/>
    <w:rsid w:val="00D31A8A"/>
    <w:rsid w:val="00D32F6B"/>
    <w:rsid w:val="00D33CC1"/>
    <w:rsid w:val="00D340B8"/>
    <w:rsid w:val="00D34651"/>
    <w:rsid w:val="00D358EE"/>
    <w:rsid w:val="00D36888"/>
    <w:rsid w:val="00D4016C"/>
    <w:rsid w:val="00D40A60"/>
    <w:rsid w:val="00D40CCD"/>
    <w:rsid w:val="00D41CCC"/>
    <w:rsid w:val="00D426BC"/>
    <w:rsid w:val="00D42B02"/>
    <w:rsid w:val="00D45AD3"/>
    <w:rsid w:val="00D466C1"/>
    <w:rsid w:val="00D47541"/>
    <w:rsid w:val="00D55AF7"/>
    <w:rsid w:val="00D56482"/>
    <w:rsid w:val="00D5755F"/>
    <w:rsid w:val="00D60939"/>
    <w:rsid w:val="00D60A37"/>
    <w:rsid w:val="00D61872"/>
    <w:rsid w:val="00D63936"/>
    <w:rsid w:val="00D63A7E"/>
    <w:rsid w:val="00D65414"/>
    <w:rsid w:val="00D67198"/>
    <w:rsid w:val="00D721A1"/>
    <w:rsid w:val="00D73C6E"/>
    <w:rsid w:val="00D73E3E"/>
    <w:rsid w:val="00D7471E"/>
    <w:rsid w:val="00D7516C"/>
    <w:rsid w:val="00D77C47"/>
    <w:rsid w:val="00D81BD4"/>
    <w:rsid w:val="00D82F9A"/>
    <w:rsid w:val="00D8514A"/>
    <w:rsid w:val="00D861C9"/>
    <w:rsid w:val="00D8680B"/>
    <w:rsid w:val="00D901A1"/>
    <w:rsid w:val="00D9124B"/>
    <w:rsid w:val="00D9146C"/>
    <w:rsid w:val="00D92244"/>
    <w:rsid w:val="00D935DE"/>
    <w:rsid w:val="00D94D7B"/>
    <w:rsid w:val="00D96177"/>
    <w:rsid w:val="00DA003A"/>
    <w:rsid w:val="00DA1178"/>
    <w:rsid w:val="00DA49D5"/>
    <w:rsid w:val="00DA558C"/>
    <w:rsid w:val="00DA6C9A"/>
    <w:rsid w:val="00DA72C6"/>
    <w:rsid w:val="00DB009B"/>
    <w:rsid w:val="00DB35B2"/>
    <w:rsid w:val="00DB45E0"/>
    <w:rsid w:val="00DB4676"/>
    <w:rsid w:val="00DB4E8D"/>
    <w:rsid w:val="00DB5BC1"/>
    <w:rsid w:val="00DB5C08"/>
    <w:rsid w:val="00DB6B4D"/>
    <w:rsid w:val="00DB6D2B"/>
    <w:rsid w:val="00DC0458"/>
    <w:rsid w:val="00DC0923"/>
    <w:rsid w:val="00DC0CB2"/>
    <w:rsid w:val="00DC0DF2"/>
    <w:rsid w:val="00DC11EE"/>
    <w:rsid w:val="00DC125B"/>
    <w:rsid w:val="00DC1D5F"/>
    <w:rsid w:val="00DC259E"/>
    <w:rsid w:val="00DC2ADD"/>
    <w:rsid w:val="00DC2D3E"/>
    <w:rsid w:val="00DC3370"/>
    <w:rsid w:val="00DC370C"/>
    <w:rsid w:val="00DC43D8"/>
    <w:rsid w:val="00DC51FE"/>
    <w:rsid w:val="00DC58B2"/>
    <w:rsid w:val="00DC6779"/>
    <w:rsid w:val="00DD11A2"/>
    <w:rsid w:val="00DD1441"/>
    <w:rsid w:val="00DD17BE"/>
    <w:rsid w:val="00DD2E88"/>
    <w:rsid w:val="00DD4813"/>
    <w:rsid w:val="00DD63E0"/>
    <w:rsid w:val="00DD6417"/>
    <w:rsid w:val="00DD7057"/>
    <w:rsid w:val="00DE21A7"/>
    <w:rsid w:val="00DE26AF"/>
    <w:rsid w:val="00DE2CBC"/>
    <w:rsid w:val="00DE6BF2"/>
    <w:rsid w:val="00DE7DCF"/>
    <w:rsid w:val="00DF2CB4"/>
    <w:rsid w:val="00DF4857"/>
    <w:rsid w:val="00DF51E6"/>
    <w:rsid w:val="00DF54FC"/>
    <w:rsid w:val="00DF668D"/>
    <w:rsid w:val="00DF6844"/>
    <w:rsid w:val="00DF7B09"/>
    <w:rsid w:val="00DF7CE9"/>
    <w:rsid w:val="00DF7D89"/>
    <w:rsid w:val="00E01A84"/>
    <w:rsid w:val="00E0298D"/>
    <w:rsid w:val="00E0425A"/>
    <w:rsid w:val="00E044AA"/>
    <w:rsid w:val="00E04EBB"/>
    <w:rsid w:val="00E05563"/>
    <w:rsid w:val="00E05768"/>
    <w:rsid w:val="00E05FF4"/>
    <w:rsid w:val="00E06204"/>
    <w:rsid w:val="00E0633A"/>
    <w:rsid w:val="00E06E5A"/>
    <w:rsid w:val="00E11020"/>
    <w:rsid w:val="00E110C3"/>
    <w:rsid w:val="00E1215F"/>
    <w:rsid w:val="00E13186"/>
    <w:rsid w:val="00E139C2"/>
    <w:rsid w:val="00E23664"/>
    <w:rsid w:val="00E23C2D"/>
    <w:rsid w:val="00E24099"/>
    <w:rsid w:val="00E2426F"/>
    <w:rsid w:val="00E2438E"/>
    <w:rsid w:val="00E24471"/>
    <w:rsid w:val="00E247BF"/>
    <w:rsid w:val="00E24B37"/>
    <w:rsid w:val="00E24D0E"/>
    <w:rsid w:val="00E2565A"/>
    <w:rsid w:val="00E2681A"/>
    <w:rsid w:val="00E279ED"/>
    <w:rsid w:val="00E27E47"/>
    <w:rsid w:val="00E30379"/>
    <w:rsid w:val="00E32019"/>
    <w:rsid w:val="00E32371"/>
    <w:rsid w:val="00E32F99"/>
    <w:rsid w:val="00E34510"/>
    <w:rsid w:val="00E3452D"/>
    <w:rsid w:val="00E35395"/>
    <w:rsid w:val="00E353BC"/>
    <w:rsid w:val="00E36CE8"/>
    <w:rsid w:val="00E370A5"/>
    <w:rsid w:val="00E40BE7"/>
    <w:rsid w:val="00E40CCE"/>
    <w:rsid w:val="00E41745"/>
    <w:rsid w:val="00E426C6"/>
    <w:rsid w:val="00E42ABE"/>
    <w:rsid w:val="00E4385D"/>
    <w:rsid w:val="00E51A80"/>
    <w:rsid w:val="00E51D1E"/>
    <w:rsid w:val="00E55306"/>
    <w:rsid w:val="00E55418"/>
    <w:rsid w:val="00E55809"/>
    <w:rsid w:val="00E55B40"/>
    <w:rsid w:val="00E56846"/>
    <w:rsid w:val="00E607CF"/>
    <w:rsid w:val="00E61B5F"/>
    <w:rsid w:val="00E62256"/>
    <w:rsid w:val="00E62826"/>
    <w:rsid w:val="00E65DD2"/>
    <w:rsid w:val="00E6689D"/>
    <w:rsid w:val="00E66FF4"/>
    <w:rsid w:val="00E706FB"/>
    <w:rsid w:val="00E712AB"/>
    <w:rsid w:val="00E712EC"/>
    <w:rsid w:val="00E71B18"/>
    <w:rsid w:val="00E72776"/>
    <w:rsid w:val="00E75236"/>
    <w:rsid w:val="00E76189"/>
    <w:rsid w:val="00E76A69"/>
    <w:rsid w:val="00E809C4"/>
    <w:rsid w:val="00E81098"/>
    <w:rsid w:val="00E83333"/>
    <w:rsid w:val="00E83B00"/>
    <w:rsid w:val="00E83B2E"/>
    <w:rsid w:val="00E844A2"/>
    <w:rsid w:val="00E8473F"/>
    <w:rsid w:val="00E84766"/>
    <w:rsid w:val="00E84E5E"/>
    <w:rsid w:val="00E850B5"/>
    <w:rsid w:val="00E852E1"/>
    <w:rsid w:val="00E856B2"/>
    <w:rsid w:val="00E86045"/>
    <w:rsid w:val="00E86ECF"/>
    <w:rsid w:val="00E87218"/>
    <w:rsid w:val="00E91B3A"/>
    <w:rsid w:val="00E933D4"/>
    <w:rsid w:val="00E937AC"/>
    <w:rsid w:val="00E94984"/>
    <w:rsid w:val="00E95076"/>
    <w:rsid w:val="00E9544A"/>
    <w:rsid w:val="00E977B8"/>
    <w:rsid w:val="00E97C2A"/>
    <w:rsid w:val="00EA070A"/>
    <w:rsid w:val="00EA0C0C"/>
    <w:rsid w:val="00EA2B42"/>
    <w:rsid w:val="00EA40AE"/>
    <w:rsid w:val="00EA48D2"/>
    <w:rsid w:val="00EA4BD2"/>
    <w:rsid w:val="00EA57E4"/>
    <w:rsid w:val="00EA5E02"/>
    <w:rsid w:val="00EA77D2"/>
    <w:rsid w:val="00EA793A"/>
    <w:rsid w:val="00EB0933"/>
    <w:rsid w:val="00EB2C19"/>
    <w:rsid w:val="00EB40B0"/>
    <w:rsid w:val="00EB7061"/>
    <w:rsid w:val="00EC0541"/>
    <w:rsid w:val="00EC0F5E"/>
    <w:rsid w:val="00EC1124"/>
    <w:rsid w:val="00EC4537"/>
    <w:rsid w:val="00EC495A"/>
    <w:rsid w:val="00EC7824"/>
    <w:rsid w:val="00ED0300"/>
    <w:rsid w:val="00ED1482"/>
    <w:rsid w:val="00ED1576"/>
    <w:rsid w:val="00ED1BB6"/>
    <w:rsid w:val="00ED291C"/>
    <w:rsid w:val="00ED2B70"/>
    <w:rsid w:val="00ED4458"/>
    <w:rsid w:val="00ED4871"/>
    <w:rsid w:val="00ED6041"/>
    <w:rsid w:val="00ED651E"/>
    <w:rsid w:val="00ED6562"/>
    <w:rsid w:val="00ED7174"/>
    <w:rsid w:val="00ED71FE"/>
    <w:rsid w:val="00ED773F"/>
    <w:rsid w:val="00EE0371"/>
    <w:rsid w:val="00EE11EA"/>
    <w:rsid w:val="00EE34A2"/>
    <w:rsid w:val="00EE4007"/>
    <w:rsid w:val="00EE49D5"/>
    <w:rsid w:val="00EE4AD3"/>
    <w:rsid w:val="00EE543C"/>
    <w:rsid w:val="00EE792A"/>
    <w:rsid w:val="00EF1715"/>
    <w:rsid w:val="00EF28EA"/>
    <w:rsid w:val="00EF2A3A"/>
    <w:rsid w:val="00EF383A"/>
    <w:rsid w:val="00EF4278"/>
    <w:rsid w:val="00EF614C"/>
    <w:rsid w:val="00F00A62"/>
    <w:rsid w:val="00F00BC9"/>
    <w:rsid w:val="00F01022"/>
    <w:rsid w:val="00F01042"/>
    <w:rsid w:val="00F013C4"/>
    <w:rsid w:val="00F016EC"/>
    <w:rsid w:val="00F01C47"/>
    <w:rsid w:val="00F01EEE"/>
    <w:rsid w:val="00F03EC5"/>
    <w:rsid w:val="00F050B2"/>
    <w:rsid w:val="00F05C77"/>
    <w:rsid w:val="00F10F9D"/>
    <w:rsid w:val="00F11B98"/>
    <w:rsid w:val="00F12B4F"/>
    <w:rsid w:val="00F141B1"/>
    <w:rsid w:val="00F1456A"/>
    <w:rsid w:val="00F14A61"/>
    <w:rsid w:val="00F177BB"/>
    <w:rsid w:val="00F17B70"/>
    <w:rsid w:val="00F22151"/>
    <w:rsid w:val="00F22287"/>
    <w:rsid w:val="00F22588"/>
    <w:rsid w:val="00F2305C"/>
    <w:rsid w:val="00F30FC3"/>
    <w:rsid w:val="00F31458"/>
    <w:rsid w:val="00F31463"/>
    <w:rsid w:val="00F331F0"/>
    <w:rsid w:val="00F341BC"/>
    <w:rsid w:val="00F34485"/>
    <w:rsid w:val="00F34786"/>
    <w:rsid w:val="00F34EAA"/>
    <w:rsid w:val="00F35B7B"/>
    <w:rsid w:val="00F379F7"/>
    <w:rsid w:val="00F40306"/>
    <w:rsid w:val="00F407A9"/>
    <w:rsid w:val="00F43522"/>
    <w:rsid w:val="00F43729"/>
    <w:rsid w:val="00F43E67"/>
    <w:rsid w:val="00F44818"/>
    <w:rsid w:val="00F5107A"/>
    <w:rsid w:val="00F51404"/>
    <w:rsid w:val="00F5286C"/>
    <w:rsid w:val="00F54180"/>
    <w:rsid w:val="00F542E9"/>
    <w:rsid w:val="00F55D79"/>
    <w:rsid w:val="00F56828"/>
    <w:rsid w:val="00F614BB"/>
    <w:rsid w:val="00F61E5A"/>
    <w:rsid w:val="00F62B66"/>
    <w:rsid w:val="00F65295"/>
    <w:rsid w:val="00F67821"/>
    <w:rsid w:val="00F7070E"/>
    <w:rsid w:val="00F7193B"/>
    <w:rsid w:val="00F72C9E"/>
    <w:rsid w:val="00F72E44"/>
    <w:rsid w:val="00F74194"/>
    <w:rsid w:val="00F743F5"/>
    <w:rsid w:val="00F744B4"/>
    <w:rsid w:val="00F77CA2"/>
    <w:rsid w:val="00F811DC"/>
    <w:rsid w:val="00F82574"/>
    <w:rsid w:val="00F82BDA"/>
    <w:rsid w:val="00F82F17"/>
    <w:rsid w:val="00F845EA"/>
    <w:rsid w:val="00F84D1F"/>
    <w:rsid w:val="00F85922"/>
    <w:rsid w:val="00F86205"/>
    <w:rsid w:val="00F87AB0"/>
    <w:rsid w:val="00F87F2B"/>
    <w:rsid w:val="00F92825"/>
    <w:rsid w:val="00F93FA5"/>
    <w:rsid w:val="00F95700"/>
    <w:rsid w:val="00F96934"/>
    <w:rsid w:val="00F978A2"/>
    <w:rsid w:val="00FA053A"/>
    <w:rsid w:val="00FA0B55"/>
    <w:rsid w:val="00FA36D8"/>
    <w:rsid w:val="00FA4053"/>
    <w:rsid w:val="00FA461F"/>
    <w:rsid w:val="00FA5CC0"/>
    <w:rsid w:val="00FA6BA5"/>
    <w:rsid w:val="00FA7913"/>
    <w:rsid w:val="00FA7A0F"/>
    <w:rsid w:val="00FB016B"/>
    <w:rsid w:val="00FB7010"/>
    <w:rsid w:val="00FB7133"/>
    <w:rsid w:val="00FC03DB"/>
    <w:rsid w:val="00FC0ACA"/>
    <w:rsid w:val="00FC1F6D"/>
    <w:rsid w:val="00FC3951"/>
    <w:rsid w:val="00FC4B2D"/>
    <w:rsid w:val="00FC58FB"/>
    <w:rsid w:val="00FC5B3A"/>
    <w:rsid w:val="00FC7035"/>
    <w:rsid w:val="00FD05FF"/>
    <w:rsid w:val="00FD097A"/>
    <w:rsid w:val="00FD0CC6"/>
    <w:rsid w:val="00FD120E"/>
    <w:rsid w:val="00FD20F6"/>
    <w:rsid w:val="00FD3229"/>
    <w:rsid w:val="00FD77F2"/>
    <w:rsid w:val="00FE209E"/>
    <w:rsid w:val="00FE225F"/>
    <w:rsid w:val="00FE3308"/>
    <w:rsid w:val="00FE4B00"/>
    <w:rsid w:val="00FE6382"/>
    <w:rsid w:val="00FE63BB"/>
    <w:rsid w:val="00FE648E"/>
    <w:rsid w:val="00FE7163"/>
    <w:rsid w:val="00FE76AB"/>
    <w:rsid w:val="00FE7CEB"/>
    <w:rsid w:val="00FF06CA"/>
    <w:rsid w:val="00FF116A"/>
    <w:rsid w:val="00FF1419"/>
    <w:rsid w:val="00FF1850"/>
    <w:rsid w:val="00FF2D7D"/>
    <w:rsid w:val="00FF2D7E"/>
    <w:rsid w:val="00FF30DD"/>
    <w:rsid w:val="00FF3A62"/>
    <w:rsid w:val="00FF506E"/>
    <w:rsid w:val="00FF5C2F"/>
    <w:rsid w:val="00FF7241"/>
    <w:rsid w:val="00FF79A5"/>
    <w:rsid w:val="0104D814"/>
    <w:rsid w:val="0111D208"/>
    <w:rsid w:val="01142369"/>
    <w:rsid w:val="01A14607"/>
    <w:rsid w:val="01AFFAAD"/>
    <w:rsid w:val="01F73A4C"/>
    <w:rsid w:val="0215D152"/>
    <w:rsid w:val="026F57D5"/>
    <w:rsid w:val="028C1E42"/>
    <w:rsid w:val="02A0B2E2"/>
    <w:rsid w:val="02C3D80A"/>
    <w:rsid w:val="02CA4397"/>
    <w:rsid w:val="0303D928"/>
    <w:rsid w:val="0307CDDD"/>
    <w:rsid w:val="0324BBAA"/>
    <w:rsid w:val="032E4C5C"/>
    <w:rsid w:val="03D58228"/>
    <w:rsid w:val="040C816C"/>
    <w:rsid w:val="042523A4"/>
    <w:rsid w:val="042AB3D2"/>
    <w:rsid w:val="044AD22A"/>
    <w:rsid w:val="04623D25"/>
    <w:rsid w:val="050036EC"/>
    <w:rsid w:val="0522CD08"/>
    <w:rsid w:val="052B3BDE"/>
    <w:rsid w:val="052BC185"/>
    <w:rsid w:val="056371B1"/>
    <w:rsid w:val="058F709E"/>
    <w:rsid w:val="05926DB1"/>
    <w:rsid w:val="059F743D"/>
    <w:rsid w:val="05D534E3"/>
    <w:rsid w:val="05EFF23D"/>
    <w:rsid w:val="060A5422"/>
    <w:rsid w:val="060E4CF1"/>
    <w:rsid w:val="0654C48C"/>
    <w:rsid w:val="0656F38B"/>
    <w:rsid w:val="0699112B"/>
    <w:rsid w:val="06C77E8F"/>
    <w:rsid w:val="06C8A054"/>
    <w:rsid w:val="06E715D4"/>
    <w:rsid w:val="06ED00C9"/>
    <w:rsid w:val="06F07210"/>
    <w:rsid w:val="06F3CE79"/>
    <w:rsid w:val="06F984FD"/>
    <w:rsid w:val="070F8F76"/>
    <w:rsid w:val="071686F4"/>
    <w:rsid w:val="076C11AD"/>
    <w:rsid w:val="078221E3"/>
    <w:rsid w:val="07D1E87D"/>
    <w:rsid w:val="08219283"/>
    <w:rsid w:val="084D2B3A"/>
    <w:rsid w:val="089E7A02"/>
    <w:rsid w:val="08DD9133"/>
    <w:rsid w:val="08FBFDE3"/>
    <w:rsid w:val="0946F4B2"/>
    <w:rsid w:val="095856C7"/>
    <w:rsid w:val="095F4733"/>
    <w:rsid w:val="095FC5B6"/>
    <w:rsid w:val="0984E0F5"/>
    <w:rsid w:val="09C289DE"/>
    <w:rsid w:val="09C46485"/>
    <w:rsid w:val="09E640B4"/>
    <w:rsid w:val="0A22DB90"/>
    <w:rsid w:val="0A53655F"/>
    <w:rsid w:val="0AEE9BD7"/>
    <w:rsid w:val="0B0D3B0F"/>
    <w:rsid w:val="0B1DD42F"/>
    <w:rsid w:val="0B1E2481"/>
    <w:rsid w:val="0BD49979"/>
    <w:rsid w:val="0BEF5E4F"/>
    <w:rsid w:val="0BF32CF7"/>
    <w:rsid w:val="0C034724"/>
    <w:rsid w:val="0C09679D"/>
    <w:rsid w:val="0C2F85F0"/>
    <w:rsid w:val="0C89AE17"/>
    <w:rsid w:val="0CA742A9"/>
    <w:rsid w:val="0CBA00AE"/>
    <w:rsid w:val="0CD036AF"/>
    <w:rsid w:val="0D598279"/>
    <w:rsid w:val="0D7F7755"/>
    <w:rsid w:val="0D974B31"/>
    <w:rsid w:val="0D9F5C33"/>
    <w:rsid w:val="0DAD90D0"/>
    <w:rsid w:val="0DB5C390"/>
    <w:rsid w:val="0DBFD6CF"/>
    <w:rsid w:val="0DF0C61B"/>
    <w:rsid w:val="0E0DA7A2"/>
    <w:rsid w:val="0E3E6F1A"/>
    <w:rsid w:val="0E636197"/>
    <w:rsid w:val="0E7F69FA"/>
    <w:rsid w:val="0E8F12CC"/>
    <w:rsid w:val="0EB3385B"/>
    <w:rsid w:val="0EB70937"/>
    <w:rsid w:val="0EC06BDD"/>
    <w:rsid w:val="0EC22E3A"/>
    <w:rsid w:val="0EEDAA78"/>
    <w:rsid w:val="0EFF5FDC"/>
    <w:rsid w:val="0F03399D"/>
    <w:rsid w:val="0F31C5C6"/>
    <w:rsid w:val="0F5125E5"/>
    <w:rsid w:val="0F7885FE"/>
    <w:rsid w:val="0F847536"/>
    <w:rsid w:val="0FA42438"/>
    <w:rsid w:val="0FAB1433"/>
    <w:rsid w:val="0FC4B5CC"/>
    <w:rsid w:val="0FDC4B43"/>
    <w:rsid w:val="0FE390BF"/>
    <w:rsid w:val="100A6341"/>
    <w:rsid w:val="102CE726"/>
    <w:rsid w:val="11227864"/>
    <w:rsid w:val="1173BC8F"/>
    <w:rsid w:val="117DD61F"/>
    <w:rsid w:val="11A39440"/>
    <w:rsid w:val="11ADBC70"/>
    <w:rsid w:val="11E7B4AC"/>
    <w:rsid w:val="1213E4A4"/>
    <w:rsid w:val="12147AC4"/>
    <w:rsid w:val="12406122"/>
    <w:rsid w:val="127D95BC"/>
    <w:rsid w:val="129A2AE7"/>
    <w:rsid w:val="129B7066"/>
    <w:rsid w:val="12A89D71"/>
    <w:rsid w:val="12D87314"/>
    <w:rsid w:val="12DD5337"/>
    <w:rsid w:val="12F1FD3D"/>
    <w:rsid w:val="12FF3B99"/>
    <w:rsid w:val="12FFA9CE"/>
    <w:rsid w:val="134E0068"/>
    <w:rsid w:val="13D4AC97"/>
    <w:rsid w:val="13E9ADF7"/>
    <w:rsid w:val="13FD4963"/>
    <w:rsid w:val="1404FC09"/>
    <w:rsid w:val="144180D2"/>
    <w:rsid w:val="14968E3D"/>
    <w:rsid w:val="14A17BA7"/>
    <w:rsid w:val="14A492F9"/>
    <w:rsid w:val="14B04EDF"/>
    <w:rsid w:val="14B8688A"/>
    <w:rsid w:val="14DB776E"/>
    <w:rsid w:val="1516B264"/>
    <w:rsid w:val="153C78DF"/>
    <w:rsid w:val="1564296A"/>
    <w:rsid w:val="1573DEB0"/>
    <w:rsid w:val="15C00DC9"/>
    <w:rsid w:val="15C8888B"/>
    <w:rsid w:val="15EBEF80"/>
    <w:rsid w:val="15ED0B4B"/>
    <w:rsid w:val="162661A1"/>
    <w:rsid w:val="16A5E506"/>
    <w:rsid w:val="16C4D676"/>
    <w:rsid w:val="16EBF822"/>
    <w:rsid w:val="171A2B39"/>
    <w:rsid w:val="1728FF57"/>
    <w:rsid w:val="175EF73A"/>
    <w:rsid w:val="176C35DC"/>
    <w:rsid w:val="17D1B204"/>
    <w:rsid w:val="17FC3053"/>
    <w:rsid w:val="1833B6B0"/>
    <w:rsid w:val="18360D9A"/>
    <w:rsid w:val="185BAF40"/>
    <w:rsid w:val="18D0C226"/>
    <w:rsid w:val="18DAD9C0"/>
    <w:rsid w:val="18F79A60"/>
    <w:rsid w:val="18FBDA54"/>
    <w:rsid w:val="19541C9F"/>
    <w:rsid w:val="19738551"/>
    <w:rsid w:val="199DFE9C"/>
    <w:rsid w:val="19A96C4E"/>
    <w:rsid w:val="19AF5190"/>
    <w:rsid w:val="1A3919E3"/>
    <w:rsid w:val="1A6EF0FE"/>
    <w:rsid w:val="1A9822FF"/>
    <w:rsid w:val="1A9E925C"/>
    <w:rsid w:val="1AC20751"/>
    <w:rsid w:val="1AE472E6"/>
    <w:rsid w:val="1AFD0672"/>
    <w:rsid w:val="1B0A7DC3"/>
    <w:rsid w:val="1B54D65C"/>
    <w:rsid w:val="1B89548A"/>
    <w:rsid w:val="1BA245F5"/>
    <w:rsid w:val="1BA6FF9E"/>
    <w:rsid w:val="1BE2DB42"/>
    <w:rsid w:val="1C2498A8"/>
    <w:rsid w:val="1C29BD43"/>
    <w:rsid w:val="1C3E426F"/>
    <w:rsid w:val="1C459F22"/>
    <w:rsid w:val="1C46720E"/>
    <w:rsid w:val="1C74C7B3"/>
    <w:rsid w:val="1C7512B4"/>
    <w:rsid w:val="1CA1935F"/>
    <w:rsid w:val="1CA35CBF"/>
    <w:rsid w:val="1CA99886"/>
    <w:rsid w:val="1CBF8BB1"/>
    <w:rsid w:val="1CC71395"/>
    <w:rsid w:val="1CEE6B36"/>
    <w:rsid w:val="1CF16491"/>
    <w:rsid w:val="1D12A992"/>
    <w:rsid w:val="1D3B2B75"/>
    <w:rsid w:val="1D7DC998"/>
    <w:rsid w:val="1DCC969F"/>
    <w:rsid w:val="1DE4FB58"/>
    <w:rsid w:val="1DE7C228"/>
    <w:rsid w:val="1DEEEBB4"/>
    <w:rsid w:val="1E040C5D"/>
    <w:rsid w:val="1E1133BD"/>
    <w:rsid w:val="1E639E2E"/>
    <w:rsid w:val="1EBD00E6"/>
    <w:rsid w:val="1EC1EC2E"/>
    <w:rsid w:val="1F084AAF"/>
    <w:rsid w:val="1F2847A6"/>
    <w:rsid w:val="1F46D717"/>
    <w:rsid w:val="1F67C3F5"/>
    <w:rsid w:val="1F760A9A"/>
    <w:rsid w:val="1F939320"/>
    <w:rsid w:val="1FACE48A"/>
    <w:rsid w:val="1FEBF96E"/>
    <w:rsid w:val="1FEC9CFF"/>
    <w:rsid w:val="2031A38E"/>
    <w:rsid w:val="2059973B"/>
    <w:rsid w:val="205A097C"/>
    <w:rsid w:val="20A44385"/>
    <w:rsid w:val="212E8ED1"/>
    <w:rsid w:val="2151470D"/>
    <w:rsid w:val="21A72CED"/>
    <w:rsid w:val="21B4AC63"/>
    <w:rsid w:val="21F668C9"/>
    <w:rsid w:val="21F9CEF2"/>
    <w:rsid w:val="21FF3D77"/>
    <w:rsid w:val="220DE598"/>
    <w:rsid w:val="22781C71"/>
    <w:rsid w:val="22856A70"/>
    <w:rsid w:val="22CC708C"/>
    <w:rsid w:val="22D88FDC"/>
    <w:rsid w:val="231DC434"/>
    <w:rsid w:val="232D960B"/>
    <w:rsid w:val="2334E8C0"/>
    <w:rsid w:val="23C5AAC3"/>
    <w:rsid w:val="23D93C70"/>
    <w:rsid w:val="23E38943"/>
    <w:rsid w:val="241D6FC1"/>
    <w:rsid w:val="243112E6"/>
    <w:rsid w:val="24386E85"/>
    <w:rsid w:val="24CA2085"/>
    <w:rsid w:val="24CCFE6E"/>
    <w:rsid w:val="24E7B2BF"/>
    <w:rsid w:val="24EA1354"/>
    <w:rsid w:val="24F2CE1B"/>
    <w:rsid w:val="24F92EAF"/>
    <w:rsid w:val="25102BFD"/>
    <w:rsid w:val="25140ED1"/>
    <w:rsid w:val="2528485E"/>
    <w:rsid w:val="2539BAE7"/>
    <w:rsid w:val="253C01E7"/>
    <w:rsid w:val="25AC27F6"/>
    <w:rsid w:val="25FE12B7"/>
    <w:rsid w:val="262A8877"/>
    <w:rsid w:val="266F0700"/>
    <w:rsid w:val="267356C2"/>
    <w:rsid w:val="26C77CCE"/>
    <w:rsid w:val="2707C0C2"/>
    <w:rsid w:val="274CB7B1"/>
    <w:rsid w:val="274FFB85"/>
    <w:rsid w:val="275D7C6F"/>
    <w:rsid w:val="276270C7"/>
    <w:rsid w:val="277BB511"/>
    <w:rsid w:val="27B3BBB4"/>
    <w:rsid w:val="27C79A74"/>
    <w:rsid w:val="2801D211"/>
    <w:rsid w:val="28295C93"/>
    <w:rsid w:val="28ADA536"/>
    <w:rsid w:val="28EEBECB"/>
    <w:rsid w:val="2946A3EE"/>
    <w:rsid w:val="294DE646"/>
    <w:rsid w:val="295428FD"/>
    <w:rsid w:val="296DB868"/>
    <w:rsid w:val="29BFE728"/>
    <w:rsid w:val="29C40997"/>
    <w:rsid w:val="2A087B46"/>
    <w:rsid w:val="2A178B0E"/>
    <w:rsid w:val="2A3DDCEC"/>
    <w:rsid w:val="2A42214F"/>
    <w:rsid w:val="2AAD8BAA"/>
    <w:rsid w:val="2AE9DDE5"/>
    <w:rsid w:val="2B1E8BFC"/>
    <w:rsid w:val="2B77F035"/>
    <w:rsid w:val="2B8265D1"/>
    <w:rsid w:val="2B99E995"/>
    <w:rsid w:val="2BA20408"/>
    <w:rsid w:val="2BE2DE0F"/>
    <w:rsid w:val="2BEA9216"/>
    <w:rsid w:val="2BEF4CA6"/>
    <w:rsid w:val="2C10DBA3"/>
    <w:rsid w:val="2C338422"/>
    <w:rsid w:val="2C3AEB6D"/>
    <w:rsid w:val="2C3EDFDC"/>
    <w:rsid w:val="2C4F1B21"/>
    <w:rsid w:val="2C98ECEE"/>
    <w:rsid w:val="2CCF4AF4"/>
    <w:rsid w:val="2CE4D449"/>
    <w:rsid w:val="2D03B7FA"/>
    <w:rsid w:val="2D7619D5"/>
    <w:rsid w:val="2D871165"/>
    <w:rsid w:val="2DA2C24D"/>
    <w:rsid w:val="2DA5F15E"/>
    <w:rsid w:val="2DC5120D"/>
    <w:rsid w:val="2DCDB3E2"/>
    <w:rsid w:val="2DD33840"/>
    <w:rsid w:val="2DDB6FEE"/>
    <w:rsid w:val="2DF82AC5"/>
    <w:rsid w:val="2DFAE715"/>
    <w:rsid w:val="2E11ED92"/>
    <w:rsid w:val="2E1F5F2B"/>
    <w:rsid w:val="2E6BC158"/>
    <w:rsid w:val="2EC0DA2C"/>
    <w:rsid w:val="2F7050E0"/>
    <w:rsid w:val="2F863D21"/>
    <w:rsid w:val="2F8DBC9C"/>
    <w:rsid w:val="2F97A0F2"/>
    <w:rsid w:val="2FC917A1"/>
    <w:rsid w:val="2FD82E8F"/>
    <w:rsid w:val="2FE538A8"/>
    <w:rsid w:val="2FE660D6"/>
    <w:rsid w:val="2FF4AEC2"/>
    <w:rsid w:val="2FF8821D"/>
    <w:rsid w:val="300B9DD2"/>
    <w:rsid w:val="300FE3E6"/>
    <w:rsid w:val="303E3535"/>
    <w:rsid w:val="3053E59C"/>
    <w:rsid w:val="305AF660"/>
    <w:rsid w:val="30863C6E"/>
    <w:rsid w:val="309D0A2F"/>
    <w:rsid w:val="30C4C782"/>
    <w:rsid w:val="30ECFF24"/>
    <w:rsid w:val="3111B484"/>
    <w:rsid w:val="31225309"/>
    <w:rsid w:val="31485F64"/>
    <w:rsid w:val="31698684"/>
    <w:rsid w:val="316F6733"/>
    <w:rsid w:val="3195F6FC"/>
    <w:rsid w:val="31985617"/>
    <w:rsid w:val="31D6A360"/>
    <w:rsid w:val="31DF2763"/>
    <w:rsid w:val="31F62F49"/>
    <w:rsid w:val="31FB2777"/>
    <w:rsid w:val="321DFED4"/>
    <w:rsid w:val="3224595A"/>
    <w:rsid w:val="322BB0CE"/>
    <w:rsid w:val="322DDA77"/>
    <w:rsid w:val="324DA1DD"/>
    <w:rsid w:val="3255A198"/>
    <w:rsid w:val="32645A7C"/>
    <w:rsid w:val="326778D9"/>
    <w:rsid w:val="32682B5C"/>
    <w:rsid w:val="328FD083"/>
    <w:rsid w:val="3292C457"/>
    <w:rsid w:val="32B4E796"/>
    <w:rsid w:val="334FF99D"/>
    <w:rsid w:val="33633BC0"/>
    <w:rsid w:val="336AAC45"/>
    <w:rsid w:val="33839869"/>
    <w:rsid w:val="33EE23A8"/>
    <w:rsid w:val="33F6A7D3"/>
    <w:rsid w:val="34112E1F"/>
    <w:rsid w:val="34525366"/>
    <w:rsid w:val="346518DF"/>
    <w:rsid w:val="348068FB"/>
    <w:rsid w:val="3488A0CF"/>
    <w:rsid w:val="34AB437E"/>
    <w:rsid w:val="34D1248E"/>
    <w:rsid w:val="35157997"/>
    <w:rsid w:val="351747FB"/>
    <w:rsid w:val="3547C20C"/>
    <w:rsid w:val="357376BB"/>
    <w:rsid w:val="358CEB76"/>
    <w:rsid w:val="35B3AAC8"/>
    <w:rsid w:val="367B5099"/>
    <w:rsid w:val="36848312"/>
    <w:rsid w:val="36A408C9"/>
    <w:rsid w:val="36ABCC49"/>
    <w:rsid w:val="36BD81F3"/>
    <w:rsid w:val="3727DDA5"/>
    <w:rsid w:val="3745DF48"/>
    <w:rsid w:val="378120E3"/>
    <w:rsid w:val="37C74828"/>
    <w:rsid w:val="38E5039E"/>
    <w:rsid w:val="390726A5"/>
    <w:rsid w:val="39766D82"/>
    <w:rsid w:val="397CAD2D"/>
    <w:rsid w:val="399E5DA0"/>
    <w:rsid w:val="39A55792"/>
    <w:rsid w:val="3A45DE0E"/>
    <w:rsid w:val="3A4FE8AF"/>
    <w:rsid w:val="3A5B8CFE"/>
    <w:rsid w:val="3A8B6C75"/>
    <w:rsid w:val="3AB00039"/>
    <w:rsid w:val="3ABB1B49"/>
    <w:rsid w:val="3B0752B8"/>
    <w:rsid w:val="3B20F7B8"/>
    <w:rsid w:val="3B47DBE8"/>
    <w:rsid w:val="3B60AA36"/>
    <w:rsid w:val="3B6F5557"/>
    <w:rsid w:val="3B82886C"/>
    <w:rsid w:val="3B9DDB33"/>
    <w:rsid w:val="3BC9EFC2"/>
    <w:rsid w:val="3BCABEBA"/>
    <w:rsid w:val="3C40FBB0"/>
    <w:rsid w:val="3C4BFA39"/>
    <w:rsid w:val="3C73D13C"/>
    <w:rsid w:val="3CCDA822"/>
    <w:rsid w:val="3CD52819"/>
    <w:rsid w:val="3CE5F539"/>
    <w:rsid w:val="3CEACA00"/>
    <w:rsid w:val="3CEDB735"/>
    <w:rsid w:val="3D0A6D7D"/>
    <w:rsid w:val="3D1F8F2D"/>
    <w:rsid w:val="3D21D081"/>
    <w:rsid w:val="3D2383AA"/>
    <w:rsid w:val="3D354F58"/>
    <w:rsid w:val="3E01DE19"/>
    <w:rsid w:val="3E2120F3"/>
    <w:rsid w:val="3E380648"/>
    <w:rsid w:val="3E55DFCC"/>
    <w:rsid w:val="3E6AA67C"/>
    <w:rsid w:val="3E8AA851"/>
    <w:rsid w:val="3EDBCFC8"/>
    <w:rsid w:val="3F68C65E"/>
    <w:rsid w:val="3F8AC2F7"/>
    <w:rsid w:val="3F96BCB0"/>
    <w:rsid w:val="3FE8C39A"/>
    <w:rsid w:val="3FF6A1B6"/>
    <w:rsid w:val="40525F2F"/>
    <w:rsid w:val="405D8913"/>
    <w:rsid w:val="407E3F07"/>
    <w:rsid w:val="40B25F84"/>
    <w:rsid w:val="40C993A5"/>
    <w:rsid w:val="40CA0842"/>
    <w:rsid w:val="40D2EC69"/>
    <w:rsid w:val="40E5404F"/>
    <w:rsid w:val="40E7DB64"/>
    <w:rsid w:val="40ECA665"/>
    <w:rsid w:val="41401AA2"/>
    <w:rsid w:val="41406A43"/>
    <w:rsid w:val="417BA4EE"/>
    <w:rsid w:val="4182008E"/>
    <w:rsid w:val="41EE3EDF"/>
    <w:rsid w:val="421DFE24"/>
    <w:rsid w:val="424277A3"/>
    <w:rsid w:val="4248391F"/>
    <w:rsid w:val="424E0211"/>
    <w:rsid w:val="42781D6E"/>
    <w:rsid w:val="4283677D"/>
    <w:rsid w:val="4285C4D0"/>
    <w:rsid w:val="4330EED4"/>
    <w:rsid w:val="436A1259"/>
    <w:rsid w:val="439FDCDA"/>
    <w:rsid w:val="43D28AB1"/>
    <w:rsid w:val="4413EA98"/>
    <w:rsid w:val="443B98D0"/>
    <w:rsid w:val="446C2DFE"/>
    <w:rsid w:val="446EF391"/>
    <w:rsid w:val="4493E72E"/>
    <w:rsid w:val="44DE30FA"/>
    <w:rsid w:val="44F578D1"/>
    <w:rsid w:val="44F77845"/>
    <w:rsid w:val="4505F142"/>
    <w:rsid w:val="45416A35"/>
    <w:rsid w:val="4549DD8A"/>
    <w:rsid w:val="4579B2C3"/>
    <w:rsid w:val="45866595"/>
    <w:rsid w:val="45EB1534"/>
    <w:rsid w:val="45F4B86D"/>
    <w:rsid w:val="46125362"/>
    <w:rsid w:val="46338682"/>
    <w:rsid w:val="46556ECF"/>
    <w:rsid w:val="46580CFA"/>
    <w:rsid w:val="4692D09E"/>
    <w:rsid w:val="46B7113F"/>
    <w:rsid w:val="46D24EB4"/>
    <w:rsid w:val="47521A56"/>
    <w:rsid w:val="4763A79C"/>
    <w:rsid w:val="476CB1A2"/>
    <w:rsid w:val="477EF8D9"/>
    <w:rsid w:val="47920457"/>
    <w:rsid w:val="47A51E1F"/>
    <w:rsid w:val="47BE9EBF"/>
    <w:rsid w:val="47C8172F"/>
    <w:rsid w:val="47F8A2F4"/>
    <w:rsid w:val="481509C0"/>
    <w:rsid w:val="48A43557"/>
    <w:rsid w:val="48CA571C"/>
    <w:rsid w:val="4902893B"/>
    <w:rsid w:val="4968B01D"/>
    <w:rsid w:val="49B7D71E"/>
    <w:rsid w:val="4A398EEA"/>
    <w:rsid w:val="4A41F36A"/>
    <w:rsid w:val="4A770070"/>
    <w:rsid w:val="4A78E4E8"/>
    <w:rsid w:val="4A9F6A28"/>
    <w:rsid w:val="4AA27F65"/>
    <w:rsid w:val="4AC62D09"/>
    <w:rsid w:val="4AD87F4E"/>
    <w:rsid w:val="4B2BEA89"/>
    <w:rsid w:val="4B4E5611"/>
    <w:rsid w:val="4B5F8DD6"/>
    <w:rsid w:val="4B632BB2"/>
    <w:rsid w:val="4BB26848"/>
    <w:rsid w:val="4BBB2936"/>
    <w:rsid w:val="4BD78C12"/>
    <w:rsid w:val="4BE532A9"/>
    <w:rsid w:val="4C076C80"/>
    <w:rsid w:val="4C54ACEF"/>
    <w:rsid w:val="4C7FEB24"/>
    <w:rsid w:val="4C96E298"/>
    <w:rsid w:val="4CEE8989"/>
    <w:rsid w:val="4D09207F"/>
    <w:rsid w:val="4D8B44E4"/>
    <w:rsid w:val="4DA784EC"/>
    <w:rsid w:val="4E053C8C"/>
    <w:rsid w:val="4E47BCE8"/>
    <w:rsid w:val="4E53189A"/>
    <w:rsid w:val="4E5E9096"/>
    <w:rsid w:val="4ED1FD35"/>
    <w:rsid w:val="4EE87118"/>
    <w:rsid w:val="4EF1356F"/>
    <w:rsid w:val="4F9A7700"/>
    <w:rsid w:val="4FDBFE16"/>
    <w:rsid w:val="4FF4547F"/>
    <w:rsid w:val="50399BC4"/>
    <w:rsid w:val="503B69AE"/>
    <w:rsid w:val="5048B741"/>
    <w:rsid w:val="504EE3BD"/>
    <w:rsid w:val="50641428"/>
    <w:rsid w:val="506D3A0E"/>
    <w:rsid w:val="507763E3"/>
    <w:rsid w:val="507B5BFF"/>
    <w:rsid w:val="50E88373"/>
    <w:rsid w:val="50F20F7E"/>
    <w:rsid w:val="51024013"/>
    <w:rsid w:val="510DCF72"/>
    <w:rsid w:val="5122A412"/>
    <w:rsid w:val="513F15B2"/>
    <w:rsid w:val="5148F536"/>
    <w:rsid w:val="515D5D59"/>
    <w:rsid w:val="519CB7DF"/>
    <w:rsid w:val="51ACB018"/>
    <w:rsid w:val="51B3B994"/>
    <w:rsid w:val="51BE2175"/>
    <w:rsid w:val="51E97028"/>
    <w:rsid w:val="5202B247"/>
    <w:rsid w:val="522B2E07"/>
    <w:rsid w:val="52415A76"/>
    <w:rsid w:val="52A5777E"/>
    <w:rsid w:val="52C4494E"/>
    <w:rsid w:val="52C722F3"/>
    <w:rsid w:val="52CD2216"/>
    <w:rsid w:val="52D3A766"/>
    <w:rsid w:val="52E469BC"/>
    <w:rsid w:val="530203B6"/>
    <w:rsid w:val="53291A76"/>
    <w:rsid w:val="536F9B6B"/>
    <w:rsid w:val="5377E9F2"/>
    <w:rsid w:val="537D486B"/>
    <w:rsid w:val="53A3DCF5"/>
    <w:rsid w:val="5411E970"/>
    <w:rsid w:val="543005E6"/>
    <w:rsid w:val="5448AE05"/>
    <w:rsid w:val="5475F8F4"/>
    <w:rsid w:val="5483808E"/>
    <w:rsid w:val="549FA80A"/>
    <w:rsid w:val="54C47767"/>
    <w:rsid w:val="54D87BB6"/>
    <w:rsid w:val="550F4909"/>
    <w:rsid w:val="55402312"/>
    <w:rsid w:val="5540AB31"/>
    <w:rsid w:val="5547990C"/>
    <w:rsid w:val="557D6644"/>
    <w:rsid w:val="55901832"/>
    <w:rsid w:val="55E6BC73"/>
    <w:rsid w:val="55F06958"/>
    <w:rsid w:val="55F96B41"/>
    <w:rsid w:val="56100B67"/>
    <w:rsid w:val="564D0D51"/>
    <w:rsid w:val="565592E6"/>
    <w:rsid w:val="568BF252"/>
    <w:rsid w:val="56B75DA9"/>
    <w:rsid w:val="56E08E31"/>
    <w:rsid w:val="56E4269C"/>
    <w:rsid w:val="56E773B9"/>
    <w:rsid w:val="572908AD"/>
    <w:rsid w:val="5778AA5D"/>
    <w:rsid w:val="5796791D"/>
    <w:rsid w:val="579A3404"/>
    <w:rsid w:val="5812B6FE"/>
    <w:rsid w:val="582019AE"/>
    <w:rsid w:val="583F24A6"/>
    <w:rsid w:val="5845527A"/>
    <w:rsid w:val="584AAC45"/>
    <w:rsid w:val="585A7F54"/>
    <w:rsid w:val="5877C6B6"/>
    <w:rsid w:val="5895BC10"/>
    <w:rsid w:val="58A5F328"/>
    <w:rsid w:val="58AD7719"/>
    <w:rsid w:val="58B64C88"/>
    <w:rsid w:val="58CB529B"/>
    <w:rsid w:val="58DD3208"/>
    <w:rsid w:val="58EEDA93"/>
    <w:rsid w:val="591BDE0C"/>
    <w:rsid w:val="59385A71"/>
    <w:rsid w:val="593B7CCE"/>
    <w:rsid w:val="593CE6F5"/>
    <w:rsid w:val="59499548"/>
    <w:rsid w:val="595AFC48"/>
    <w:rsid w:val="597D9961"/>
    <w:rsid w:val="59A3EE94"/>
    <w:rsid w:val="59AC435D"/>
    <w:rsid w:val="59B98E05"/>
    <w:rsid w:val="5A14EB66"/>
    <w:rsid w:val="5A4BB15C"/>
    <w:rsid w:val="5A80FA43"/>
    <w:rsid w:val="5A9D6D76"/>
    <w:rsid w:val="5B0BB6CD"/>
    <w:rsid w:val="5B313F68"/>
    <w:rsid w:val="5B3960CD"/>
    <w:rsid w:val="5BB5DD12"/>
    <w:rsid w:val="5BBACAA8"/>
    <w:rsid w:val="5C0D5A30"/>
    <w:rsid w:val="5C419881"/>
    <w:rsid w:val="5C677DD5"/>
    <w:rsid w:val="5C6F05B9"/>
    <w:rsid w:val="5C869F54"/>
    <w:rsid w:val="5CA026AC"/>
    <w:rsid w:val="5CA2411E"/>
    <w:rsid w:val="5CA78089"/>
    <w:rsid w:val="5CFF4C8B"/>
    <w:rsid w:val="5D09DA9D"/>
    <w:rsid w:val="5D2C6DBB"/>
    <w:rsid w:val="5D2D5C1C"/>
    <w:rsid w:val="5D5CE205"/>
    <w:rsid w:val="5D82E175"/>
    <w:rsid w:val="5D88AD54"/>
    <w:rsid w:val="5D9AD8D9"/>
    <w:rsid w:val="5DA05B45"/>
    <w:rsid w:val="5DAA1581"/>
    <w:rsid w:val="5E035229"/>
    <w:rsid w:val="5E2D444C"/>
    <w:rsid w:val="5E3CE7A9"/>
    <w:rsid w:val="5EC68368"/>
    <w:rsid w:val="5ED1F238"/>
    <w:rsid w:val="5ED2993C"/>
    <w:rsid w:val="5F20DB96"/>
    <w:rsid w:val="5F2448C5"/>
    <w:rsid w:val="5F2906D9"/>
    <w:rsid w:val="5F623845"/>
    <w:rsid w:val="5F6F2CAA"/>
    <w:rsid w:val="5FC26D19"/>
    <w:rsid w:val="5FC7A4F5"/>
    <w:rsid w:val="5FDB506A"/>
    <w:rsid w:val="6009A678"/>
    <w:rsid w:val="607D3218"/>
    <w:rsid w:val="6083B184"/>
    <w:rsid w:val="60F7A8DA"/>
    <w:rsid w:val="60FABA88"/>
    <w:rsid w:val="6164410F"/>
    <w:rsid w:val="617720CB"/>
    <w:rsid w:val="61A20579"/>
    <w:rsid w:val="61D52E33"/>
    <w:rsid w:val="61FB75B8"/>
    <w:rsid w:val="62250695"/>
    <w:rsid w:val="626F38F7"/>
    <w:rsid w:val="628397C6"/>
    <w:rsid w:val="62F3C624"/>
    <w:rsid w:val="63012585"/>
    <w:rsid w:val="633F215B"/>
    <w:rsid w:val="6368BE75"/>
    <w:rsid w:val="63745E2D"/>
    <w:rsid w:val="63A8B72D"/>
    <w:rsid w:val="63DBCBAE"/>
    <w:rsid w:val="63E4B2A7"/>
    <w:rsid w:val="63EF94C4"/>
    <w:rsid w:val="6441349C"/>
    <w:rsid w:val="6466D5EB"/>
    <w:rsid w:val="6480A756"/>
    <w:rsid w:val="6481B5AD"/>
    <w:rsid w:val="64A5EA23"/>
    <w:rsid w:val="64EFBC4A"/>
    <w:rsid w:val="651406B1"/>
    <w:rsid w:val="65283BE0"/>
    <w:rsid w:val="65460B06"/>
    <w:rsid w:val="65603F86"/>
    <w:rsid w:val="6581CF39"/>
    <w:rsid w:val="65A2E2CD"/>
    <w:rsid w:val="65BCC4D4"/>
    <w:rsid w:val="65CCDAD0"/>
    <w:rsid w:val="661BB6D3"/>
    <w:rsid w:val="667015D4"/>
    <w:rsid w:val="669413A4"/>
    <w:rsid w:val="669B1B18"/>
    <w:rsid w:val="669B8D21"/>
    <w:rsid w:val="66C1D4D6"/>
    <w:rsid w:val="670547FF"/>
    <w:rsid w:val="676501B0"/>
    <w:rsid w:val="677E6F4E"/>
    <w:rsid w:val="67FE6264"/>
    <w:rsid w:val="68019EC5"/>
    <w:rsid w:val="68327F2A"/>
    <w:rsid w:val="684CE508"/>
    <w:rsid w:val="68762605"/>
    <w:rsid w:val="692FED76"/>
    <w:rsid w:val="69403E14"/>
    <w:rsid w:val="697018E7"/>
    <w:rsid w:val="6982ABA6"/>
    <w:rsid w:val="6985A747"/>
    <w:rsid w:val="69921343"/>
    <w:rsid w:val="69D2A35B"/>
    <w:rsid w:val="69D914CE"/>
    <w:rsid w:val="69DA768F"/>
    <w:rsid w:val="69E62ED9"/>
    <w:rsid w:val="6A119AE0"/>
    <w:rsid w:val="6A23479D"/>
    <w:rsid w:val="6A2436CE"/>
    <w:rsid w:val="6A2D635C"/>
    <w:rsid w:val="6A2FB6CE"/>
    <w:rsid w:val="6A9D09B6"/>
    <w:rsid w:val="6AAFACBA"/>
    <w:rsid w:val="6AB55504"/>
    <w:rsid w:val="6AE44FF7"/>
    <w:rsid w:val="6B2F650D"/>
    <w:rsid w:val="6B3FEE9F"/>
    <w:rsid w:val="6BA45108"/>
    <w:rsid w:val="6BCB74F7"/>
    <w:rsid w:val="6BEBCC0E"/>
    <w:rsid w:val="6CC39F45"/>
    <w:rsid w:val="6CC48088"/>
    <w:rsid w:val="6CEEFE98"/>
    <w:rsid w:val="6D1FA220"/>
    <w:rsid w:val="6D960FE7"/>
    <w:rsid w:val="6DD9E379"/>
    <w:rsid w:val="6DE4DFC6"/>
    <w:rsid w:val="6DEE0C13"/>
    <w:rsid w:val="6DEF6AA3"/>
    <w:rsid w:val="6E29BB50"/>
    <w:rsid w:val="6E346A62"/>
    <w:rsid w:val="6E88750C"/>
    <w:rsid w:val="6EA7C094"/>
    <w:rsid w:val="6EB70422"/>
    <w:rsid w:val="6EB7FF4C"/>
    <w:rsid w:val="6EC4B22F"/>
    <w:rsid w:val="6EFE5300"/>
    <w:rsid w:val="6F1EC374"/>
    <w:rsid w:val="6F1F35B8"/>
    <w:rsid w:val="6F53FFDA"/>
    <w:rsid w:val="6FDB02FA"/>
    <w:rsid w:val="705898FD"/>
    <w:rsid w:val="70616763"/>
    <w:rsid w:val="706ACBE8"/>
    <w:rsid w:val="707C8AE6"/>
    <w:rsid w:val="709BABCE"/>
    <w:rsid w:val="70A4FE29"/>
    <w:rsid w:val="70B0F0FC"/>
    <w:rsid w:val="710E4AD5"/>
    <w:rsid w:val="711E96DA"/>
    <w:rsid w:val="71729044"/>
    <w:rsid w:val="7173FC9D"/>
    <w:rsid w:val="72022973"/>
    <w:rsid w:val="7251BB9C"/>
    <w:rsid w:val="725E6D51"/>
    <w:rsid w:val="726055A5"/>
    <w:rsid w:val="72C386FE"/>
    <w:rsid w:val="72C3DA10"/>
    <w:rsid w:val="72FD89DB"/>
    <w:rsid w:val="735F402E"/>
    <w:rsid w:val="7363CEB5"/>
    <w:rsid w:val="73643FFC"/>
    <w:rsid w:val="736FB1B7"/>
    <w:rsid w:val="73780AAD"/>
    <w:rsid w:val="738DA7E5"/>
    <w:rsid w:val="73B07653"/>
    <w:rsid w:val="73F3483F"/>
    <w:rsid w:val="740CD2AA"/>
    <w:rsid w:val="742A6655"/>
    <w:rsid w:val="74356C00"/>
    <w:rsid w:val="746E9241"/>
    <w:rsid w:val="74848DD0"/>
    <w:rsid w:val="74B619A0"/>
    <w:rsid w:val="74E8368E"/>
    <w:rsid w:val="7516EFE0"/>
    <w:rsid w:val="7526EB73"/>
    <w:rsid w:val="752764A7"/>
    <w:rsid w:val="7530BA4D"/>
    <w:rsid w:val="753777E8"/>
    <w:rsid w:val="753AF7A4"/>
    <w:rsid w:val="75401662"/>
    <w:rsid w:val="75544CDD"/>
    <w:rsid w:val="75588238"/>
    <w:rsid w:val="75E23D4E"/>
    <w:rsid w:val="75FD64EF"/>
    <w:rsid w:val="7635F046"/>
    <w:rsid w:val="76381064"/>
    <w:rsid w:val="769ACAB5"/>
    <w:rsid w:val="771D3B5A"/>
    <w:rsid w:val="771D41FE"/>
    <w:rsid w:val="7722A74F"/>
    <w:rsid w:val="772DF0DA"/>
    <w:rsid w:val="777F51C6"/>
    <w:rsid w:val="778EE0AF"/>
    <w:rsid w:val="7797FFB1"/>
    <w:rsid w:val="77C05824"/>
    <w:rsid w:val="77D3601D"/>
    <w:rsid w:val="77E4037C"/>
    <w:rsid w:val="77E9ADB1"/>
    <w:rsid w:val="7828871F"/>
    <w:rsid w:val="782A4E00"/>
    <w:rsid w:val="7878C105"/>
    <w:rsid w:val="78874BCE"/>
    <w:rsid w:val="788BBACE"/>
    <w:rsid w:val="78992C67"/>
    <w:rsid w:val="78C2E356"/>
    <w:rsid w:val="78C579D4"/>
    <w:rsid w:val="7900FB52"/>
    <w:rsid w:val="7937B8CF"/>
    <w:rsid w:val="79412689"/>
    <w:rsid w:val="795275A7"/>
    <w:rsid w:val="7A165F7F"/>
    <w:rsid w:val="7A1D9AD3"/>
    <w:rsid w:val="7A2FEA68"/>
    <w:rsid w:val="7A30225F"/>
    <w:rsid w:val="7AFCD452"/>
    <w:rsid w:val="7B0BC021"/>
    <w:rsid w:val="7B59DD92"/>
    <w:rsid w:val="7BA729A6"/>
    <w:rsid w:val="7BB64BE2"/>
    <w:rsid w:val="7BB789C4"/>
    <w:rsid w:val="7BB9F814"/>
    <w:rsid w:val="7C071520"/>
    <w:rsid w:val="7C090FCF"/>
    <w:rsid w:val="7C249E17"/>
    <w:rsid w:val="7C4172B3"/>
    <w:rsid w:val="7C9B1A7C"/>
    <w:rsid w:val="7CD90EC7"/>
    <w:rsid w:val="7CFA0AA1"/>
    <w:rsid w:val="7D385614"/>
    <w:rsid w:val="7D41D1BE"/>
    <w:rsid w:val="7D6C2E4B"/>
    <w:rsid w:val="7D830460"/>
    <w:rsid w:val="7DA544D7"/>
    <w:rsid w:val="7DCCE040"/>
    <w:rsid w:val="7DEDF868"/>
    <w:rsid w:val="7E3E92DD"/>
    <w:rsid w:val="7E4C124D"/>
    <w:rsid w:val="7E7C0C7F"/>
    <w:rsid w:val="7E7DDF39"/>
    <w:rsid w:val="7EC44A54"/>
    <w:rsid w:val="7F2071D3"/>
    <w:rsid w:val="7F62A753"/>
    <w:rsid w:val="7F724008"/>
    <w:rsid w:val="7FA24EF1"/>
    <w:rsid w:val="7FC9AE4E"/>
    <w:rsid w:val="7FEBD18D"/>
    <w:rsid w:val="7FF1102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8A248D52-E331-4E0B-AF7B-9B8075C5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55A4"/>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C073F7"/>
    <w:pPr>
      <w:keepNext/>
      <w:keepLines/>
      <w:numPr>
        <w:numId w:val="15"/>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5B4443"/>
    <w:pPr>
      <w:keepNext/>
      <w:keepLines/>
      <w:numPr>
        <w:ilvl w:val="1"/>
        <w:numId w:val="15"/>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401779"/>
    <w:pPr>
      <w:keepNext/>
      <w:keepLines/>
      <w:numPr>
        <w:ilvl w:val="2"/>
        <w:numId w:val="15"/>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3F7"/>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5B4443"/>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401779"/>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8"/>
      </w:numPr>
    </w:pPr>
  </w:style>
  <w:style w:type="paragraph" w:customStyle="1" w:styleId="ListLevel2">
    <w:name w:val="List Level 2"/>
    <w:basedOn w:val="Normal"/>
    <w:link w:val="ListLevel2Char"/>
    <w:qFormat/>
    <w:rsid w:val="009355A4"/>
    <w:pPr>
      <w:numPr>
        <w:ilvl w:val="1"/>
        <w:numId w:val="7"/>
      </w:numPr>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rPr>
  </w:style>
  <w:style w:type="character" w:customStyle="1" w:styleId="ListLevel2Char">
    <w:name w:val="List Level 2 Char"/>
    <w:basedOn w:val="DefaultParagraphFont"/>
    <w:link w:val="ListLevel2"/>
    <w:rsid w:val="009355A4"/>
    <w:rPr>
      <w:rFonts w:ascii="Arial" w:hAnsi="Arial"/>
      <w:color w:val="15272F" w:themeColor="text1"/>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9355A4"/>
    <w:pPr>
      <w:spacing w:after="360"/>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customStyle="1" w:styleId="UnresolvedMention1">
    <w:name w:val="Unresolved Mention1"/>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styleId="TOCHeading">
    <w:name w:val="TOC Heading"/>
    <w:basedOn w:val="Heading1"/>
    <w:next w:val="Normal"/>
    <w:uiPriority w:val="39"/>
    <w:unhideWhenUsed/>
    <w:qFormat/>
    <w:rsid w:val="00B86865"/>
    <w:pPr>
      <w:numPr>
        <w:numId w:val="0"/>
      </w:numPr>
    </w:pPr>
  </w:style>
  <w:style w:type="paragraph" w:styleId="TOC2">
    <w:name w:val="toc 2"/>
    <w:basedOn w:val="Normal"/>
    <w:next w:val="Normal"/>
    <w:autoRedefine/>
    <w:uiPriority w:val="39"/>
    <w:unhideWhenUsed/>
    <w:rsid w:val="00060CD3"/>
    <w:pPr>
      <w:spacing w:after="100"/>
      <w:ind w:left="220"/>
    </w:pPr>
  </w:style>
  <w:style w:type="paragraph" w:styleId="TOC3">
    <w:name w:val="toc 3"/>
    <w:basedOn w:val="Normal"/>
    <w:next w:val="Normal"/>
    <w:autoRedefine/>
    <w:uiPriority w:val="39"/>
    <w:unhideWhenUsed/>
    <w:rsid w:val="00060CD3"/>
    <w:pPr>
      <w:spacing w:after="100"/>
      <w:ind w:left="440"/>
    </w:pPr>
  </w:style>
  <w:style w:type="paragraph" w:styleId="EndnoteText">
    <w:name w:val="endnote text"/>
    <w:basedOn w:val="Normal"/>
    <w:link w:val="EndnoteTextChar"/>
    <w:uiPriority w:val="99"/>
    <w:semiHidden/>
    <w:unhideWhenUsed/>
    <w:rsid w:val="00852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626"/>
    <w:rPr>
      <w:rFonts w:ascii="Arial" w:hAnsi="Arial"/>
      <w:color w:val="15272F" w:themeColor="text1"/>
      <w:sz w:val="20"/>
      <w:szCs w:val="20"/>
    </w:rPr>
  </w:style>
  <w:style w:type="character" w:styleId="EndnoteReference">
    <w:name w:val="endnote reference"/>
    <w:basedOn w:val="DefaultParagraphFont"/>
    <w:uiPriority w:val="99"/>
    <w:semiHidden/>
    <w:unhideWhenUsed/>
    <w:rsid w:val="00852626"/>
    <w:rPr>
      <w:vertAlign w:val="superscript"/>
    </w:rPr>
  </w:style>
  <w:style w:type="paragraph" w:styleId="FootnoteText">
    <w:name w:val="footnote text"/>
    <w:basedOn w:val="Normal"/>
    <w:link w:val="FootnoteTextChar"/>
    <w:uiPriority w:val="99"/>
    <w:semiHidden/>
    <w:unhideWhenUsed/>
    <w:rsid w:val="008526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26"/>
    <w:rPr>
      <w:rFonts w:ascii="Arial" w:hAnsi="Arial"/>
      <w:color w:val="15272F" w:themeColor="text1"/>
      <w:sz w:val="20"/>
      <w:szCs w:val="20"/>
    </w:rPr>
  </w:style>
  <w:style w:type="character" w:styleId="FootnoteReference">
    <w:name w:val="footnote reference"/>
    <w:basedOn w:val="DefaultParagraphFont"/>
    <w:uiPriority w:val="99"/>
    <w:semiHidden/>
    <w:unhideWhenUsed/>
    <w:rsid w:val="00852626"/>
    <w:rPr>
      <w:vertAlign w:val="superscript"/>
    </w:rPr>
  </w:style>
  <w:style w:type="character" w:styleId="PlaceholderText">
    <w:name w:val="Placeholder Text"/>
    <w:basedOn w:val="DefaultParagraphFont"/>
    <w:uiPriority w:val="99"/>
    <w:semiHidden/>
    <w:rsid w:val="00B26FF4"/>
    <w:rPr>
      <w:color w:val="808080"/>
    </w:rPr>
  </w:style>
  <w:style w:type="paragraph" w:styleId="Caption">
    <w:name w:val="caption"/>
    <w:basedOn w:val="Normal"/>
    <w:next w:val="Normal"/>
    <w:uiPriority w:val="35"/>
    <w:unhideWhenUsed/>
    <w:qFormat/>
    <w:rsid w:val="00E42ABE"/>
    <w:pPr>
      <w:spacing w:after="200" w:line="240" w:lineRule="auto"/>
    </w:pPr>
    <w:rPr>
      <w:i/>
      <w:iCs/>
      <w:color w:val="15272F" w:themeColor="text2"/>
      <w:sz w:val="18"/>
      <w:szCs w:val="18"/>
    </w:rPr>
  </w:style>
  <w:style w:type="character" w:styleId="CommentReference">
    <w:name w:val="annotation reference"/>
    <w:basedOn w:val="DefaultParagraphFont"/>
    <w:uiPriority w:val="99"/>
    <w:semiHidden/>
    <w:unhideWhenUsed/>
    <w:rsid w:val="005D3D5F"/>
    <w:rPr>
      <w:sz w:val="16"/>
      <w:szCs w:val="16"/>
    </w:rPr>
  </w:style>
  <w:style w:type="paragraph" w:styleId="CommentText">
    <w:name w:val="annotation text"/>
    <w:basedOn w:val="Normal"/>
    <w:link w:val="CommentTextChar"/>
    <w:uiPriority w:val="99"/>
    <w:semiHidden/>
    <w:unhideWhenUsed/>
    <w:rsid w:val="005D3D5F"/>
    <w:pPr>
      <w:spacing w:line="240" w:lineRule="auto"/>
    </w:pPr>
    <w:rPr>
      <w:sz w:val="20"/>
      <w:szCs w:val="20"/>
    </w:rPr>
  </w:style>
  <w:style w:type="character" w:customStyle="1" w:styleId="CommentTextChar">
    <w:name w:val="Comment Text Char"/>
    <w:basedOn w:val="DefaultParagraphFont"/>
    <w:link w:val="CommentText"/>
    <w:uiPriority w:val="99"/>
    <w:semiHidden/>
    <w:rsid w:val="005D3D5F"/>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5D3D5F"/>
    <w:rPr>
      <w:b/>
      <w:bCs/>
    </w:rPr>
  </w:style>
  <w:style w:type="character" w:customStyle="1" w:styleId="CommentSubjectChar">
    <w:name w:val="Comment Subject Char"/>
    <w:basedOn w:val="CommentTextChar"/>
    <w:link w:val="CommentSubject"/>
    <w:uiPriority w:val="99"/>
    <w:semiHidden/>
    <w:rsid w:val="005D3D5F"/>
    <w:rPr>
      <w:rFonts w:ascii="Arial" w:hAnsi="Arial"/>
      <w:b/>
      <w:bCs/>
      <w:color w:val="15272F" w:themeColor="text1"/>
      <w:sz w:val="20"/>
      <w:szCs w:val="20"/>
    </w:rPr>
  </w:style>
  <w:style w:type="paragraph" w:styleId="Revision">
    <w:name w:val="Revision"/>
    <w:hidden/>
    <w:uiPriority w:val="99"/>
    <w:semiHidden/>
    <w:rsid w:val="00790EA6"/>
    <w:pPr>
      <w:spacing w:after="0" w:line="240" w:lineRule="auto"/>
    </w:pPr>
    <w:rPr>
      <w:rFonts w:ascii="Arial" w:hAnsi="Arial"/>
      <w:color w:val="15272F" w:themeColor="text1"/>
    </w:rPr>
  </w:style>
  <w:style w:type="character" w:styleId="UnresolvedMention">
    <w:name w:val="Unresolved Mention"/>
    <w:basedOn w:val="DefaultParagraphFont"/>
    <w:uiPriority w:val="99"/>
    <w:semiHidden/>
    <w:unhideWhenUsed/>
    <w:rsid w:val="000451B4"/>
    <w:rPr>
      <w:color w:val="605E5C"/>
      <w:shd w:val="clear" w:color="auto" w:fill="E1DFDD"/>
    </w:rPr>
  </w:style>
  <w:style w:type="paragraph" w:customStyle="1" w:styleId="Appendix">
    <w:name w:val="Appendix"/>
    <w:basedOn w:val="Heading1"/>
    <w:link w:val="AppendixChar"/>
    <w:qFormat/>
    <w:rsid w:val="00393F37"/>
    <w:pPr>
      <w:numPr>
        <w:numId w:val="50"/>
      </w:numPr>
    </w:pPr>
  </w:style>
  <w:style w:type="character" w:customStyle="1" w:styleId="AppendixChar">
    <w:name w:val="Appendix Char"/>
    <w:basedOn w:val="Heading1Char"/>
    <w:link w:val="Appendix"/>
    <w:rsid w:val="00393F37"/>
    <w:rPr>
      <w:rFonts w:ascii="Arial" w:eastAsiaTheme="majorEastAsia" w:hAnsi="Arial" w:cstheme="majorBidi"/>
      <w:b/>
      <w:color w:val="15272F" w:themeColor="text1"/>
      <w:sz w:val="7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10750">
      <w:bodyDiv w:val="1"/>
      <w:marLeft w:val="0"/>
      <w:marRight w:val="0"/>
      <w:marTop w:val="0"/>
      <w:marBottom w:val="0"/>
      <w:divBdr>
        <w:top w:val="none" w:sz="0" w:space="0" w:color="auto"/>
        <w:left w:val="none" w:sz="0" w:space="0" w:color="auto"/>
        <w:bottom w:val="none" w:sz="0" w:space="0" w:color="auto"/>
        <w:right w:val="none" w:sz="0" w:space="0" w:color="auto"/>
      </w:divBdr>
    </w:div>
    <w:div w:id="16469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yperlink" Target="https://www.legislation.gov.au/Details/C2023C00073" TargetMode="External"/><Relationship Id="rId26" Type="http://schemas.openxmlformats.org/officeDocument/2006/relationships/hyperlink" Target="https://www.health.gov.au/resources/publications/care-minutes-and-247-registered-nurse-requirements-gui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edcarequality.gov.au/aged-care-performance/non-compliance-register/archives" TargetMode="External"/><Relationship Id="rId34" Type="http://schemas.openxmlformats.org/officeDocument/2006/relationships/hyperlink" Target="mailto:enquiries.ihacpa@ihacp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Details/F2023C00345" TargetMode="External"/><Relationship Id="rId25" Type="http://schemas.openxmlformats.org/officeDocument/2006/relationships/hyperlink" Target="https://www.stewartbrown.com.au/images/documents/StewartBrown_-_Aged_Care_Financial_Performance_Survey_Sector_Report_September_2022.pdf" TargetMode="External"/><Relationship Id="rId33" Type="http://schemas.openxmlformats.org/officeDocument/2006/relationships/image" Target="media/image9.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22C00237" TargetMode="External"/><Relationship Id="rId20" Type="http://schemas.openxmlformats.org/officeDocument/2006/relationships/hyperlink" Target="https://www.abs.gov.au/statistics/economy/price-indexes-and-inflation/wage-price-index-australia/sep-2022"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eb.archive.org/web/20220520111106/https:/health.formsadministration.com.au/DSS.nsf/2020-21%20Aged%20Care%20Financial%20Report%20-%20Definition.xlsx" TargetMode="External"/><Relationship Id="rId32" Type="http://schemas.openxmlformats.org/officeDocument/2006/relationships/image" Target="media/image8.png"/><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wc.gov.au/documents/sites/work-value-aged-care/decisions-statements/2022fwcfb200.pdf" TargetMode="External"/><Relationship Id="rId28" Type="http://schemas.openxmlformats.org/officeDocument/2006/relationships/hyperlink" Target="https://www.legislation.gov.au/Details/C2022C00095" TargetMode="External"/><Relationship Id="rId36" Type="http://schemas.openxmlformats.org/officeDocument/2006/relationships/hyperlink" Target="http://www.ihacpa.gov.au/" TargetMode="External"/><Relationship Id="rId10" Type="http://schemas.openxmlformats.org/officeDocument/2006/relationships/endnotes" Target="endnotes.xml"/><Relationship Id="rId19" Type="http://schemas.openxmlformats.org/officeDocument/2006/relationships/hyperlink" Target="https://www.abs.gov.au/statistics/economy/price-indexes-and-inflation/consumer-price-index-australia/sep-quarter-2022"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wc.gov.au/documents/decisionssigned/pdf/2023fwcfb40.pdf" TargetMode="External"/><Relationship Id="rId27" Type="http://schemas.openxmlformats.org/officeDocument/2006/relationships/hyperlink" Target="https://www.fwc.gov.au/documents/sites/work-value-aged-care/submissions/am202099-63-65-sub-aust-govt-080822.pdf" TargetMode="External"/><Relationship Id="rId30" Type="http://schemas.openxmlformats.org/officeDocument/2006/relationships/image" Target="media/image6.png"/><Relationship Id="rId35" Type="http://schemas.openxmlformats.org/officeDocument/2006/relationships/hyperlink" Target="https://twitter.com/IHACP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understanding-statistics/guide-labour-statistics/earnings-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dd18265-326c-4663-9a51-69c1b30ad05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6" ma:contentTypeDescription="Create a new document." ma:contentTypeScope="" ma:versionID="657b18ad56662b4ef130f6784240e4e1">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2ef88ed76b3d16b79a2ee21811d1713f"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7D294-E99B-47C2-83F8-5A0EB829C3F5}">
  <ds:schemaRefs>
    <ds:schemaRef ds:uri="http://schemas.openxmlformats.org/officeDocument/2006/bibliography"/>
  </ds:schemaRefs>
</ds:datastoreItem>
</file>

<file path=customXml/itemProps2.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3dd18265-326c-4663-9a51-69c1b30ad054"/>
  </ds:schemaRefs>
</ds:datastoreItem>
</file>

<file path=customXml/itemProps3.xml><?xml version="1.0" encoding="utf-8"?>
<ds:datastoreItem xmlns:ds="http://schemas.openxmlformats.org/officeDocument/2006/customXml" ds:itemID="{CD3B1E75-6919-4BB3-9B0D-E5BBAC2E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622C8-06DD-4FEC-B4D6-D47C2D23C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9000</Words>
  <Characters>48420</Characters>
  <Application>Microsoft Office Word</Application>
  <DocSecurity>0</DocSecurity>
  <Lines>1862</Lines>
  <Paragraphs>1640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55780</CharactersWithSpaces>
  <SharedDoc>false</SharedDoc>
  <HLinks>
    <vt:vector size="246" baseType="variant">
      <vt:variant>
        <vt:i4>4784202</vt:i4>
      </vt:variant>
      <vt:variant>
        <vt:i4>423</vt:i4>
      </vt:variant>
      <vt:variant>
        <vt:i4>0</vt:i4>
      </vt:variant>
      <vt:variant>
        <vt:i4>5</vt:i4>
      </vt:variant>
      <vt:variant>
        <vt:lpwstr>http://www.ihacpa.gov.au/</vt:lpwstr>
      </vt:variant>
      <vt:variant>
        <vt:lpwstr/>
      </vt:variant>
      <vt:variant>
        <vt:i4>7536685</vt:i4>
      </vt:variant>
      <vt:variant>
        <vt:i4>420</vt:i4>
      </vt:variant>
      <vt:variant>
        <vt:i4>0</vt:i4>
      </vt:variant>
      <vt:variant>
        <vt:i4>5</vt:i4>
      </vt:variant>
      <vt:variant>
        <vt:lpwstr>https://twitter.com/IHACPA</vt:lpwstr>
      </vt:variant>
      <vt:variant>
        <vt:lpwstr/>
      </vt:variant>
      <vt:variant>
        <vt:i4>2555925</vt:i4>
      </vt:variant>
      <vt:variant>
        <vt:i4>417</vt:i4>
      </vt:variant>
      <vt:variant>
        <vt:i4>0</vt:i4>
      </vt:variant>
      <vt:variant>
        <vt:i4>5</vt:i4>
      </vt:variant>
      <vt:variant>
        <vt:lpwstr>mailto:enquiries.ihacpa@ihacpa.gov.au</vt:lpwstr>
      </vt:variant>
      <vt:variant>
        <vt:lpwstr/>
      </vt:variant>
      <vt:variant>
        <vt:i4>7798828</vt:i4>
      </vt:variant>
      <vt:variant>
        <vt:i4>255</vt:i4>
      </vt:variant>
      <vt:variant>
        <vt:i4>0</vt:i4>
      </vt:variant>
      <vt:variant>
        <vt:i4>5</vt:i4>
      </vt:variant>
      <vt:variant>
        <vt:lpwstr>https://www.legislation.gov.au/Details/C2022C00095</vt:lpwstr>
      </vt:variant>
      <vt:variant>
        <vt:lpwstr/>
      </vt:variant>
      <vt:variant>
        <vt:i4>8257574</vt:i4>
      </vt:variant>
      <vt:variant>
        <vt:i4>240</vt:i4>
      </vt:variant>
      <vt:variant>
        <vt:i4>0</vt:i4>
      </vt:variant>
      <vt:variant>
        <vt:i4>5</vt:i4>
      </vt:variant>
      <vt:variant>
        <vt:lpwstr>https://www.fwc.gov.au/documents/sites/work-value-aged-care/submissions/am202099-63-65-sub-aust-govt-080822.pdf</vt:lpwstr>
      </vt:variant>
      <vt:variant>
        <vt:lpwstr/>
      </vt:variant>
      <vt:variant>
        <vt:i4>5308429</vt:i4>
      </vt:variant>
      <vt:variant>
        <vt:i4>180</vt:i4>
      </vt:variant>
      <vt:variant>
        <vt:i4>0</vt:i4>
      </vt:variant>
      <vt:variant>
        <vt:i4>5</vt:i4>
      </vt:variant>
      <vt:variant>
        <vt:lpwstr>https://www.health.gov.au/resources/publications/care-minutes-and-247-registered-nurse-requirements-guide</vt:lpwstr>
      </vt:variant>
      <vt:variant>
        <vt:lpwstr/>
      </vt:variant>
      <vt:variant>
        <vt:i4>4063345</vt:i4>
      </vt:variant>
      <vt:variant>
        <vt:i4>177</vt:i4>
      </vt:variant>
      <vt:variant>
        <vt:i4>0</vt:i4>
      </vt:variant>
      <vt:variant>
        <vt:i4>5</vt:i4>
      </vt:variant>
      <vt:variant>
        <vt:lpwstr>https://www.stewartbrown.com.au/images/documents/StewartBrown_-_Aged_Care_Financial_Performance_Survey_Sector_Report_September_2022.pdf</vt:lpwstr>
      </vt:variant>
      <vt:variant>
        <vt:lpwstr/>
      </vt:variant>
      <vt:variant>
        <vt:i4>6553659</vt:i4>
      </vt:variant>
      <vt:variant>
        <vt:i4>171</vt:i4>
      </vt:variant>
      <vt:variant>
        <vt:i4>0</vt:i4>
      </vt:variant>
      <vt:variant>
        <vt:i4>5</vt:i4>
      </vt:variant>
      <vt:variant>
        <vt:lpwstr>http://web.archive.org/web/20220520111106/https:/health.formsadministration.com.au/DSS.nsf/2020-21 Aged Care Financial Report - Definition.xlsx</vt:lpwstr>
      </vt:variant>
      <vt:variant>
        <vt:lpwstr/>
      </vt:variant>
      <vt:variant>
        <vt:i4>4259851</vt:i4>
      </vt:variant>
      <vt:variant>
        <vt:i4>167</vt:i4>
      </vt:variant>
      <vt:variant>
        <vt:i4>0</vt:i4>
      </vt:variant>
      <vt:variant>
        <vt:i4>5</vt:i4>
      </vt:variant>
      <vt:variant>
        <vt:lpwstr>https://www.fwc.gov.au/documents/sites/work-value-aged-care/decisions-statements/2022fwcfb200.pdf</vt:lpwstr>
      </vt:variant>
      <vt:variant>
        <vt:lpwstr/>
      </vt:variant>
      <vt:variant>
        <vt:i4>917580</vt:i4>
      </vt:variant>
      <vt:variant>
        <vt:i4>165</vt:i4>
      </vt:variant>
      <vt:variant>
        <vt:i4>0</vt:i4>
      </vt:variant>
      <vt:variant>
        <vt:i4>5</vt:i4>
      </vt:variant>
      <vt:variant>
        <vt:lpwstr>https://www.fwc.gov.au/documents/decisionssigned/pdf/2023fwcfb40.pdf</vt:lpwstr>
      </vt:variant>
      <vt:variant>
        <vt:lpwstr/>
      </vt:variant>
      <vt:variant>
        <vt:i4>5701654</vt:i4>
      </vt:variant>
      <vt:variant>
        <vt:i4>162</vt:i4>
      </vt:variant>
      <vt:variant>
        <vt:i4>0</vt:i4>
      </vt:variant>
      <vt:variant>
        <vt:i4>5</vt:i4>
      </vt:variant>
      <vt:variant>
        <vt:lpwstr>https://www.agedcarequality.gov.au/aged-care-performance/non-compliance-register/archives</vt:lpwstr>
      </vt:variant>
      <vt:variant>
        <vt:lpwstr/>
      </vt:variant>
      <vt:variant>
        <vt:i4>5570583</vt:i4>
      </vt:variant>
      <vt:variant>
        <vt:i4>159</vt:i4>
      </vt:variant>
      <vt:variant>
        <vt:i4>0</vt:i4>
      </vt:variant>
      <vt:variant>
        <vt:i4>5</vt:i4>
      </vt:variant>
      <vt:variant>
        <vt:lpwstr>https://www.abs.gov.au/statistics/economy/price-indexes-and-inflation/wage-price-index-australia/sep-2022</vt:lpwstr>
      </vt:variant>
      <vt:variant>
        <vt:lpwstr/>
      </vt:variant>
      <vt:variant>
        <vt:i4>4456533</vt:i4>
      </vt:variant>
      <vt:variant>
        <vt:i4>156</vt:i4>
      </vt:variant>
      <vt:variant>
        <vt:i4>0</vt:i4>
      </vt:variant>
      <vt:variant>
        <vt:i4>5</vt:i4>
      </vt:variant>
      <vt:variant>
        <vt:lpwstr>https://www.abs.gov.au/statistics/economy/price-indexes-and-inflation/consumer-price-index-australia/sep-quarter-2022</vt:lpwstr>
      </vt:variant>
      <vt:variant>
        <vt:lpwstr/>
      </vt:variant>
      <vt:variant>
        <vt:i4>7602215</vt:i4>
      </vt:variant>
      <vt:variant>
        <vt:i4>153</vt:i4>
      </vt:variant>
      <vt:variant>
        <vt:i4>0</vt:i4>
      </vt:variant>
      <vt:variant>
        <vt:i4>5</vt:i4>
      </vt:variant>
      <vt:variant>
        <vt:lpwstr>https://www.legislation.gov.au/Details/C2022C00325</vt:lpwstr>
      </vt:variant>
      <vt:variant>
        <vt:lpwstr/>
      </vt:variant>
      <vt:variant>
        <vt:i4>7340070</vt:i4>
      </vt:variant>
      <vt:variant>
        <vt:i4>150</vt:i4>
      </vt:variant>
      <vt:variant>
        <vt:i4>0</vt:i4>
      </vt:variant>
      <vt:variant>
        <vt:i4>5</vt:i4>
      </vt:variant>
      <vt:variant>
        <vt:lpwstr>https://www.legislation.gov.au/Details/F2022C01027</vt:lpwstr>
      </vt:variant>
      <vt:variant>
        <vt:lpwstr/>
      </vt:variant>
      <vt:variant>
        <vt:i4>7798822</vt:i4>
      </vt:variant>
      <vt:variant>
        <vt:i4>147</vt:i4>
      </vt:variant>
      <vt:variant>
        <vt:i4>0</vt:i4>
      </vt:variant>
      <vt:variant>
        <vt:i4>5</vt:i4>
      </vt:variant>
      <vt:variant>
        <vt:lpwstr>https://www.legislation.gov.au/Details/C2022C00237</vt:lpwstr>
      </vt:variant>
      <vt:variant>
        <vt:lpwstr/>
      </vt:variant>
      <vt:variant>
        <vt:i4>1703999</vt:i4>
      </vt:variant>
      <vt:variant>
        <vt:i4>140</vt:i4>
      </vt:variant>
      <vt:variant>
        <vt:i4>0</vt:i4>
      </vt:variant>
      <vt:variant>
        <vt:i4>5</vt:i4>
      </vt:variant>
      <vt:variant>
        <vt:lpwstr/>
      </vt:variant>
      <vt:variant>
        <vt:lpwstr>_Toc129156285</vt:lpwstr>
      </vt:variant>
      <vt:variant>
        <vt:i4>1703999</vt:i4>
      </vt:variant>
      <vt:variant>
        <vt:i4>134</vt:i4>
      </vt:variant>
      <vt:variant>
        <vt:i4>0</vt:i4>
      </vt:variant>
      <vt:variant>
        <vt:i4>5</vt:i4>
      </vt:variant>
      <vt:variant>
        <vt:lpwstr/>
      </vt:variant>
      <vt:variant>
        <vt:lpwstr>_Toc129156284</vt:lpwstr>
      </vt:variant>
      <vt:variant>
        <vt:i4>1703999</vt:i4>
      </vt:variant>
      <vt:variant>
        <vt:i4>128</vt:i4>
      </vt:variant>
      <vt:variant>
        <vt:i4>0</vt:i4>
      </vt:variant>
      <vt:variant>
        <vt:i4>5</vt:i4>
      </vt:variant>
      <vt:variant>
        <vt:lpwstr/>
      </vt:variant>
      <vt:variant>
        <vt:lpwstr>_Toc129156283</vt:lpwstr>
      </vt:variant>
      <vt:variant>
        <vt:i4>1703999</vt:i4>
      </vt:variant>
      <vt:variant>
        <vt:i4>122</vt:i4>
      </vt:variant>
      <vt:variant>
        <vt:i4>0</vt:i4>
      </vt:variant>
      <vt:variant>
        <vt:i4>5</vt:i4>
      </vt:variant>
      <vt:variant>
        <vt:lpwstr/>
      </vt:variant>
      <vt:variant>
        <vt:lpwstr>_Toc129156282</vt:lpwstr>
      </vt:variant>
      <vt:variant>
        <vt:i4>1703999</vt:i4>
      </vt:variant>
      <vt:variant>
        <vt:i4>116</vt:i4>
      </vt:variant>
      <vt:variant>
        <vt:i4>0</vt:i4>
      </vt:variant>
      <vt:variant>
        <vt:i4>5</vt:i4>
      </vt:variant>
      <vt:variant>
        <vt:lpwstr/>
      </vt:variant>
      <vt:variant>
        <vt:lpwstr>_Toc129156281</vt:lpwstr>
      </vt:variant>
      <vt:variant>
        <vt:i4>1703999</vt:i4>
      </vt:variant>
      <vt:variant>
        <vt:i4>110</vt:i4>
      </vt:variant>
      <vt:variant>
        <vt:i4>0</vt:i4>
      </vt:variant>
      <vt:variant>
        <vt:i4>5</vt:i4>
      </vt:variant>
      <vt:variant>
        <vt:lpwstr/>
      </vt:variant>
      <vt:variant>
        <vt:lpwstr>_Toc129156280</vt:lpwstr>
      </vt:variant>
      <vt:variant>
        <vt:i4>1376319</vt:i4>
      </vt:variant>
      <vt:variant>
        <vt:i4>104</vt:i4>
      </vt:variant>
      <vt:variant>
        <vt:i4>0</vt:i4>
      </vt:variant>
      <vt:variant>
        <vt:i4>5</vt:i4>
      </vt:variant>
      <vt:variant>
        <vt:lpwstr/>
      </vt:variant>
      <vt:variant>
        <vt:lpwstr>_Toc129156279</vt:lpwstr>
      </vt:variant>
      <vt:variant>
        <vt:i4>1376319</vt:i4>
      </vt:variant>
      <vt:variant>
        <vt:i4>98</vt:i4>
      </vt:variant>
      <vt:variant>
        <vt:i4>0</vt:i4>
      </vt:variant>
      <vt:variant>
        <vt:i4>5</vt:i4>
      </vt:variant>
      <vt:variant>
        <vt:lpwstr/>
      </vt:variant>
      <vt:variant>
        <vt:lpwstr>_Toc129156278</vt:lpwstr>
      </vt:variant>
      <vt:variant>
        <vt:i4>1376319</vt:i4>
      </vt:variant>
      <vt:variant>
        <vt:i4>92</vt:i4>
      </vt:variant>
      <vt:variant>
        <vt:i4>0</vt:i4>
      </vt:variant>
      <vt:variant>
        <vt:i4>5</vt:i4>
      </vt:variant>
      <vt:variant>
        <vt:lpwstr/>
      </vt:variant>
      <vt:variant>
        <vt:lpwstr>_Toc129156277</vt:lpwstr>
      </vt:variant>
      <vt:variant>
        <vt:i4>1376319</vt:i4>
      </vt:variant>
      <vt:variant>
        <vt:i4>86</vt:i4>
      </vt:variant>
      <vt:variant>
        <vt:i4>0</vt:i4>
      </vt:variant>
      <vt:variant>
        <vt:i4>5</vt:i4>
      </vt:variant>
      <vt:variant>
        <vt:lpwstr/>
      </vt:variant>
      <vt:variant>
        <vt:lpwstr>_Toc129156276</vt:lpwstr>
      </vt:variant>
      <vt:variant>
        <vt:i4>1376319</vt:i4>
      </vt:variant>
      <vt:variant>
        <vt:i4>80</vt:i4>
      </vt:variant>
      <vt:variant>
        <vt:i4>0</vt:i4>
      </vt:variant>
      <vt:variant>
        <vt:i4>5</vt:i4>
      </vt:variant>
      <vt:variant>
        <vt:lpwstr/>
      </vt:variant>
      <vt:variant>
        <vt:lpwstr>_Toc129156275</vt:lpwstr>
      </vt:variant>
      <vt:variant>
        <vt:i4>1376319</vt:i4>
      </vt:variant>
      <vt:variant>
        <vt:i4>74</vt:i4>
      </vt:variant>
      <vt:variant>
        <vt:i4>0</vt:i4>
      </vt:variant>
      <vt:variant>
        <vt:i4>5</vt:i4>
      </vt:variant>
      <vt:variant>
        <vt:lpwstr/>
      </vt:variant>
      <vt:variant>
        <vt:lpwstr>_Toc129156274</vt:lpwstr>
      </vt:variant>
      <vt:variant>
        <vt:i4>1376319</vt:i4>
      </vt:variant>
      <vt:variant>
        <vt:i4>68</vt:i4>
      </vt:variant>
      <vt:variant>
        <vt:i4>0</vt:i4>
      </vt:variant>
      <vt:variant>
        <vt:i4>5</vt:i4>
      </vt:variant>
      <vt:variant>
        <vt:lpwstr/>
      </vt:variant>
      <vt:variant>
        <vt:lpwstr>_Toc129156273</vt:lpwstr>
      </vt:variant>
      <vt:variant>
        <vt:i4>1376319</vt:i4>
      </vt:variant>
      <vt:variant>
        <vt:i4>62</vt:i4>
      </vt:variant>
      <vt:variant>
        <vt:i4>0</vt:i4>
      </vt:variant>
      <vt:variant>
        <vt:i4>5</vt:i4>
      </vt:variant>
      <vt:variant>
        <vt:lpwstr/>
      </vt:variant>
      <vt:variant>
        <vt:lpwstr>_Toc129156272</vt:lpwstr>
      </vt:variant>
      <vt:variant>
        <vt:i4>1376319</vt:i4>
      </vt:variant>
      <vt:variant>
        <vt:i4>56</vt:i4>
      </vt:variant>
      <vt:variant>
        <vt:i4>0</vt:i4>
      </vt:variant>
      <vt:variant>
        <vt:i4>5</vt:i4>
      </vt:variant>
      <vt:variant>
        <vt:lpwstr/>
      </vt:variant>
      <vt:variant>
        <vt:lpwstr>_Toc129156271</vt:lpwstr>
      </vt:variant>
      <vt:variant>
        <vt:i4>1376319</vt:i4>
      </vt:variant>
      <vt:variant>
        <vt:i4>50</vt:i4>
      </vt:variant>
      <vt:variant>
        <vt:i4>0</vt:i4>
      </vt:variant>
      <vt:variant>
        <vt:i4>5</vt:i4>
      </vt:variant>
      <vt:variant>
        <vt:lpwstr/>
      </vt:variant>
      <vt:variant>
        <vt:lpwstr>_Toc129156270</vt:lpwstr>
      </vt:variant>
      <vt:variant>
        <vt:i4>1310783</vt:i4>
      </vt:variant>
      <vt:variant>
        <vt:i4>44</vt:i4>
      </vt:variant>
      <vt:variant>
        <vt:i4>0</vt:i4>
      </vt:variant>
      <vt:variant>
        <vt:i4>5</vt:i4>
      </vt:variant>
      <vt:variant>
        <vt:lpwstr/>
      </vt:variant>
      <vt:variant>
        <vt:lpwstr>_Toc129156269</vt:lpwstr>
      </vt:variant>
      <vt:variant>
        <vt:i4>1310783</vt:i4>
      </vt:variant>
      <vt:variant>
        <vt:i4>38</vt:i4>
      </vt:variant>
      <vt:variant>
        <vt:i4>0</vt:i4>
      </vt:variant>
      <vt:variant>
        <vt:i4>5</vt:i4>
      </vt:variant>
      <vt:variant>
        <vt:lpwstr/>
      </vt:variant>
      <vt:variant>
        <vt:lpwstr>_Toc129156268</vt:lpwstr>
      </vt:variant>
      <vt:variant>
        <vt:i4>1310783</vt:i4>
      </vt:variant>
      <vt:variant>
        <vt:i4>32</vt:i4>
      </vt:variant>
      <vt:variant>
        <vt:i4>0</vt:i4>
      </vt:variant>
      <vt:variant>
        <vt:i4>5</vt:i4>
      </vt:variant>
      <vt:variant>
        <vt:lpwstr/>
      </vt:variant>
      <vt:variant>
        <vt:lpwstr>_Toc129156267</vt:lpwstr>
      </vt:variant>
      <vt:variant>
        <vt:i4>1310783</vt:i4>
      </vt:variant>
      <vt:variant>
        <vt:i4>26</vt:i4>
      </vt:variant>
      <vt:variant>
        <vt:i4>0</vt:i4>
      </vt:variant>
      <vt:variant>
        <vt:i4>5</vt:i4>
      </vt:variant>
      <vt:variant>
        <vt:lpwstr/>
      </vt:variant>
      <vt:variant>
        <vt:lpwstr>_Toc129156266</vt:lpwstr>
      </vt:variant>
      <vt:variant>
        <vt:i4>1310783</vt:i4>
      </vt:variant>
      <vt:variant>
        <vt:i4>20</vt:i4>
      </vt:variant>
      <vt:variant>
        <vt:i4>0</vt:i4>
      </vt:variant>
      <vt:variant>
        <vt:i4>5</vt:i4>
      </vt:variant>
      <vt:variant>
        <vt:lpwstr/>
      </vt:variant>
      <vt:variant>
        <vt:lpwstr>_Toc129156265</vt:lpwstr>
      </vt:variant>
      <vt:variant>
        <vt:i4>1310783</vt:i4>
      </vt:variant>
      <vt:variant>
        <vt:i4>14</vt:i4>
      </vt:variant>
      <vt:variant>
        <vt:i4>0</vt:i4>
      </vt:variant>
      <vt:variant>
        <vt:i4>5</vt:i4>
      </vt:variant>
      <vt:variant>
        <vt:lpwstr/>
      </vt:variant>
      <vt:variant>
        <vt:lpwstr>_Toc129156264</vt:lpwstr>
      </vt:variant>
      <vt:variant>
        <vt:i4>1310783</vt:i4>
      </vt:variant>
      <vt:variant>
        <vt:i4>8</vt:i4>
      </vt:variant>
      <vt:variant>
        <vt:i4>0</vt:i4>
      </vt:variant>
      <vt:variant>
        <vt:i4>5</vt:i4>
      </vt:variant>
      <vt:variant>
        <vt:lpwstr/>
      </vt:variant>
      <vt:variant>
        <vt:lpwstr>_Toc129156263</vt:lpwstr>
      </vt:variant>
      <vt:variant>
        <vt:i4>1310783</vt:i4>
      </vt:variant>
      <vt:variant>
        <vt:i4>2</vt:i4>
      </vt:variant>
      <vt:variant>
        <vt:i4>0</vt:i4>
      </vt:variant>
      <vt:variant>
        <vt:i4>5</vt:i4>
      </vt:variant>
      <vt:variant>
        <vt:lpwstr/>
      </vt:variant>
      <vt:variant>
        <vt:lpwstr>_Toc129156262</vt:lpwstr>
      </vt:variant>
      <vt:variant>
        <vt:i4>5570639</vt:i4>
      </vt:variant>
      <vt:variant>
        <vt:i4>0</vt:i4>
      </vt:variant>
      <vt:variant>
        <vt:i4>0</vt:i4>
      </vt:variant>
      <vt:variant>
        <vt:i4>5</vt:i4>
      </vt:variant>
      <vt:variant>
        <vt:lpwstr>https://www.abs.gov.au/statistics/understanding-statistics/guide-labour-statistics/earnings-guide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FENG, Sophie</cp:lastModifiedBy>
  <cp:revision>3</cp:revision>
  <cp:lastPrinted>2022-08-11T04:01:00Z</cp:lastPrinted>
  <dcterms:created xsi:type="dcterms:W3CDTF">2023-05-12T02:03:00Z</dcterms:created>
  <dcterms:modified xsi:type="dcterms:W3CDTF">2023-05-12T02:21:00Z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MediaServiceImageTags">
    <vt:lpwstr/>
  </property>
</Properties>
</file>